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0"/>
        <w:gridCol w:w="1451"/>
        <w:gridCol w:w="1209"/>
        <w:gridCol w:w="1659"/>
        <w:gridCol w:w="1642"/>
        <w:gridCol w:w="2005"/>
      </w:tblGrid>
      <w:tr w14:paraId="560AC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642A50A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会议决策到任务执行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304F95E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一家同时开展多个产品和客户项目的软件公司，每周召开大量产品、销售、项目和客户会议。会议中会产生决策、行动项和后续跟进要求。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4FAF290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会议结束后，记录人整理纪要，人工识别决策和行动项，确认责任人及截止时间，再创建任务并持续跟踪。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3743DC3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讨论内容与正式结论混在一起；行动项缺少责任人或截止时间；纪要完成但任务未创建；相同任务重复出现；任务变化后无法追溯原始决策；项目经理需要反复提醒。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6BB2113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不得把讨论意见当作正式决定；不得虚构责任人和截止时间；信息不完整时必须人工确认；未经本人确认不得替他人作出承诺；任务需要能够追溯到原始会议内容。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5CB413D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基于已有的会议字幕构建决策与行动项提取工具。输出内容至少包含：内容类型、决策或任务描述、责任人、截止时间、原始字幕位置和是否需要人工确认。学员可选择只完成信息提取，也可继续接入飞书任务。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可以考虑构建包含事项，跟进人，开始日期，预计结束日期四个字段的测试题集，并自行结合业务情况按照实际填充率和准确度确认最终验收标准</w:t>
            </w:r>
          </w:p>
        </w:tc>
      </w:tr>
    </w:tbl>
    <w:p w14:paraId="18EA211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E0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2026-07-29T14:18:18Z</dcterms:created>
  <dc:creator>lenovo</dc:creator>
  <cp:lastModifiedBy>宋沅潮</cp:lastModifiedBy>
  <dcterms:modified xsi:type="dcterms:W3CDTF">2026-07-29T14:18:25Z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eyJoZGlkIjoiNWY2MjYzMGM4MzU2NjE4ZWZmYjIzYTE4OGI4ZGUxMTMiLCJ1c2VySWQiOiIxNzA5Mzg5Mjg3In0=</vt:lpwstr>
  </property>
  <property fmtid="{D5CDD505-2E9C-101B-9397-08002B2CF9AE}" pid="4" name="ICV">
    <vt:lpwstr>6800AA99987F412D833C06C1CEA995D2_12</vt:lpwstr>
  </property>
</Properties>
</file>