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t>Telecom Customer Churn Prediction</w:t>
        <w:br/>
        <w:t>&amp; Retention Intelligence Dashboard</w:t>
      </w:r>
    </w:p>
    <w:p>
      <w:pPr>
        <w:spacing w:after="80"/>
        <w:jc w:val="center"/>
      </w:pPr>
      <w:r>
        <w:rPr>
          <w:sz w:val="22"/>
        </w:rPr>
        <w:t>IBM SkillsBuild Data Analytics with AI Academic Internship</w:t>
      </w:r>
    </w:p>
    <w:p>
      <w:pPr>
        <w:spacing w:after="80"/>
        <w:jc w:val="center"/>
      </w:pPr>
      <w:r>
        <w:rPr>
          <w:b/>
          <w:sz w:val="22"/>
        </w:rPr>
        <w:t>Author: Shivam Singh</w:t>
      </w:r>
    </w:p>
    <w:p>
      <w:pPr>
        <w:spacing w:after="80"/>
        <w:jc w:val="center"/>
      </w:pPr>
      <w:r>
        <w:rPr>
          <w:sz w:val="22"/>
        </w:rPr>
        <w:t>Dataset: Telco Customer Churn — IBM Sample Data (Kaggle)</w:t>
      </w:r>
    </w:p>
    <w:p>
      <w:pPr>
        <w:spacing w:after="80"/>
        <w:jc w:val="center"/>
      </w:pPr>
      <w:r>
        <w:rPr>
          <w:b/>
          <w:sz w:val="22"/>
        </w:rPr>
        <w:t>Technologies: Python  |  pandas  |  scikit-learn  |  Streamlit  |  Plotly</w:t>
      </w:r>
    </w:p>
    <w:p>
      <w:r>
        <w:br w:type="page"/>
      </w:r>
    </w:p>
    <w:p>
      <w:pPr>
        <w:pStyle w:val="Heading1"/>
        <w:spacing w:before="360" w:after="160"/>
      </w:pPr>
      <w:r>
        <w:t>1. Abstract</w:t>
      </w:r>
    </w:p>
    <w:p>
      <w:pPr>
        <w:spacing w:after="160"/>
      </w:pPr>
      <w:r>
        <w:t>This project presents an end-to-end Business Intelligence and Machine Learning solution for predicting and analysing telecom customer churn. Using the IBM Telco Customer Churn dataset (7,043 raw records, reduced to a cleaned analytical dataset after preprocessing — see Section 6 for the exact row-removal audit trail), the project encompasses data cleaning, exploratory data analysis (EDA), feature engineering, machine learning model training (Logistic Regression and Random Forest), churn probability scoring, risk categorisation, and an interactive executive Streamlit dashboard. The goal is to identify which customers are at risk of churning, understand the associations between customer attributes and churn, and generate data-grounded hypotheses for retention experiments.</w:t>
      </w:r>
    </w:p>
    <w:p>
      <w:pPr>
        <w:pStyle w:val="Heading1"/>
        <w:spacing w:before="360" w:after="160"/>
      </w:pPr>
      <w:r>
        <w:t>2. Introduction</w:t>
      </w:r>
    </w:p>
    <w:p>
      <w:pPr>
        <w:spacing w:after="160"/>
      </w:pPr>
      <w:r>
        <w:t>Customer churn — the loss of subscribers to competitors — is one of the most critical challenges in the telecommunications industry. The average telecom company loses between 15% and 25% of its customers every year, and acquiring a new customer costs 5 to 10 times more than retaining an existing one. This makes early churn prediction and targeted retention a high-priority business problem.</w:t>
      </w:r>
    </w:p>
    <w:p>
      <w:pPr>
        <w:spacing w:after="160"/>
      </w:pPr>
      <w:r>
        <w:t>This project builds a complete data analytics and machine learning pipeline: loading and cleaning raw customer data, performing exploratory analysis to surface churn patterns, training classification models to predict individual churn probability, and presenting all findings through an executive-grade interactive dashboard built with Streamlit.</w:t>
      </w:r>
    </w:p>
    <w:p>
      <w:pPr>
        <w:pStyle w:val="Heading1"/>
        <w:spacing w:before="360" w:after="160"/>
      </w:pPr>
      <w:r>
        <w:t>3. Problem Statement</w:t>
      </w:r>
    </w:p>
    <w:p>
      <w:pPr>
        <w:spacing w:after="160"/>
      </w:pPr>
      <w:r>
        <w:t>A telecom company faces high monthly customer churn. The business needs to:</w:t>
      </w:r>
    </w:p>
    <w:p>
      <w:pPr>
        <w:pStyle w:val="ListBullet"/>
        <w:spacing w:after="80"/>
      </w:pPr>
      <w:r>
        <w:t>Identify which customers are most likely to churn in the near future.</w:t>
      </w:r>
    </w:p>
    <w:p>
      <w:pPr>
        <w:pStyle w:val="ListBullet"/>
        <w:spacing w:after="80"/>
      </w:pPr>
      <w:r>
        <w:t>Understand what factors are associated with churn decisions.</w:t>
      </w:r>
    </w:p>
    <w:p>
      <w:pPr>
        <w:pStyle w:val="ListBullet"/>
        <w:spacing w:after="80"/>
      </w:pPr>
      <w:r>
        <w:t>Quantify the revenue risk from high-churn customer segments.</w:t>
      </w:r>
    </w:p>
    <w:p>
      <w:pPr>
        <w:pStyle w:val="ListBullet"/>
        <w:spacing w:after="80"/>
      </w:pPr>
      <w:r>
        <w:t>Generate targeted, data-driven retention hypotheses.</w:t>
      </w:r>
    </w:p>
    <w:p>
      <w:pPr>
        <w:pStyle w:val="Heading1"/>
        <w:spacing w:before="360" w:after="160"/>
      </w:pPr>
      <w:r>
        <w:t>4. Objectives</w:t>
      </w:r>
    </w:p>
    <w:p>
      <w:pPr>
        <w:spacing w:after="160"/>
      </w:pPr>
      <w:r>
        <w:t>The objectives of this project are:</w:t>
      </w:r>
    </w:p>
    <w:p>
      <w:pPr>
        <w:pStyle w:val="ListBullet"/>
        <w:spacing w:after="80"/>
      </w:pPr>
      <w:r>
        <w:t>Load, clean, and validate the Telco Customer Churn dataset.</w:t>
      </w:r>
    </w:p>
    <w:p>
      <w:pPr>
        <w:pStyle w:val="ListBullet"/>
        <w:spacing w:after="80"/>
      </w:pPr>
      <w:r>
        <w:t>Perform exploratory data analysis across 12+ churn dimensions.</w:t>
      </w:r>
    </w:p>
    <w:p>
      <w:pPr>
        <w:pStyle w:val="ListBullet"/>
        <w:spacing w:after="80"/>
      </w:pPr>
      <w:r>
        <w:t>Calculate business KPIs: churn rate, retention rate, revenue at risk.</w:t>
      </w:r>
    </w:p>
    <w:p>
      <w:pPr>
        <w:pStyle w:val="ListBullet"/>
        <w:spacing w:after="80"/>
      </w:pPr>
      <w:r>
        <w:t>Train and compare Logistic Regression and Random Forest classifiers.</w:t>
      </w:r>
    </w:p>
    <w:p>
      <w:pPr>
        <w:pStyle w:val="ListBullet"/>
        <w:spacing w:after="80"/>
      </w:pPr>
      <w:r>
        <w:t>Assign risk categories (Low / Medium / High) to every customer.</w:t>
      </w:r>
    </w:p>
    <w:p>
      <w:pPr>
        <w:pStyle w:val="ListBullet"/>
        <w:spacing w:after="80"/>
      </w:pPr>
      <w:r>
        <w:t>Identify top churn drivers using feature importance.</w:t>
      </w:r>
    </w:p>
    <w:p>
      <w:pPr>
        <w:pStyle w:val="ListBullet"/>
        <w:spacing w:after="80"/>
      </w:pPr>
      <w:r>
        <w:t>Build an executive Streamlit dashboard with 5 interactive pages.</w:t>
      </w:r>
    </w:p>
    <w:p>
      <w:pPr>
        <w:pStyle w:val="ListBullet"/>
        <w:spacing w:after="80"/>
      </w:pPr>
      <w:r>
        <w:t>Generate auto-derived business insights and recommended actions.</w:t>
      </w:r>
    </w:p>
    <w:p>
      <w:pPr>
        <w:pStyle w:val="Heading1"/>
        <w:spacing w:before="360" w:after="160"/>
      </w:pPr>
      <w:r>
        <w:t>5. Dataset Description</w:t>
      </w:r>
    </w:p>
    <w:p>
      <w:pPr>
        <w:spacing w:after="160"/>
      </w:pPr>
      <w:r>
        <w:t>The Telco Customer Churn dataset is a publicly available IBM sample dataset hosted on Kaggle. It contains information about a telecom company's customers including their demographic details, subscribed services, account information, and whether they churned in the last month.</w:t>
      </w:r>
    </w:p>
    <w:p>
      <w:pPr>
        <w:spacing w:after="160"/>
      </w:pPr>
      <w:r>
        <w:t>Source: https://www.kaggle.com/datasets/blastchar/telco-customer-churn</w:t>
      </w:r>
    </w:p>
    <w:p>
      <w:pPr>
        <w:spacing w:after="160"/>
      </w:pPr>
      <w:r>
        <w:t>Raw rows: 7,043  |  Cleaned analytical rows: see Section 6 preprocessing audit  |  Columns: 21  |  Target: Churn (Yes / No)</w:t>
      </w:r>
    </w:p>
    <w:p>
      <w:pPr>
        <w:spacing w:after="160"/>
      </w:pPr>
      <w:r>
        <w:t>Key columns include: customerID, gender, SeniorCitizen, Partner, Dependents, tenure, PhoneService, MultipleLines, InternetService, OnlineSecurity, OnlineBackup, DeviceProtection, TechSupport, StreamingTV, StreamingMovies, Contract, PaperlessBilling, PaymentMethod, MonthlyCharges, TotalCharges, Churn.</w:t>
      </w:r>
    </w:p>
    <w:p>
      <w:pPr>
        <w:pStyle w:val="Heading1"/>
        <w:spacing w:before="360" w:after="160"/>
      </w:pPr>
      <w:r>
        <w:t>6. Data Preprocessing</w:t>
      </w:r>
    </w:p>
    <w:p>
      <w:pPr>
        <w:pStyle w:val="Heading2"/>
        <w:spacing w:before="240" w:after="120"/>
      </w:pPr>
      <w:r>
        <w:t>6.1 Data Cleaning Steps</w:t>
      </w:r>
    </w:p>
    <w:tbl>
      <w:tblPr>
        <w:tblStyle w:val="TableGrid"/>
        <w:tblW w:type="auto" w:w="0"/>
        <w:jc w:val="center"/>
        <w:tblLook w:firstColumn="1" w:firstRow="1" w:lastColumn="0" w:lastRow="0" w:noHBand="0" w:noVBand="1" w:val="04A0"/>
      </w:tblPr>
      <w:tblGrid>
        <w:gridCol w:w="2928"/>
        <w:gridCol w:w="2928"/>
        <w:gridCol w:w="2928"/>
      </w:tblGrid>
      <w:tr>
        <w:tc>
          <w:tcPr>
            <w:tcW w:type="dxa" w:w="2928"/>
            <w:shd w:val="clear" w:color="auto" w:fill="3B82D4"/>
          </w:tcPr>
          <w:p>
            <w:pPr>
              <w:spacing w:before="60" w:after="60"/>
            </w:pPr>
            <w:r>
              <w:rPr>
                <w:b/>
                <w:color w:val="FFFFFF"/>
                <w:sz w:val="18"/>
              </w:rPr>
              <w:t>Step</w:t>
            </w:r>
          </w:p>
        </w:tc>
        <w:tc>
          <w:tcPr>
            <w:tcW w:type="dxa" w:w="2928"/>
            <w:shd w:val="clear" w:color="auto" w:fill="3B82D4"/>
          </w:tcPr>
          <w:p>
            <w:pPr>
              <w:spacing w:before="60" w:after="60"/>
            </w:pPr>
            <w:r>
              <w:rPr>
                <w:b/>
                <w:color w:val="FFFFFF"/>
                <w:sz w:val="18"/>
              </w:rPr>
              <w:t>Action</w:t>
            </w:r>
          </w:p>
        </w:tc>
        <w:tc>
          <w:tcPr>
            <w:tcW w:type="dxa" w:w="2928"/>
            <w:shd w:val="clear" w:color="auto" w:fill="3B82D4"/>
          </w:tcPr>
          <w:p>
            <w:pPr>
              <w:spacing w:before="60" w:after="60"/>
            </w:pPr>
            <w:r>
              <w:rPr>
                <w:b/>
                <w:color w:val="FFFFFF"/>
                <w:sz w:val="18"/>
              </w:rPr>
              <w:t>Records Affected</w:t>
            </w:r>
          </w:p>
        </w:tc>
      </w:tr>
      <w:tr>
        <w:tc>
          <w:tcPr>
            <w:tcW w:type="dxa" w:w="2928"/>
            <w:shd w:val="clear" w:color="auto" w:fill="FFFFFF"/>
          </w:tcPr>
          <w:p>
            <w:pPr>
              <w:spacing w:before="60" w:after="60"/>
            </w:pPr>
            <w:r>
              <w:rPr>
                <w:sz w:val="18"/>
              </w:rPr>
              <w:t>1</w:t>
            </w:r>
          </w:p>
        </w:tc>
        <w:tc>
          <w:tcPr>
            <w:tcW w:type="dxa" w:w="2928"/>
            <w:shd w:val="clear" w:color="auto" w:fill="FFFFFF"/>
          </w:tcPr>
          <w:p>
            <w:pPr>
              <w:spacing w:before="60" w:after="60"/>
            </w:pPr>
            <w:r>
              <w:rPr>
                <w:sz w:val="18"/>
              </w:rPr>
              <w:t>Strip whitespace from column names and string values</w:t>
            </w:r>
          </w:p>
        </w:tc>
        <w:tc>
          <w:tcPr>
            <w:tcW w:type="dxa" w:w="2928"/>
            <w:shd w:val="clear" w:color="auto" w:fill="FFFFFF"/>
          </w:tcPr>
          <w:p>
            <w:pPr>
              <w:spacing w:before="60" w:after="60"/>
            </w:pPr>
            <w:r>
              <w:rPr>
                <w:sz w:val="18"/>
              </w:rPr>
              <w:t>All rows</w:t>
            </w:r>
          </w:p>
        </w:tc>
      </w:tr>
      <w:tr>
        <w:tc>
          <w:tcPr>
            <w:tcW w:type="dxa" w:w="2928"/>
            <w:shd w:val="clear" w:color="auto" w:fill="EFF6FF"/>
          </w:tcPr>
          <w:p>
            <w:pPr>
              <w:spacing w:before="60" w:after="60"/>
            </w:pPr>
            <w:r>
              <w:rPr>
                <w:sz w:val="18"/>
              </w:rPr>
              <w:t>2</w:t>
            </w:r>
          </w:p>
        </w:tc>
        <w:tc>
          <w:tcPr>
            <w:tcW w:type="dxa" w:w="2928"/>
            <w:shd w:val="clear" w:color="auto" w:fill="EFF6FF"/>
          </w:tcPr>
          <w:p>
            <w:pPr>
              <w:spacing w:before="60" w:after="60"/>
            </w:pPr>
            <w:r>
              <w:rPr>
                <w:sz w:val="18"/>
              </w:rPr>
              <w:t>Convert TotalCharges to numeric (blank → NaN)</w:t>
            </w:r>
          </w:p>
        </w:tc>
        <w:tc>
          <w:tcPr>
            <w:tcW w:type="dxa" w:w="2928"/>
            <w:shd w:val="clear" w:color="auto" w:fill="EFF6FF"/>
          </w:tcPr>
          <w:p>
            <w:pPr>
              <w:spacing w:before="60" w:after="60"/>
            </w:pPr>
            <w:r>
              <w:rPr>
                <w:sz w:val="18"/>
              </w:rPr>
              <w:t>11 rows set to NaN</w:t>
            </w:r>
          </w:p>
        </w:tc>
      </w:tr>
      <w:tr>
        <w:tc>
          <w:tcPr>
            <w:tcW w:type="dxa" w:w="2928"/>
            <w:shd w:val="clear" w:color="auto" w:fill="FFFFFF"/>
          </w:tcPr>
          <w:p>
            <w:pPr>
              <w:spacing w:before="60" w:after="60"/>
            </w:pPr>
            <w:r>
              <w:rPr>
                <w:sz w:val="18"/>
              </w:rPr>
              <w:t>3</w:t>
            </w:r>
          </w:p>
        </w:tc>
        <w:tc>
          <w:tcPr>
            <w:tcW w:type="dxa" w:w="2928"/>
            <w:shd w:val="clear" w:color="auto" w:fill="FFFFFF"/>
          </w:tcPr>
          <w:p>
            <w:pPr>
              <w:spacing w:before="60" w:after="60"/>
            </w:pPr>
            <w:r>
              <w:rPr>
                <w:sz w:val="18"/>
              </w:rPr>
              <w:t>Drop rows where TotalCharges is NaN (tenure=0 new customers)</w:t>
            </w:r>
          </w:p>
        </w:tc>
        <w:tc>
          <w:tcPr>
            <w:tcW w:type="dxa" w:w="2928"/>
            <w:shd w:val="clear" w:color="auto" w:fill="FFFFFF"/>
          </w:tcPr>
          <w:p>
            <w:pPr>
              <w:spacing w:before="60" w:after="60"/>
            </w:pPr>
            <w:r>
              <w:rPr>
                <w:sz w:val="18"/>
              </w:rPr>
              <w:t>11 rows dropped</w:t>
            </w:r>
          </w:p>
        </w:tc>
      </w:tr>
      <w:tr>
        <w:tc>
          <w:tcPr>
            <w:tcW w:type="dxa" w:w="2928"/>
            <w:shd w:val="clear" w:color="auto" w:fill="EFF6FF"/>
          </w:tcPr>
          <w:p>
            <w:pPr>
              <w:spacing w:before="60" w:after="60"/>
            </w:pPr>
            <w:r>
              <w:rPr>
                <w:sz w:val="18"/>
              </w:rPr>
              <w:t>4</w:t>
            </w:r>
          </w:p>
        </w:tc>
        <w:tc>
          <w:tcPr>
            <w:tcW w:type="dxa" w:w="2928"/>
            <w:shd w:val="clear" w:color="auto" w:fill="EFF6FF"/>
          </w:tcPr>
          <w:p>
            <w:pPr>
              <w:spacing w:before="60" w:after="60"/>
            </w:pPr>
            <w:r>
              <w:rPr>
                <w:sz w:val="18"/>
              </w:rPr>
              <w:t>Encode Churn: 'Yes' → 1, 'No' → 0</w:t>
            </w:r>
          </w:p>
        </w:tc>
        <w:tc>
          <w:tcPr>
            <w:tcW w:type="dxa" w:w="2928"/>
            <w:shd w:val="clear" w:color="auto" w:fill="EFF6FF"/>
          </w:tcPr>
          <w:p>
            <w:pPr>
              <w:spacing w:before="60" w:after="60"/>
            </w:pPr>
            <w:r>
              <w:rPr>
                <w:sz w:val="18"/>
              </w:rPr>
              <w:t>All rows</w:t>
            </w:r>
          </w:p>
        </w:tc>
      </w:tr>
      <w:tr>
        <w:tc>
          <w:tcPr>
            <w:tcW w:type="dxa" w:w="2928"/>
            <w:shd w:val="clear" w:color="auto" w:fill="FFFFFF"/>
          </w:tcPr>
          <w:p>
            <w:pPr>
              <w:spacing w:before="60" w:after="60"/>
            </w:pPr>
            <w:r>
              <w:rPr>
                <w:sz w:val="18"/>
              </w:rPr>
              <w:t>5</w:t>
            </w:r>
          </w:p>
        </w:tc>
        <w:tc>
          <w:tcPr>
            <w:tcW w:type="dxa" w:w="2928"/>
            <w:shd w:val="clear" w:color="auto" w:fill="FFFFFF"/>
          </w:tcPr>
          <w:p>
            <w:pPr>
              <w:spacing w:before="60" w:after="60"/>
            </w:pPr>
            <w:r>
              <w:rPr>
                <w:sz w:val="18"/>
              </w:rPr>
              <w:t>Drop customerID column (non-predictive)</w:t>
            </w:r>
          </w:p>
        </w:tc>
        <w:tc>
          <w:tcPr>
            <w:tcW w:type="dxa" w:w="2928"/>
            <w:shd w:val="clear" w:color="auto" w:fill="FFFFFF"/>
          </w:tcPr>
          <w:p>
            <w:pPr>
              <w:spacing w:before="60" w:after="60"/>
            </w:pPr>
            <w:r>
              <w:rPr>
                <w:sz w:val="18"/>
              </w:rPr>
              <w:t>1 column removed</w:t>
            </w:r>
          </w:p>
        </w:tc>
      </w:tr>
      <w:tr>
        <w:tc>
          <w:tcPr>
            <w:tcW w:type="dxa" w:w="2928"/>
            <w:shd w:val="clear" w:color="auto" w:fill="EFF6FF"/>
          </w:tcPr>
          <w:p>
            <w:pPr>
              <w:spacing w:before="60" w:after="60"/>
            </w:pPr>
            <w:r>
              <w:rPr>
                <w:sz w:val="18"/>
              </w:rPr>
              <w:t>6</w:t>
            </w:r>
          </w:p>
        </w:tc>
        <w:tc>
          <w:tcPr>
            <w:tcW w:type="dxa" w:w="2928"/>
            <w:shd w:val="clear" w:color="auto" w:fill="EFF6FF"/>
          </w:tcPr>
          <w:p>
            <w:pPr>
              <w:spacing w:before="60" w:after="60"/>
            </w:pPr>
            <w:r>
              <w:rPr>
                <w:sz w:val="18"/>
              </w:rPr>
              <w:t>Remove duplicate rows</w:t>
            </w:r>
          </w:p>
        </w:tc>
        <w:tc>
          <w:tcPr>
            <w:tcW w:type="dxa" w:w="2928"/>
            <w:shd w:val="clear" w:color="auto" w:fill="EFF6FF"/>
          </w:tcPr>
          <w:p>
            <w:pPr>
              <w:spacing w:before="60" w:after="60"/>
            </w:pPr>
            <w:r>
              <w:rPr>
                <w:sz w:val="18"/>
              </w:rPr>
              <w:t>22 rows dropped (runtime)</w:t>
            </w:r>
          </w:p>
        </w:tc>
      </w:tr>
      <w:tr>
        <w:tc>
          <w:tcPr>
            <w:tcW w:type="dxa" w:w="2928"/>
            <w:shd w:val="clear" w:color="auto" w:fill="FFFFFF"/>
          </w:tcPr>
          <w:p>
            <w:pPr>
              <w:spacing w:before="60" w:after="60"/>
            </w:pPr>
            <w:r>
              <w:rPr>
                <w:sz w:val="18"/>
              </w:rPr>
              <w:t>7</w:t>
            </w:r>
          </w:p>
        </w:tc>
        <w:tc>
          <w:tcPr>
            <w:tcW w:type="dxa" w:w="2928"/>
            <w:shd w:val="clear" w:color="auto" w:fill="FFFFFF"/>
          </w:tcPr>
          <w:p>
            <w:pPr>
              <w:spacing w:before="60" w:after="60"/>
            </w:pPr>
            <w:r>
              <w:rPr>
                <w:sz w:val="18"/>
              </w:rPr>
              <w:t>Confirm SeniorCitizen as integer type</w:t>
            </w:r>
          </w:p>
        </w:tc>
        <w:tc>
          <w:tcPr>
            <w:tcW w:type="dxa" w:w="2928"/>
            <w:shd w:val="clear" w:color="auto" w:fill="FFFFFF"/>
          </w:tcPr>
          <w:p>
            <w:pPr>
              <w:spacing w:before="60" w:after="60"/>
            </w:pPr>
            <w:r>
              <w:rPr>
                <w:sz w:val="18"/>
              </w:rPr>
              <w:t>All rows</w:t>
            </w:r>
          </w:p>
        </w:tc>
      </w:tr>
      <w:tr>
        <w:tc>
          <w:tcPr>
            <w:tcW w:type="dxa" w:w="2928"/>
            <w:shd w:val="clear" w:color="auto" w:fill="EFF6FF"/>
          </w:tcPr>
          <w:p>
            <w:pPr>
              <w:spacing w:before="60" w:after="60"/>
            </w:pPr>
            <w:r>
              <w:rPr>
                <w:sz w:val="18"/>
              </w:rPr>
              <w:t>—</w:t>
            </w:r>
          </w:p>
        </w:tc>
        <w:tc>
          <w:tcPr>
            <w:tcW w:type="dxa" w:w="2928"/>
            <w:shd w:val="clear" w:color="auto" w:fill="EFF6FF"/>
          </w:tcPr>
          <w:p>
            <w:pPr>
              <w:spacing w:before="60" w:after="60"/>
            </w:pPr>
            <w:r>
              <w:rPr>
                <w:sz w:val="18"/>
              </w:rPr>
              <w:t>Final analytical dataset</w:t>
            </w:r>
          </w:p>
        </w:tc>
        <w:tc>
          <w:tcPr>
            <w:tcW w:type="dxa" w:w="2928"/>
            <w:shd w:val="clear" w:color="auto" w:fill="EFF6FF"/>
          </w:tcPr>
          <w:p>
            <w:pPr>
              <w:spacing w:before="60" w:after="60"/>
            </w:pPr>
            <w:r>
              <w:rPr>
                <w:sz w:val="18"/>
              </w:rPr>
              <w:t>7,010 rows × 20 columns</w:t>
            </w:r>
          </w:p>
        </w:tc>
      </w:tr>
    </w:tbl>
    <w:p>
      <w:pPr>
        <w:spacing w:before="40" w:after="200"/>
        <w:jc w:val="center"/>
      </w:pPr>
      <w:r>
        <w:rPr>
          <w:b w:val="0"/>
          <w:i/>
          <w:color w:val="64748B"/>
          <w:sz w:val="18"/>
        </w:rPr>
        <w:t>Table 1 — Data Cleaning Steps and Records Affected</w:t>
      </w:r>
    </w:p>
    <w:p>
      <w:pPr>
        <w:pBdr>
          <w:bottom w:val="single" w:sz="6" w:space="1" w:color="CBD5E1"/>
        </w:pBdr>
        <w:spacing w:before="40" w:after="120"/>
      </w:pPr>
    </w:p>
    <w:p>
      <w:pPr>
        <w:pStyle w:val="ListBullet"/>
        <w:spacing w:after="60"/>
      </w:pPr>
      <w:r>
        <w:t>Step 1 — Whitespace removal: Column names and all string values were stripped of leading/trailing whitespace.</w:t>
      </w:r>
    </w:p>
    <w:p>
      <w:pPr>
        <w:pStyle w:val="ListBullet"/>
        <w:spacing w:after="60"/>
      </w:pPr>
      <w:r>
        <w:t>Step 2 — TotalCharges conversion: The TotalCharges column contained blank string values for 11 customers with tenure=0 who had not yet been billed.</w:t>
      </w:r>
    </w:p>
    <w:p>
      <w:pPr>
        <w:pStyle w:val="ListBullet"/>
        <w:spacing w:after="60"/>
      </w:pPr>
      <w:r>
        <w:t>Step 3 — Row removal: 11 rows where TotalCharges = NaN were dropped.</w:t>
      </w:r>
    </w:p>
    <w:p>
      <w:pPr>
        <w:pStyle w:val="ListBullet"/>
        <w:spacing w:after="60"/>
      </w:pPr>
      <w:r>
        <w:t>Step 4 — Target encoding: The Churn column ('Yes'/'No') was mapped to 1/0.</w:t>
      </w:r>
    </w:p>
    <w:p>
      <w:pPr>
        <w:pStyle w:val="ListBullet"/>
        <w:spacing w:after="60"/>
      </w:pPr>
      <w:r>
        <w:t>Step 5 — customerID dropped: Non-predictive unique identifier removed from features.</w:t>
      </w:r>
    </w:p>
    <w:p>
      <w:pPr>
        <w:pStyle w:val="ListBullet"/>
        <w:spacing w:after="60"/>
      </w:pPr>
      <w:r>
        <w:t>Step 6 — Duplicate removal: drop_duplicates() removed 22 duplicate rows at runtime.</w:t>
      </w:r>
    </w:p>
    <w:p>
      <w:pPr>
        <w:pStyle w:val="ListBullet"/>
        <w:spacing w:after="60"/>
      </w:pPr>
      <w:r>
        <w:t>Step 7 — SeniorCitizen type: Confirmed as integer (0/1).</w:t>
      </w:r>
    </w:p>
    <w:p>
      <w:pPr>
        <w:pStyle w:val="Heading1"/>
        <w:spacing w:before="360" w:after="160"/>
      </w:pPr>
      <w:r>
        <w:t>7. Exploratory Data Analysis</w:t>
      </w:r>
    </w:p>
    <w:p>
      <w:pPr>
        <w:spacing w:after="160"/>
      </w:pPr>
      <w:r>
        <w:t>EDA was performed across the following dimensions. All charts below are generated from the actual dataset at runtime.</w:t>
      </w:r>
    </w:p>
    <w:p>
      <w:pPr>
        <w:pBdr>
          <w:bottom w:val="single" w:sz="6" w:space="1" w:color="CBD5E1"/>
        </w:pBdr>
        <w:spacing w:before="40" w:after="120"/>
      </w:pPr>
    </w:p>
    <w:p>
      <w:pPr>
        <w:spacing w:after="80"/>
      </w:pPr>
      <w:r>
        <w:t>7.1  Overall Churn Distribution</w:t>
      </w:r>
    </w:p>
    <w:p>
      <w:pPr>
        <w:spacing w:after="160"/>
      </w:pPr>
      <w:r>
        <w:t>The cleaned dataset has an overall churn rate of approximately 26.5%. This class imbalance is addressed by using class_weight='balanced' in both classifiers.</w:t>
      </w:r>
    </w:p>
    <w:p>
      <w:pPr>
        <w:spacing w:before="200"/>
        <w:jc w:val="center"/>
      </w:pPr>
      <w:r>
        <w:drawing>
          <wp:inline xmlns:a="http://schemas.openxmlformats.org/drawingml/2006/main" xmlns:pic="http://schemas.openxmlformats.org/drawingml/2006/picture">
            <wp:extent cx="5029200" cy="4945936"/>
            <wp:docPr id="1" name="Picture 1"/>
            <wp:cNvGraphicFramePr>
              <a:graphicFrameLocks noChangeAspect="1"/>
            </wp:cNvGraphicFramePr>
            <a:graphic>
              <a:graphicData uri="http://schemas.openxmlformats.org/drawingml/2006/picture">
                <pic:pic>
                  <pic:nvPicPr>
                    <pic:cNvPr id="0" name="fig01_churn_distribution.png"/>
                    <pic:cNvPicPr/>
                  </pic:nvPicPr>
                  <pic:blipFill>
                    <a:blip r:embed="rId9"/>
                    <a:stretch>
                      <a:fillRect/>
                    </a:stretch>
                  </pic:blipFill>
                  <pic:spPr>
                    <a:xfrm>
                      <a:off x="0" y="0"/>
                      <a:ext cx="5029200" cy="4945936"/>
                    </a:xfrm>
                    <a:prstGeom prst="rect"/>
                  </pic:spPr>
                </pic:pic>
              </a:graphicData>
            </a:graphic>
          </wp:inline>
        </w:drawing>
      </w:r>
    </w:p>
    <w:p>
      <w:pPr>
        <w:spacing w:after="240"/>
        <w:jc w:val="center"/>
      </w:pPr>
      <w:r>
        <w:rPr>
          <w:i/>
          <w:color w:val="64748B"/>
          <w:sz w:val="18"/>
        </w:rPr>
        <w:t>Figure 1 — Overall churn distribution (26.5% churned, 73.5% retained)</w:t>
      </w:r>
    </w:p>
    <w:p>
      <w:pPr>
        <w:spacing w:after="80"/>
      </w:pPr>
      <w:r>
        <w:t>7.2  Churn by Contract Type</w:t>
      </w:r>
    </w:p>
    <w:p>
      <w:pPr>
        <w:spacing w:after="160"/>
      </w:pPr>
      <w:r>
        <w:t>Month-to-month customers show the highest observed churn rate (≈42.6%). Two-year contract customers show the lowest (≈2.9%). This is the most prominent association in the EDA — it reflects correlation, not proven causation.</w:t>
      </w:r>
    </w:p>
    <w:p>
      <w:pPr>
        <w:spacing w:before="200"/>
        <w:jc w:val="center"/>
      </w:pPr>
      <w:r>
        <w:drawing>
          <wp:inline xmlns:a="http://schemas.openxmlformats.org/drawingml/2006/main" xmlns:pic="http://schemas.openxmlformats.org/drawingml/2006/picture">
            <wp:extent cx="5029200" cy="3708719"/>
            <wp:docPr id="2" name="Picture 2"/>
            <wp:cNvGraphicFramePr>
              <a:graphicFrameLocks noChangeAspect="1"/>
            </wp:cNvGraphicFramePr>
            <a:graphic>
              <a:graphicData uri="http://schemas.openxmlformats.org/drawingml/2006/picture">
                <pic:pic>
                  <pic:nvPicPr>
                    <pic:cNvPr id="0" name="fig02_churn_by_contract.png"/>
                    <pic:cNvPicPr/>
                  </pic:nvPicPr>
                  <pic:blipFill>
                    <a:blip r:embed="rId10"/>
                    <a:stretch>
                      <a:fillRect/>
                    </a:stretch>
                  </pic:blipFill>
                  <pic:spPr>
                    <a:xfrm>
                      <a:off x="0" y="0"/>
                      <a:ext cx="5029200" cy="3708719"/>
                    </a:xfrm>
                    <a:prstGeom prst="rect"/>
                  </pic:spPr>
                </pic:pic>
              </a:graphicData>
            </a:graphic>
          </wp:inline>
        </w:drawing>
      </w:r>
    </w:p>
    <w:p>
      <w:pPr>
        <w:spacing w:after="240"/>
        <w:jc w:val="center"/>
      </w:pPr>
      <w:r>
        <w:rPr>
          <w:i/>
          <w:color w:val="64748B"/>
          <w:sz w:val="18"/>
        </w:rPr>
        <w:t>Figure 2 — Churn rate by contract type (Month-to-month vs One-year vs Two-year)</w:t>
      </w:r>
    </w:p>
    <w:p>
      <w:pPr>
        <w:spacing w:after="80"/>
      </w:pPr>
      <w:r>
        <w:t>7.3  Churn by Tenure</w:t>
      </w:r>
    </w:p>
    <w:p>
      <w:pPr>
        <w:spacing w:after="160"/>
      </w:pPr>
      <w:r>
        <w:t>Customers in their first 12 months churn at ≈47.6%, versus ≈14% for customers with tenure &gt; 24 months. Churn rate decreases as tenure increases.</w:t>
      </w:r>
    </w:p>
    <w:p>
      <w:pPr>
        <w:spacing w:before="200"/>
        <w:jc w:val="center"/>
      </w:pPr>
      <w:r>
        <w:drawing>
          <wp:inline xmlns:a="http://schemas.openxmlformats.org/drawingml/2006/main" xmlns:pic="http://schemas.openxmlformats.org/drawingml/2006/picture">
            <wp:extent cx="5029200" cy="3188057"/>
            <wp:docPr id="3" name="Picture 3"/>
            <wp:cNvGraphicFramePr>
              <a:graphicFrameLocks noChangeAspect="1"/>
            </wp:cNvGraphicFramePr>
            <a:graphic>
              <a:graphicData uri="http://schemas.openxmlformats.org/drawingml/2006/picture">
                <pic:pic>
                  <pic:nvPicPr>
                    <pic:cNvPr id="0" name="fig03_churn_by_tenure.png"/>
                    <pic:cNvPicPr/>
                  </pic:nvPicPr>
                  <pic:blipFill>
                    <a:blip r:embed="rId11"/>
                    <a:stretch>
                      <a:fillRect/>
                    </a:stretch>
                  </pic:blipFill>
                  <pic:spPr>
                    <a:xfrm>
                      <a:off x="0" y="0"/>
                      <a:ext cx="5029200" cy="3188057"/>
                    </a:xfrm>
                    <a:prstGeom prst="rect"/>
                  </pic:spPr>
                </pic:pic>
              </a:graphicData>
            </a:graphic>
          </wp:inline>
        </w:drawing>
      </w:r>
    </w:p>
    <w:p>
      <w:pPr>
        <w:spacing w:after="240"/>
        <w:jc w:val="center"/>
      </w:pPr>
      <w:r>
        <w:rPr>
          <w:i/>
          <w:color w:val="64748B"/>
          <w:sz w:val="18"/>
        </w:rPr>
        <w:t>Figure 3 — Tenure distribution for churned vs retained customers</w:t>
      </w:r>
    </w:p>
    <w:p>
      <w:pPr>
        <w:spacing w:after="80"/>
      </w:pPr>
      <w:r>
        <w:t>7.4  Churn by Internet Service</w:t>
      </w:r>
    </w:p>
    <w:p>
      <w:pPr>
        <w:spacing w:after="160"/>
      </w:pPr>
      <w:r>
        <w:t>Fiber optic customers show the highest observed churn rate among internet service types. Customers with no internet service show the lowest.</w:t>
      </w:r>
    </w:p>
    <w:p>
      <w:pPr>
        <w:spacing w:before="200"/>
        <w:jc w:val="center"/>
      </w:pPr>
      <w:r>
        <w:drawing>
          <wp:inline xmlns:a="http://schemas.openxmlformats.org/drawingml/2006/main" xmlns:pic="http://schemas.openxmlformats.org/drawingml/2006/picture">
            <wp:extent cx="5029200" cy="3708719"/>
            <wp:docPr id="4" name="Picture 4"/>
            <wp:cNvGraphicFramePr>
              <a:graphicFrameLocks noChangeAspect="1"/>
            </wp:cNvGraphicFramePr>
            <a:graphic>
              <a:graphicData uri="http://schemas.openxmlformats.org/drawingml/2006/picture">
                <pic:pic>
                  <pic:nvPicPr>
                    <pic:cNvPr id="0" name="fig04_churn_by_internet.png"/>
                    <pic:cNvPicPr/>
                  </pic:nvPicPr>
                  <pic:blipFill>
                    <a:blip r:embed="rId12"/>
                    <a:stretch>
                      <a:fillRect/>
                    </a:stretch>
                  </pic:blipFill>
                  <pic:spPr>
                    <a:xfrm>
                      <a:off x="0" y="0"/>
                      <a:ext cx="5029200" cy="3708719"/>
                    </a:xfrm>
                    <a:prstGeom prst="rect"/>
                  </pic:spPr>
                </pic:pic>
              </a:graphicData>
            </a:graphic>
          </wp:inline>
        </w:drawing>
      </w:r>
    </w:p>
    <w:p>
      <w:pPr>
        <w:spacing w:after="240"/>
        <w:jc w:val="center"/>
      </w:pPr>
      <w:r>
        <w:rPr>
          <w:i/>
          <w:color w:val="64748B"/>
          <w:sz w:val="18"/>
        </w:rPr>
        <w:t>Figure 4 — Churn rate by internet service type</w:t>
      </w:r>
    </w:p>
    <w:p>
      <w:pPr>
        <w:spacing w:after="80"/>
      </w:pPr>
      <w:r>
        <w:t>7.5  Churn by Payment Method</w:t>
      </w:r>
    </w:p>
    <w:p>
      <w:pPr>
        <w:spacing w:after="160"/>
      </w:pPr>
      <w:r>
        <w:t>Electronic check users exhibit the highest churn rate among the four payment methods. The other three methods show lower and more similar churn rates.</w:t>
      </w:r>
    </w:p>
    <w:p>
      <w:pPr>
        <w:spacing w:before="200"/>
        <w:jc w:val="center"/>
      </w:pPr>
      <w:r>
        <w:drawing>
          <wp:inline xmlns:a="http://schemas.openxmlformats.org/drawingml/2006/main" xmlns:pic="http://schemas.openxmlformats.org/drawingml/2006/picture">
            <wp:extent cx="5029200" cy="2871732"/>
            <wp:docPr id="5" name="Picture 5"/>
            <wp:cNvGraphicFramePr>
              <a:graphicFrameLocks noChangeAspect="1"/>
            </wp:cNvGraphicFramePr>
            <a:graphic>
              <a:graphicData uri="http://schemas.openxmlformats.org/drawingml/2006/picture">
                <pic:pic>
                  <pic:nvPicPr>
                    <pic:cNvPr id="0" name="fig05_churn_by_payment.png"/>
                    <pic:cNvPicPr/>
                  </pic:nvPicPr>
                  <pic:blipFill>
                    <a:blip r:embed="rId13"/>
                    <a:stretch>
                      <a:fillRect/>
                    </a:stretch>
                  </pic:blipFill>
                  <pic:spPr>
                    <a:xfrm>
                      <a:off x="0" y="0"/>
                      <a:ext cx="5029200" cy="2871732"/>
                    </a:xfrm>
                    <a:prstGeom prst="rect"/>
                  </pic:spPr>
                </pic:pic>
              </a:graphicData>
            </a:graphic>
          </wp:inline>
        </w:drawing>
      </w:r>
    </w:p>
    <w:p>
      <w:pPr>
        <w:spacing w:after="240"/>
        <w:jc w:val="center"/>
      </w:pPr>
      <w:r>
        <w:rPr>
          <w:i/>
          <w:color w:val="64748B"/>
          <w:sz w:val="18"/>
        </w:rPr>
        <w:t>Figure 5 — Churn rate by payment method</w:t>
      </w:r>
    </w:p>
    <w:p>
      <w:pPr>
        <w:spacing w:after="80"/>
      </w:pPr>
      <w:r>
        <w:t>7.6  Churn by Monthly Charges</w:t>
      </w:r>
    </w:p>
    <w:p>
      <w:pPr>
        <w:spacing w:after="160"/>
      </w:pPr>
      <w:r>
        <w:t>Churned customers tend to have higher monthly charges than retained customers, with the churned distribution shifted toward the $70–$100 range.</w:t>
      </w:r>
    </w:p>
    <w:p>
      <w:pPr>
        <w:spacing w:before="200"/>
        <w:jc w:val="center"/>
      </w:pPr>
      <w:r>
        <w:drawing>
          <wp:inline xmlns:a="http://schemas.openxmlformats.org/drawingml/2006/main" xmlns:pic="http://schemas.openxmlformats.org/drawingml/2006/picture">
            <wp:extent cx="5029200" cy="3040309"/>
            <wp:docPr id="6" name="Picture 6"/>
            <wp:cNvGraphicFramePr>
              <a:graphicFrameLocks noChangeAspect="1"/>
            </wp:cNvGraphicFramePr>
            <a:graphic>
              <a:graphicData uri="http://schemas.openxmlformats.org/drawingml/2006/picture">
                <pic:pic>
                  <pic:nvPicPr>
                    <pic:cNvPr id="0" name="fig06_monthly_charges.png"/>
                    <pic:cNvPicPr/>
                  </pic:nvPicPr>
                  <pic:blipFill>
                    <a:blip r:embed="rId14"/>
                    <a:stretch>
                      <a:fillRect/>
                    </a:stretch>
                  </pic:blipFill>
                  <pic:spPr>
                    <a:xfrm>
                      <a:off x="0" y="0"/>
                      <a:ext cx="5029200" cy="3040309"/>
                    </a:xfrm>
                    <a:prstGeom prst="rect"/>
                  </pic:spPr>
                </pic:pic>
              </a:graphicData>
            </a:graphic>
          </wp:inline>
        </w:drawing>
      </w:r>
    </w:p>
    <w:p>
      <w:pPr>
        <w:spacing w:after="240"/>
        <w:jc w:val="center"/>
      </w:pPr>
      <w:r>
        <w:rPr>
          <w:i/>
          <w:color w:val="64748B"/>
          <w:sz w:val="18"/>
        </w:rPr>
        <w:t>Figure 6 — Monthly charges distribution: churned vs retained customers</w:t>
      </w:r>
    </w:p>
    <w:p>
      <w:pPr>
        <w:spacing w:after="80"/>
      </w:pPr>
      <w:r>
        <w:t>7.7  Churn by Demographics</w:t>
      </w:r>
    </w:p>
    <w:p>
      <w:pPr>
        <w:spacing w:after="160"/>
      </w:pPr>
      <w:r>
        <w:t>Senior citizens show a higher observed churn rate than non-seniors. Gender shows minimal difference in churn rate.</w:t>
      </w:r>
    </w:p>
    <w:p>
      <w:pPr>
        <w:spacing w:before="200"/>
        <w:jc w:val="center"/>
      </w:pPr>
      <w:r>
        <w:drawing>
          <wp:inline xmlns:a="http://schemas.openxmlformats.org/drawingml/2006/main" xmlns:pic="http://schemas.openxmlformats.org/drawingml/2006/picture">
            <wp:extent cx="5486400" cy="2196039"/>
            <wp:docPr id="7" name="Picture 7"/>
            <wp:cNvGraphicFramePr>
              <a:graphicFrameLocks noChangeAspect="1"/>
            </wp:cNvGraphicFramePr>
            <a:graphic>
              <a:graphicData uri="http://schemas.openxmlformats.org/drawingml/2006/picture">
                <pic:pic>
                  <pic:nvPicPr>
                    <pic:cNvPr id="0" name="fig07_churn_demographics.png"/>
                    <pic:cNvPicPr/>
                  </pic:nvPicPr>
                  <pic:blipFill>
                    <a:blip r:embed="rId15"/>
                    <a:stretch>
                      <a:fillRect/>
                    </a:stretch>
                  </pic:blipFill>
                  <pic:spPr>
                    <a:xfrm>
                      <a:off x="0" y="0"/>
                      <a:ext cx="5486400" cy="2196039"/>
                    </a:xfrm>
                    <a:prstGeom prst="rect"/>
                  </pic:spPr>
                </pic:pic>
              </a:graphicData>
            </a:graphic>
          </wp:inline>
        </w:drawing>
      </w:r>
    </w:p>
    <w:p>
      <w:pPr>
        <w:spacing w:after="240"/>
        <w:jc w:val="center"/>
      </w:pPr>
      <w:r>
        <w:rPr>
          <w:i/>
          <w:color w:val="64748B"/>
          <w:sz w:val="18"/>
        </w:rPr>
        <w:t>Figure 7 — Churn rate by senior citizen status and gender</w:t>
      </w:r>
    </w:p>
    <w:p>
      <w:pPr>
        <w:spacing w:after="80"/>
      </w:pPr>
      <w:r>
        <w:t>7.8  Churn by TechSupport &amp; OnlineSecurity</w:t>
      </w:r>
    </w:p>
    <w:p>
      <w:pPr>
        <w:spacing w:after="160"/>
      </w:pPr>
      <w:r>
        <w:t>Customers without TechSupport churn at ≈41.5% vs ≈15.2% with TechSupport. Customers without OnlineSecurity churn at ≈41.6% vs ≈14.6% with OnlineSecurity. These are correlational associations, not established causal effects.</w:t>
      </w:r>
    </w:p>
    <w:p>
      <w:pPr>
        <w:spacing w:before="200"/>
        <w:jc w:val="center"/>
      </w:pPr>
      <w:r>
        <w:drawing>
          <wp:inline xmlns:a="http://schemas.openxmlformats.org/drawingml/2006/main" xmlns:pic="http://schemas.openxmlformats.org/drawingml/2006/picture">
            <wp:extent cx="5486400" cy="2196039"/>
            <wp:docPr id="8" name="Picture 8"/>
            <wp:cNvGraphicFramePr>
              <a:graphicFrameLocks noChangeAspect="1"/>
            </wp:cNvGraphicFramePr>
            <a:graphic>
              <a:graphicData uri="http://schemas.openxmlformats.org/drawingml/2006/picture">
                <pic:pic>
                  <pic:nvPicPr>
                    <pic:cNvPr id="0" name="fig08_churn_services.png"/>
                    <pic:cNvPicPr/>
                  </pic:nvPicPr>
                  <pic:blipFill>
                    <a:blip r:embed="rId16"/>
                    <a:stretch>
                      <a:fillRect/>
                    </a:stretch>
                  </pic:blipFill>
                  <pic:spPr>
                    <a:xfrm>
                      <a:off x="0" y="0"/>
                      <a:ext cx="5486400" cy="2196039"/>
                    </a:xfrm>
                    <a:prstGeom prst="rect"/>
                  </pic:spPr>
                </pic:pic>
              </a:graphicData>
            </a:graphic>
          </wp:inline>
        </w:drawing>
      </w:r>
    </w:p>
    <w:p>
      <w:pPr>
        <w:spacing w:after="240"/>
        <w:jc w:val="center"/>
      </w:pPr>
      <w:r>
        <w:rPr>
          <w:i/>
          <w:color w:val="64748B"/>
          <w:sz w:val="18"/>
        </w:rPr>
        <w:t>Figure 8 — Churn rate by TechSupport and OnlineSecurity subscription</w:t>
      </w:r>
    </w:p>
    <w:p>
      <w:pPr>
        <w:spacing w:after="80"/>
      </w:pPr>
      <w:r>
        <w:t>7.9  Correlation Matrix</w:t>
      </w:r>
    </w:p>
    <w:p>
      <w:pPr>
        <w:spacing w:after="160"/>
      </w:pPr>
      <w:r>
        <w:t>The correlation matrix shows the linear associations between numerical features and the churn target. Tenure has a negative correlation with churn; MonthlyCharges has a positive correlation.</w:t>
      </w:r>
    </w:p>
    <w:p>
      <w:pPr>
        <w:spacing w:before="200"/>
        <w:jc w:val="center"/>
      </w:pPr>
      <w:r>
        <w:drawing>
          <wp:inline xmlns:a="http://schemas.openxmlformats.org/drawingml/2006/main" xmlns:pic="http://schemas.openxmlformats.org/drawingml/2006/picture">
            <wp:extent cx="5029200" cy="4217853"/>
            <wp:docPr id="9" name="Picture 9"/>
            <wp:cNvGraphicFramePr>
              <a:graphicFrameLocks noChangeAspect="1"/>
            </wp:cNvGraphicFramePr>
            <a:graphic>
              <a:graphicData uri="http://schemas.openxmlformats.org/drawingml/2006/picture">
                <pic:pic>
                  <pic:nvPicPr>
                    <pic:cNvPr id="0" name="fig09_correlation_heatmap.png"/>
                    <pic:cNvPicPr/>
                  </pic:nvPicPr>
                  <pic:blipFill>
                    <a:blip r:embed="rId17"/>
                    <a:stretch>
                      <a:fillRect/>
                    </a:stretch>
                  </pic:blipFill>
                  <pic:spPr>
                    <a:xfrm>
                      <a:off x="0" y="0"/>
                      <a:ext cx="5029200" cy="4217853"/>
                    </a:xfrm>
                    <a:prstGeom prst="rect"/>
                  </pic:spPr>
                </pic:pic>
              </a:graphicData>
            </a:graphic>
          </wp:inline>
        </w:drawing>
      </w:r>
    </w:p>
    <w:p>
      <w:pPr>
        <w:spacing w:after="240"/>
        <w:jc w:val="center"/>
      </w:pPr>
      <w:r>
        <w:rPr>
          <w:i/>
          <w:color w:val="64748B"/>
          <w:sz w:val="18"/>
        </w:rPr>
        <w:t>Figure 9 — Correlation matrix of numerical features</w:t>
      </w:r>
    </w:p>
    <w:p>
      <w:pPr>
        <w:pStyle w:val="Heading1"/>
        <w:spacing w:before="360" w:after="160"/>
      </w:pPr>
      <w:r>
        <w:t>8. Feature Engineering</w:t>
      </w:r>
    </w:p>
    <w:p>
      <w:pPr>
        <w:spacing w:after="160"/>
      </w:pPr>
      <w:r>
        <w:t>The feature engineering step uses a scikit-learn ColumnTransformer with two branches:</w:t>
      </w:r>
    </w:p>
    <w:p>
      <w:pPr>
        <w:pStyle w:val="ListBullet"/>
        <w:spacing w:after="80"/>
      </w:pPr>
      <w:r>
        <w:t>Numerical Features (StandardScaler): tenure, MonthlyCharges, TotalCharges, SeniorCitizen. StandardScaler normalises these to zero mean and unit variance — critical for Logistic Regression's gradient-based optimisation.</w:t>
      </w:r>
    </w:p>
    <w:p>
      <w:pPr>
        <w:pStyle w:val="ListBullet"/>
        <w:spacing w:after="80"/>
      </w:pPr>
      <w:r>
        <w:t>Categorical Features (OneHotEncoder): gender, Partner, Dependents, PhoneService, MultipleLines, InternetService, OnlineSecurity, OnlineBackup, DeviceProtection, TechSupport, StreamingTV, StreamingMovies, Contract, PaperlessBilling, PaymentMethod. handle_unknown='ignore' prevents errors on unseen categories during prediction.</w:t>
      </w:r>
    </w:p>
    <w:p>
      <w:pPr>
        <w:pStyle w:val="Heading1"/>
        <w:spacing w:before="360" w:after="160"/>
      </w:pPr>
      <w:r>
        <w:t>9. Machine Learning Methodology</w:t>
      </w:r>
    </w:p>
    <w:p>
      <w:pPr>
        <w:pStyle w:val="Heading2"/>
        <w:spacing w:before="240" w:after="120"/>
      </w:pPr>
      <w:r>
        <w:t>9.1 Train / Test Split</w:t>
      </w:r>
    </w:p>
    <w:p>
      <w:pPr>
        <w:spacing w:after="160"/>
      </w:pPr>
      <w:r>
        <w:t>The dataset was split 80% training / 20% testing using stratified sampling (stratify=y) to preserve the churn class proportion in both sets. Random seed 42 ensures reproducibility.</w:t>
      </w:r>
    </w:p>
    <w:p>
      <w:pPr>
        <w:pStyle w:val="Heading2"/>
        <w:spacing w:before="240" w:after="120"/>
      </w:pPr>
      <w:r>
        <w:t>9.2 Logistic Regression</w:t>
      </w:r>
    </w:p>
    <w:p>
      <w:pPr>
        <w:spacing w:after="160"/>
      </w:pPr>
      <w:r>
        <w:t>Logistic Regression is a linear probabilistic classifier that models the log-odds of churn as a linear combination of features. Configuration: max_iter=1000 (ensures convergence), class_weight='balanced' (handles class imbalance). Advantages: interpretable coefficients, fast training, strong ROC-AUC on linearly separable problems.</w:t>
      </w:r>
    </w:p>
    <w:p>
      <w:pPr>
        <w:pStyle w:val="Heading2"/>
        <w:spacing w:before="240" w:after="120"/>
      </w:pPr>
      <w:r>
        <w:t>9.3 Random Forest</w:t>
      </w:r>
    </w:p>
    <w:p>
      <w:pPr>
        <w:spacing w:after="160"/>
      </w:pPr>
      <w:r>
        <w:t>Random Forest is an ensemble of decision trees trained on bootstrap samples with random feature subsets at each split. Configuration: n_estimators=200, class_weight='balanced', max_depth=10, random_state=42. Advantages: handles non-linear relationships, provides MDI feature importance scores, robust to outliers.</w:t>
      </w:r>
    </w:p>
    <w:p>
      <w:pPr>
        <w:pStyle w:val="Heading2"/>
        <w:spacing w:before="240" w:after="120"/>
      </w:pPr>
      <w:r>
        <w:t>9.4 Pipeline Architecture</w:t>
      </w:r>
    </w:p>
    <w:p>
      <w:pPr>
        <w:spacing w:after="160"/>
      </w:pPr>
      <w:r>
        <w:t>Each model is wrapped in a scikit-learn Pipeline: [ColumnTransformer (Scaler + OHE)] → [Classifier]. This ensures preprocessing is applied consistently on training and test data with no data leakage. The fitted pipeline is saved with joblib for reuse in the Streamlit dashboard.</w:t>
      </w:r>
    </w:p>
    <w:p>
      <w:pPr>
        <w:spacing w:before="200"/>
        <w:jc w:val="center"/>
      </w:pPr>
      <w:r>
        <w:drawing>
          <wp:inline xmlns:a="http://schemas.openxmlformats.org/drawingml/2006/main" xmlns:pic="http://schemas.openxmlformats.org/drawingml/2006/picture">
            <wp:extent cx="5669280" cy="1826345"/>
            <wp:docPr id="10" name="Picture 10"/>
            <wp:cNvGraphicFramePr>
              <a:graphicFrameLocks noChangeAspect="1"/>
            </wp:cNvGraphicFramePr>
            <a:graphic>
              <a:graphicData uri="http://schemas.openxmlformats.org/drawingml/2006/picture">
                <pic:pic>
                  <pic:nvPicPr>
                    <pic:cNvPr id="0" name="fig10_ml_pipeline.png"/>
                    <pic:cNvPicPr/>
                  </pic:nvPicPr>
                  <pic:blipFill>
                    <a:blip r:embed="rId18"/>
                    <a:stretch>
                      <a:fillRect/>
                    </a:stretch>
                  </pic:blipFill>
                  <pic:spPr>
                    <a:xfrm>
                      <a:off x="0" y="0"/>
                      <a:ext cx="5669280" cy="1826345"/>
                    </a:xfrm>
                    <a:prstGeom prst="rect"/>
                  </pic:spPr>
                </pic:pic>
              </a:graphicData>
            </a:graphic>
          </wp:inline>
        </w:drawing>
      </w:r>
    </w:p>
    <w:p>
      <w:pPr>
        <w:spacing w:after="240"/>
        <w:jc w:val="center"/>
      </w:pPr>
      <w:r>
        <w:rPr>
          <w:i/>
          <w:color w:val="64748B"/>
          <w:sz w:val="18"/>
        </w:rPr>
        <w:t>Figure 10 — End-to-end machine learning pipeline architecture</w:t>
      </w:r>
    </w:p>
    <w:p>
      <w:pPr>
        <w:pStyle w:val="Heading1"/>
        <w:spacing w:before="360" w:after="160"/>
      </w:pPr>
      <w:r>
        <w:t>10. Model Evaluation</w:t>
      </w:r>
    </w:p>
    <w:p>
      <w:pPr>
        <w:spacing w:after="160"/>
      </w:pPr>
      <w:r>
        <w:t>Models are evaluated on the held-out test set (20% = 1,402 customers) using five metrics:</w:t>
      </w:r>
    </w:p>
    <w:p>
      <w:pPr>
        <w:spacing w:after="60"/>
      </w:pPr>
      <w:r>
        <w:rPr>
          <w:b/>
          <w:sz w:val="20"/>
        </w:rPr>
        <w:t xml:space="preserve">Accuracy: </w:t>
      </w:r>
      <w:r>
        <w:rPr>
          <w:sz w:val="20"/>
        </w:rPr>
        <w:t>Overall proportion of correct predictions. Misleading under class imbalance.</w:t>
      </w:r>
    </w:p>
    <w:p>
      <w:pPr>
        <w:spacing w:after="60"/>
      </w:pPr>
      <w:r>
        <w:rPr>
          <w:b/>
          <w:sz w:val="20"/>
        </w:rPr>
        <w:t xml:space="preserve">Precision: </w:t>
      </w:r>
      <w:r>
        <w:rPr>
          <w:sz w:val="20"/>
        </w:rPr>
        <w:t>Of customers predicted to churn, how many actually did. High precision = fewer wasted retention offers.</w:t>
      </w:r>
    </w:p>
    <w:p>
      <w:pPr>
        <w:spacing w:after="60"/>
      </w:pPr>
      <w:r>
        <w:rPr>
          <w:b/>
          <w:sz w:val="20"/>
        </w:rPr>
        <w:t xml:space="preserve">Recall: </w:t>
      </w:r>
      <w:r>
        <w:rPr>
          <w:sz w:val="20"/>
        </w:rPr>
        <w:t>Of actual churners, how many did the model catch. High recall = fewer missed churners. Most business-critical metric.</w:t>
      </w:r>
    </w:p>
    <w:p>
      <w:pPr>
        <w:spacing w:after="60"/>
      </w:pPr>
      <w:r>
        <w:rPr>
          <w:b/>
          <w:sz w:val="20"/>
        </w:rPr>
        <w:t xml:space="preserve">F1 Score: </w:t>
      </w:r>
      <w:r>
        <w:rPr>
          <w:sz w:val="20"/>
        </w:rPr>
        <w:t>Harmonic mean of Precision and Recall. Balances both.</w:t>
      </w:r>
    </w:p>
    <w:p>
      <w:pPr>
        <w:spacing w:after="60"/>
      </w:pPr>
      <w:r>
        <w:rPr>
          <w:b/>
          <w:sz w:val="20"/>
        </w:rPr>
        <w:t xml:space="preserve">ROC-AUC: </w:t>
      </w:r>
      <w:r>
        <w:rPr>
          <w:sz w:val="20"/>
        </w:rPr>
        <w:t>Area under the ROC curve. Threshold-independent ranking quality. Primary model-selection metric.</w:t>
      </w:r>
    </w:p>
    <w:p>
      <w:pPr>
        <w:spacing w:after="200"/>
      </w:pPr>
      <w:r>
        <w:t>Best model is selected by highest ROC-AUC. Note: the assumption that False Negatives are costlier than False Positives is plausible for churn prediction but not derived from this dataset. A production deployment should calibrate the threshold against actual retention costs.</w:t>
      </w:r>
    </w:p>
    <w:p>
      <w:pPr>
        <w:spacing w:before="200"/>
        <w:jc w:val="center"/>
      </w:pPr>
      <w:r>
        <w:drawing>
          <wp:inline xmlns:a="http://schemas.openxmlformats.org/drawingml/2006/main" xmlns:pic="http://schemas.openxmlformats.org/drawingml/2006/picture">
            <wp:extent cx="5669280" cy="1498174"/>
            <wp:docPr id="11" name="Picture 11"/>
            <wp:cNvGraphicFramePr>
              <a:graphicFrameLocks noChangeAspect="1"/>
            </wp:cNvGraphicFramePr>
            <a:graphic>
              <a:graphicData uri="http://schemas.openxmlformats.org/drawingml/2006/picture">
                <pic:pic>
                  <pic:nvPicPr>
                    <pic:cNvPr id="0" name="fig17_model_metrics_table.png"/>
                    <pic:cNvPicPr/>
                  </pic:nvPicPr>
                  <pic:blipFill>
                    <a:blip r:embed="rId19"/>
                    <a:stretch>
                      <a:fillRect/>
                    </a:stretch>
                  </pic:blipFill>
                  <pic:spPr>
                    <a:xfrm>
                      <a:off x="0" y="0"/>
                      <a:ext cx="5669280" cy="1498174"/>
                    </a:xfrm>
                    <a:prstGeom prst="rect"/>
                  </pic:spPr>
                </pic:pic>
              </a:graphicData>
            </a:graphic>
          </wp:inline>
        </w:drawing>
      </w:r>
    </w:p>
    <w:p>
      <w:pPr>
        <w:spacing w:after="240"/>
        <w:jc w:val="center"/>
      </w:pPr>
      <w:r>
        <w:rPr>
          <w:i/>
          <w:color w:val="64748B"/>
          <w:sz w:val="18"/>
        </w:rPr>
        <w:t>Figure 17 — Model evaluation metrics on the held-out test set (★ Best model by ROC-AUC)</w:t>
      </w:r>
    </w:p>
    <w:p>
      <w:pPr>
        <w:spacing w:before="200"/>
        <w:jc w:val="center"/>
      </w:pPr>
      <w:r>
        <w:drawing>
          <wp:inline xmlns:a="http://schemas.openxmlformats.org/drawingml/2006/main" xmlns:pic="http://schemas.openxmlformats.org/drawingml/2006/picture">
            <wp:extent cx="5669280" cy="3316922"/>
            <wp:docPr id="12" name="Picture 12"/>
            <wp:cNvGraphicFramePr>
              <a:graphicFrameLocks noChangeAspect="1"/>
            </wp:cNvGraphicFramePr>
            <a:graphic>
              <a:graphicData uri="http://schemas.openxmlformats.org/drawingml/2006/picture">
                <pic:pic>
                  <pic:nvPicPr>
                    <pic:cNvPr id="0" name="fig11_model_comparison.png"/>
                    <pic:cNvPicPr/>
                  </pic:nvPicPr>
                  <pic:blipFill>
                    <a:blip r:embed="rId20"/>
                    <a:stretch>
                      <a:fillRect/>
                    </a:stretch>
                  </pic:blipFill>
                  <pic:spPr>
                    <a:xfrm>
                      <a:off x="0" y="0"/>
                      <a:ext cx="5669280" cy="3316922"/>
                    </a:xfrm>
                    <a:prstGeom prst="rect"/>
                  </pic:spPr>
                </pic:pic>
              </a:graphicData>
            </a:graphic>
          </wp:inline>
        </w:drawing>
      </w:r>
    </w:p>
    <w:p>
      <w:pPr>
        <w:spacing w:after="240"/>
        <w:jc w:val="center"/>
      </w:pPr>
      <w:r>
        <w:rPr>
          <w:i/>
          <w:color w:val="64748B"/>
          <w:sz w:val="18"/>
        </w:rPr>
        <w:t>Figure 11 — Side-by-side performance comparison: Logistic Regression vs Random Forest</w:t>
      </w:r>
    </w:p>
    <w:p>
      <w:pPr>
        <w:spacing w:before="200"/>
        <w:jc w:val="center"/>
      </w:pPr>
      <w:r>
        <w:drawing>
          <wp:inline xmlns:a="http://schemas.openxmlformats.org/drawingml/2006/main" xmlns:pic="http://schemas.openxmlformats.org/drawingml/2006/picture">
            <wp:extent cx="5029200" cy="4396636"/>
            <wp:docPr id="13" name="Picture 13"/>
            <wp:cNvGraphicFramePr>
              <a:graphicFrameLocks noChangeAspect="1"/>
            </wp:cNvGraphicFramePr>
            <a:graphic>
              <a:graphicData uri="http://schemas.openxmlformats.org/drawingml/2006/picture">
                <pic:pic>
                  <pic:nvPicPr>
                    <pic:cNvPr id="0" name="fig13_roc_curves.png"/>
                    <pic:cNvPicPr/>
                  </pic:nvPicPr>
                  <pic:blipFill>
                    <a:blip r:embed="rId21"/>
                    <a:stretch>
                      <a:fillRect/>
                    </a:stretch>
                  </pic:blipFill>
                  <pic:spPr>
                    <a:xfrm>
                      <a:off x="0" y="0"/>
                      <a:ext cx="5029200" cy="4396636"/>
                    </a:xfrm>
                    <a:prstGeom prst="rect"/>
                  </pic:spPr>
                </pic:pic>
              </a:graphicData>
            </a:graphic>
          </wp:inline>
        </w:drawing>
      </w:r>
    </w:p>
    <w:p>
      <w:pPr>
        <w:spacing w:after="240"/>
        <w:jc w:val="center"/>
      </w:pPr>
      <w:r>
        <w:rPr>
          <w:i/>
          <w:color w:val="64748B"/>
          <w:sz w:val="18"/>
        </w:rPr>
        <w:t>Figure 13 — ROC curves: Logistic Regression (AUC=0.846) vs Random Forest (AUC=0.839)</w:t>
      </w:r>
    </w:p>
    <w:p>
      <w:pPr>
        <w:spacing w:before="200"/>
        <w:jc w:val="center"/>
      </w:pPr>
      <w:r>
        <w:drawing>
          <wp:inline xmlns:a="http://schemas.openxmlformats.org/drawingml/2006/main" xmlns:pic="http://schemas.openxmlformats.org/drawingml/2006/picture">
            <wp:extent cx="5669280" cy="2592046"/>
            <wp:docPr id="14" name="Picture 14"/>
            <wp:cNvGraphicFramePr>
              <a:graphicFrameLocks noChangeAspect="1"/>
            </wp:cNvGraphicFramePr>
            <a:graphic>
              <a:graphicData uri="http://schemas.openxmlformats.org/drawingml/2006/picture">
                <pic:pic>
                  <pic:nvPicPr>
                    <pic:cNvPr id="0" name="fig12_confusion_matrices.png"/>
                    <pic:cNvPicPr/>
                  </pic:nvPicPr>
                  <pic:blipFill>
                    <a:blip r:embed="rId22"/>
                    <a:stretch>
                      <a:fillRect/>
                    </a:stretch>
                  </pic:blipFill>
                  <pic:spPr>
                    <a:xfrm>
                      <a:off x="0" y="0"/>
                      <a:ext cx="5669280" cy="2592046"/>
                    </a:xfrm>
                    <a:prstGeom prst="rect"/>
                  </pic:spPr>
                </pic:pic>
              </a:graphicData>
            </a:graphic>
          </wp:inline>
        </w:drawing>
      </w:r>
    </w:p>
    <w:p>
      <w:pPr>
        <w:spacing w:after="240"/>
        <w:jc w:val="center"/>
      </w:pPr>
      <w:r>
        <w:rPr>
          <w:i/>
          <w:color w:val="64748B"/>
          <w:sz w:val="18"/>
        </w:rPr>
        <w:t>Figure 12 — Confusion matrices: Logistic Regression and Random Forest on test set</w:t>
      </w:r>
    </w:p>
    <w:p>
      <w:pPr>
        <w:pStyle w:val="Heading1"/>
        <w:spacing w:before="360" w:after="160"/>
      </w:pPr>
      <w:r>
        <w:t>11. Dashboard Design</w:t>
      </w:r>
    </w:p>
    <w:p>
      <w:pPr>
        <w:spacing w:after="160"/>
      </w:pPr>
      <w:r>
        <w:t>The executive Streamlit dashboard has five pages, all reading live data from the cleaned dataset and trained model — no hard-coded values anywhere.</w:t>
      </w:r>
    </w:p>
    <w:p>
      <w:pPr>
        <w:spacing w:after="60"/>
      </w:pPr>
      <w:r>
        <w:t>Page 1 — Executive Overview</w:t>
      </w:r>
    </w:p>
    <w:p>
      <w:pPr>
        <w:pStyle w:val="ListBullet"/>
        <w:spacing w:after="80"/>
      </w:pPr>
      <w:r>
        <w:t>KPI cards: Total Customers, Churn Rate, Retention Rate, Revenue, High-Risk count, Avg Monthly Charges</w:t>
      </w:r>
    </w:p>
    <w:p>
      <w:pPr>
        <w:pStyle w:val="ListBullet"/>
        <w:spacing w:after="80"/>
      </w:pPr>
      <w:r>
        <w:t>Charts: churn distribution pie, churn by contract bar, risk distribution, monthly charges box plot</w:t>
      </w:r>
    </w:p>
    <w:p>
      <w:pPr>
        <w:pStyle w:val="ListBullet"/>
        <w:spacing w:after="80"/>
      </w:pPr>
      <w:r>
        <w:t>Four insight tabs: Key Findings, Risks, Opportunities, Actions</w:t>
      </w:r>
    </w:p>
    <w:p>
      <w:pPr>
        <w:spacing w:before="200"/>
        <w:jc w:val="center"/>
      </w:pPr>
      <w:r>
        <w:drawing>
          <wp:inline xmlns:a="http://schemas.openxmlformats.org/drawingml/2006/main" xmlns:pic="http://schemas.openxmlformats.org/drawingml/2006/picture">
            <wp:extent cx="5669280" cy="3431152"/>
            <wp:docPr id="15" name="Picture 15"/>
            <wp:cNvGraphicFramePr>
              <a:graphicFrameLocks noChangeAspect="1"/>
            </wp:cNvGraphicFramePr>
            <a:graphic>
              <a:graphicData uri="http://schemas.openxmlformats.org/drawingml/2006/picture">
                <pic:pic>
                  <pic:nvPicPr>
                    <pic:cNvPr id="0" name="fig18_dashboard_page1.png"/>
                    <pic:cNvPicPr/>
                  </pic:nvPicPr>
                  <pic:blipFill>
                    <a:blip r:embed="rId23"/>
                    <a:stretch>
                      <a:fillRect/>
                    </a:stretch>
                  </pic:blipFill>
                  <pic:spPr>
                    <a:xfrm>
                      <a:off x="0" y="0"/>
                      <a:ext cx="5669280" cy="3431152"/>
                    </a:xfrm>
                    <a:prstGeom prst="rect"/>
                  </pic:spPr>
                </pic:pic>
              </a:graphicData>
            </a:graphic>
          </wp:inline>
        </w:drawing>
      </w:r>
    </w:p>
    <w:p>
      <w:pPr>
        <w:spacing w:after="240"/>
        <w:jc w:val="center"/>
      </w:pPr>
      <w:r>
        <w:rPr>
          <w:i/>
          <w:color w:val="64748B"/>
          <w:sz w:val="18"/>
        </w:rPr>
        <w:t>Figure 18 — Executive Overview page (dark-theme dashboard, KPI cards and live charts)</w:t>
      </w:r>
    </w:p>
    <w:p>
      <w:pPr>
        <w:spacing w:after="60"/>
      </w:pPr>
      <w:r>
        <w:t>Page 2 — Churn &amp; Customer Analysis</w:t>
      </w:r>
    </w:p>
    <w:p>
      <w:pPr>
        <w:pStyle w:val="ListBullet"/>
        <w:spacing w:after="80"/>
      </w:pPr>
      <w:r>
        <w:t>Six interactive charts: tenure, payment method, internet service, online security, monthly charges, tech support</w:t>
      </w:r>
    </w:p>
    <w:p>
      <w:pPr>
        <w:pStyle w:val="ListBullet"/>
        <w:spacing w:after="80"/>
      </w:pPr>
      <w:r>
        <w:t>Sidebar filters: Contract, Internet Service, Payment Method, Senior Citizen, Gender, Risk Level</w:t>
      </w:r>
    </w:p>
    <w:p>
      <w:pPr>
        <w:spacing w:after="60"/>
      </w:pPr>
      <w:r>
        <w:t>Page 3 — Risk, Opportunity &amp; Action</w:t>
      </w:r>
    </w:p>
    <w:p>
      <w:pPr>
        <w:pStyle w:val="ListBullet"/>
        <w:spacing w:after="80"/>
      </w:pPr>
      <w:r>
        <w:t>Risk KPI cards, risk-by-contract chart, top-10 feature importance chart</w:t>
      </w:r>
    </w:p>
    <w:p>
      <w:pPr>
        <w:pStyle w:val="ListBullet"/>
        <w:spacing w:after="80"/>
      </w:pPr>
      <w:r>
        <w:t>Opportunity analysis (paperless billing, tenure groups)</w:t>
      </w:r>
    </w:p>
    <w:p>
      <w:pPr>
        <w:pStyle w:val="ListBullet"/>
        <w:spacing w:after="80"/>
      </w:pPr>
      <w:r>
        <w:t>Data-driven recommended actions and high-risk customer snapshot table</w:t>
      </w:r>
    </w:p>
    <w:p>
      <w:pPr>
        <w:spacing w:after="60"/>
      </w:pPr>
      <w:r>
        <w:t>Page 4 — Customer Prediction</w:t>
      </w:r>
    </w:p>
    <w:p>
      <w:pPr>
        <w:pStyle w:val="ListBullet"/>
        <w:spacing w:after="80"/>
      </w:pPr>
      <w:r>
        <w:t>Individual customer form with 20 input fields</w:t>
      </w:r>
    </w:p>
    <w:p>
      <w:pPr>
        <w:pStyle w:val="ListBullet"/>
        <w:spacing w:after="80"/>
      </w:pPr>
      <w:r>
        <w:t>Churn probability gauge chart, risk category, contributing factors, personalised retention recommendation</w:t>
      </w:r>
    </w:p>
    <w:p>
      <w:pPr>
        <w:spacing w:after="60"/>
      </w:pPr>
      <w:r>
        <w:t>Page 5 — Model Performance</w:t>
      </w:r>
    </w:p>
    <w:p>
      <w:pPr>
        <w:pStyle w:val="ListBullet"/>
        <w:spacing w:after="80"/>
      </w:pPr>
      <w:r>
        <w:t>Model comparison table, ROC curves, confusion matrix, full classification report</w:t>
      </w:r>
    </w:p>
    <w:p>
      <w:pPr>
        <w:pStyle w:val="Heading1"/>
        <w:spacing w:before="360" w:after="160"/>
      </w:pPr>
      <w:r>
        <w:t>12. Key Findings</w:t>
      </w:r>
    </w:p>
    <w:p>
      <w:pPr>
        <w:spacing w:after="160"/>
      </w:pPr>
      <w:r>
        <w:t>All findings below are derived from the dataset at runtime — no values are hard-coded.</w:t>
      </w:r>
    </w:p>
    <w:p>
      <w:pPr>
        <w:pBdr>
          <w:bottom w:val="single" w:sz="6" w:space="1" w:color="CBD5E1"/>
        </w:pBdr>
        <w:spacing w:before="40" w:after="120"/>
      </w:pPr>
    </w:p>
    <w:p>
      <w:pPr>
        <w:spacing w:before="160" w:after="80"/>
      </w:pPr>
      <w:r>
        <w:rPr>
          <w:b/>
          <w:color w:val="3B82D4"/>
          <w:sz w:val="22"/>
        </w:rPr>
        <w:t>Feature Importance (Figure 14)</w:t>
      </w:r>
    </w:p>
    <w:p>
      <w:pPr>
        <w:spacing w:after="120"/>
      </w:pPr>
      <w:r>
        <w:t>Contract type is the highest-importance feature in the Logistic Regression model, followed by tenure and InternetService. These are MDI/|coefficient| scores reflecting the model's weighting, not confirmed causal effects.</w:t>
      </w:r>
    </w:p>
    <w:p>
      <w:pPr>
        <w:spacing w:before="200"/>
        <w:jc w:val="center"/>
      </w:pPr>
      <w:r>
        <w:drawing>
          <wp:inline xmlns:a="http://schemas.openxmlformats.org/drawingml/2006/main" xmlns:pic="http://schemas.openxmlformats.org/drawingml/2006/picture">
            <wp:extent cx="5303520" cy="3707413"/>
            <wp:docPr id="16" name="Picture 16"/>
            <wp:cNvGraphicFramePr>
              <a:graphicFrameLocks noChangeAspect="1"/>
            </wp:cNvGraphicFramePr>
            <a:graphic>
              <a:graphicData uri="http://schemas.openxmlformats.org/drawingml/2006/picture">
                <pic:pic>
                  <pic:nvPicPr>
                    <pic:cNvPr id="0" name="fig14_feature_importance.png"/>
                    <pic:cNvPicPr/>
                  </pic:nvPicPr>
                  <pic:blipFill>
                    <a:blip r:embed="rId24"/>
                    <a:stretch>
                      <a:fillRect/>
                    </a:stretch>
                  </pic:blipFill>
                  <pic:spPr>
                    <a:xfrm>
                      <a:off x="0" y="0"/>
                      <a:ext cx="5303520" cy="3707413"/>
                    </a:xfrm>
                    <a:prstGeom prst="rect"/>
                  </pic:spPr>
                </pic:pic>
              </a:graphicData>
            </a:graphic>
          </wp:inline>
        </w:drawing>
      </w:r>
    </w:p>
    <w:p>
      <w:pPr>
        <w:spacing w:after="240"/>
        <w:jc w:val="center"/>
      </w:pPr>
      <w:r>
        <w:rPr>
          <w:i/>
          <w:color w:val="64748B"/>
          <w:sz w:val="18"/>
        </w:rPr>
        <w:t>Figure 14 — Top 10 churn drivers by feature importance (Logistic Regression |coefficient| aggregated per feature)</w:t>
      </w:r>
    </w:p>
    <w:p>
      <w:pPr>
        <w:spacing w:before="160" w:after="80"/>
      </w:pPr>
      <w:r>
        <w:rPr>
          <w:b/>
          <w:color w:val="3B82D4"/>
          <w:sz w:val="22"/>
        </w:rPr>
        <w:t>KPI Summary (Figure 16)</w:t>
      </w:r>
    </w:p>
    <w:p>
      <w:pPr>
        <w:spacing w:after="120"/>
      </w:pPr>
      <w:r>
        <w:t>The business KPI summary shows 7,010 customers after cleaning, 26.5% churn rate, $454,870/month total revenue, and 2,339 customers classified as High Risk by the ML model.</w:t>
      </w:r>
    </w:p>
    <w:p>
      <w:pPr>
        <w:spacing w:before="200"/>
        <w:jc w:val="center"/>
      </w:pPr>
      <w:r>
        <w:drawing>
          <wp:inline xmlns:a="http://schemas.openxmlformats.org/drawingml/2006/main" xmlns:pic="http://schemas.openxmlformats.org/drawingml/2006/picture">
            <wp:extent cx="5303520" cy="3315486"/>
            <wp:docPr id="17" name="Picture 17"/>
            <wp:cNvGraphicFramePr>
              <a:graphicFrameLocks noChangeAspect="1"/>
            </wp:cNvGraphicFramePr>
            <a:graphic>
              <a:graphicData uri="http://schemas.openxmlformats.org/drawingml/2006/picture">
                <pic:pic>
                  <pic:nvPicPr>
                    <pic:cNvPr id="0" name="fig16_kpi_table.png"/>
                    <pic:cNvPicPr/>
                  </pic:nvPicPr>
                  <pic:blipFill>
                    <a:blip r:embed="rId25"/>
                    <a:stretch>
                      <a:fillRect/>
                    </a:stretch>
                  </pic:blipFill>
                  <pic:spPr>
                    <a:xfrm>
                      <a:off x="0" y="0"/>
                      <a:ext cx="5303520" cy="3315486"/>
                    </a:xfrm>
                    <a:prstGeom prst="rect"/>
                  </pic:spPr>
                </pic:pic>
              </a:graphicData>
            </a:graphic>
          </wp:inline>
        </w:drawing>
      </w:r>
    </w:p>
    <w:p>
      <w:pPr>
        <w:spacing w:after="240"/>
        <w:jc w:val="center"/>
      </w:pPr>
      <w:r>
        <w:rPr>
          <w:i/>
          <w:color w:val="64748B"/>
          <w:sz w:val="18"/>
        </w:rPr>
        <w:t>Figure 16 — Business KPI summary computed at runtime from the cleaned dataset</w:t>
      </w:r>
    </w:p>
    <w:p>
      <w:pPr>
        <w:spacing w:before="160" w:after="80"/>
      </w:pPr>
      <w:r>
        <w:rPr>
          <w:b/>
          <w:color w:val="3B82D4"/>
          <w:sz w:val="22"/>
        </w:rPr>
        <w:t>Risk Distribution (Figure 15)</w:t>
      </w:r>
    </w:p>
    <w:p>
      <w:pPr>
        <w:spacing w:after="120"/>
      </w:pPr>
      <w:r>
        <w:t>The ML model classifies 33.4% of customers as High Risk, 24.5% as Medium Risk, and 42.2% as Low Risk based on a churn probability threshold of &gt;60% for High Risk.</w:t>
      </w:r>
    </w:p>
    <w:p>
      <w:pPr>
        <w:spacing w:before="200"/>
        <w:jc w:val="center"/>
      </w:pPr>
      <w:r>
        <w:drawing>
          <wp:inline xmlns:a="http://schemas.openxmlformats.org/drawingml/2006/main" xmlns:pic="http://schemas.openxmlformats.org/drawingml/2006/picture">
            <wp:extent cx="5303520" cy="4413668"/>
            <wp:docPr id="18" name="Picture 18"/>
            <wp:cNvGraphicFramePr>
              <a:graphicFrameLocks noChangeAspect="1"/>
            </wp:cNvGraphicFramePr>
            <a:graphic>
              <a:graphicData uri="http://schemas.openxmlformats.org/drawingml/2006/picture">
                <pic:pic>
                  <pic:nvPicPr>
                    <pic:cNvPr id="0" name="fig15_risk_distribution.png"/>
                    <pic:cNvPicPr/>
                  </pic:nvPicPr>
                  <pic:blipFill>
                    <a:blip r:embed="rId26"/>
                    <a:stretch>
                      <a:fillRect/>
                    </a:stretch>
                  </pic:blipFill>
                  <pic:spPr>
                    <a:xfrm>
                      <a:off x="0" y="0"/>
                      <a:ext cx="5303520" cy="4413668"/>
                    </a:xfrm>
                    <a:prstGeom prst="rect"/>
                  </pic:spPr>
                </pic:pic>
              </a:graphicData>
            </a:graphic>
          </wp:inline>
        </w:drawing>
      </w:r>
    </w:p>
    <w:p>
      <w:pPr>
        <w:spacing w:after="240"/>
        <w:jc w:val="center"/>
      </w:pPr>
      <w:r>
        <w:rPr>
          <w:i/>
          <w:color w:val="64748B"/>
          <w:sz w:val="18"/>
        </w:rPr>
        <w:t>Figure 15 — Customer risk segmentation (ML model predictions)</w:t>
      </w:r>
    </w:p>
    <w:p>
      <w:pPr>
        <w:spacing w:after="160"/>
      </w:pPr>
      <w:r>
        <w:t>Key Findings Summary:</w:t>
      </w:r>
    </w:p>
    <w:p>
      <w:pPr>
        <w:pStyle w:val="ListBullet"/>
        <w:spacing w:after="80"/>
      </w:pPr>
      <w:r>
        <w:t>Contract type shows the largest observed churn rate difference. Month-to-month: ≈42.6% churn; Two-year: ≈2.9% churn.</w:t>
      </w:r>
    </w:p>
    <w:p>
      <w:pPr>
        <w:pStyle w:val="ListBullet"/>
        <w:spacing w:after="80"/>
      </w:pPr>
      <w:r>
        <w:t>Customers with tenure ≤ 12 months churn at ≈47.6% vs ≈14.0% for customers with tenure &gt; 24 months.</w:t>
      </w:r>
    </w:p>
    <w:p>
      <w:pPr>
        <w:pStyle w:val="ListBullet"/>
        <w:spacing w:after="80"/>
      </w:pPr>
      <w:r>
        <w:t>Fiber optic internet service is associated with a higher observed churn rate than DSL.</w:t>
      </w:r>
    </w:p>
    <w:p>
      <w:pPr>
        <w:pStyle w:val="ListBullet"/>
        <w:spacing w:after="80"/>
      </w:pPr>
      <w:r>
        <w:t>Customers without TechSupport churn at ≈41.5% vs ≈15.2% with TechSupport (observed association).</w:t>
      </w:r>
    </w:p>
    <w:p>
      <w:pPr>
        <w:pStyle w:val="ListBullet"/>
        <w:spacing w:after="80"/>
      </w:pPr>
      <w:r>
        <w:t>Electronic check payment method shows the highest observed churn rate among all payment methods.</w:t>
      </w:r>
    </w:p>
    <w:p>
      <w:pPr>
        <w:pStyle w:val="Heading1"/>
        <w:spacing w:before="360" w:after="160"/>
      </w:pPr>
      <w:r>
        <w:t>13. Risks</w:t>
      </w:r>
    </w:p>
    <w:p>
      <w:pPr>
        <w:spacing w:after="160"/>
      </w:pPr>
      <w:r>
        <w:t>The ML model classifies 2,339 customers (33.4% of the dataset) as High Risk (predicted churn probability &gt; 60%). Their combined monthly charges represent the model-predicted revenue exposure — approximately $183,018/month. These are model predictions, not confirmed churn outcomes.</w:t>
      </w:r>
    </w:p>
    <w:p>
      <w:pPr>
        <w:pStyle w:val="ListBullet"/>
        <w:spacing w:after="80"/>
      </w:pPr>
      <w:r>
        <w:t>2,339 customers classified as High Risk by the ML model (probability &gt; 60%), representing ≈$183,018/month model-predicted revenue exposure.</w:t>
      </w:r>
    </w:p>
    <w:p>
      <w:pPr>
        <w:pStyle w:val="ListBullet"/>
        <w:spacing w:after="80"/>
      </w:pPr>
      <w:r>
        <w:t>Senior citizens show an above-average observed churn rate relative to non-seniors.</w:t>
      </w:r>
    </w:p>
    <w:p>
      <w:pPr>
        <w:pStyle w:val="ListBullet"/>
        <w:spacing w:after="80"/>
      </w:pPr>
      <w:r>
        <w:t>Electronic check payment method is associated with the highest observed churn rate among payment methods.</w:t>
      </w:r>
    </w:p>
    <w:p>
      <w:pPr>
        <w:pStyle w:val="Heading1"/>
        <w:spacing w:before="360" w:after="160"/>
      </w:pPr>
      <w:r>
        <w:t>14. Opportunities</w:t>
      </w:r>
    </w:p>
    <w:p>
      <w:pPr>
        <w:pStyle w:val="ListBullet"/>
        <w:spacing w:after="80"/>
      </w:pPr>
      <w:r>
        <w:t>3,295 customers with tenure &gt; 24 months who have not churned form a stable retained segment — 47.0% of all customers.</w:t>
      </w:r>
    </w:p>
    <w:p>
      <w:pPr>
        <w:pStyle w:val="ListBullet"/>
        <w:spacing w:after="80"/>
      </w:pPr>
      <w:r>
        <w:t>The observed churn rate difference between customers without vs with TechSupport (41.5% vs 15.2%) suggests targeted add-on offers are worth evaluating experimentally.</w:t>
      </w:r>
    </w:p>
    <w:p>
      <w:pPr>
        <w:pStyle w:val="ListBullet"/>
        <w:spacing w:after="80"/>
      </w:pPr>
      <w:r>
        <w:t>Month-to-month customers currently retained could be candidates for contract-upgrade incentive experiments.</w:t>
      </w:r>
    </w:p>
    <w:p>
      <w:pPr>
        <w:pStyle w:val="Heading1"/>
        <w:spacing w:before="360" w:after="160"/>
      </w:pPr>
      <w:r>
        <w:t>15. Recommended Actions</w:t>
      </w:r>
    </w:p>
    <w:p>
      <w:pPr>
        <w:spacing w:after="160"/>
      </w:pPr>
      <w:r>
        <w:t>All actions are framed as testable hypotheses, not proven interventions:</w:t>
      </w:r>
    </w:p>
    <w:p>
      <w:pPr>
        <w:pStyle w:val="ListBullet"/>
        <w:spacing w:after="80"/>
      </w:pPr>
      <w:r>
        <w:t>Evaluate: Use the model's High-Risk flag (probability &gt; 60%) as a prioritisation tool to identify customers most worth investigating for retention outreach. Validate through a controlled experiment before scaling.</w:t>
      </w:r>
    </w:p>
    <w:p>
      <w:pPr>
        <w:pStyle w:val="ListBullet"/>
        <w:spacing w:after="80"/>
      </w:pPr>
      <w:r>
        <w:t>Test: Target TechSupport and OnlineSecurity offers at customers who currently lack these services. Measure retention impact through a controlled experiment (correlational finding, not confirmed causation).</w:t>
      </w:r>
    </w:p>
    <w:p>
      <w:pPr>
        <w:pStyle w:val="ListBullet"/>
        <w:spacing w:after="80"/>
      </w:pPr>
      <w:r>
        <w:t>Investigate: Test contract-upgrade incentives among month-to-month customers and measure whether the intervention reduces churn (the observed churn rate gap motivates this hypothesis, not a proven causal mechanism).</w:t>
      </w:r>
    </w:p>
    <w:p>
      <w:pPr>
        <w:pStyle w:val="ListBullet"/>
        <w:spacing w:after="80"/>
      </w:pPr>
      <w:r>
        <w:t>Validate: Investigate whether the higher observed churn rate among electronic check users reflects a billing experience issue or a confounding customer segment effect before concluding a payment-method intervention would reduce churn.</w:t>
      </w:r>
    </w:p>
    <w:p>
      <w:pPr>
        <w:pStyle w:val="Heading1"/>
        <w:spacing w:before="360" w:after="160"/>
      </w:pPr>
      <w:r>
        <w:t>16. Conclusion</w:t>
      </w:r>
    </w:p>
    <w:p>
      <w:pPr>
        <w:spacing w:after="160"/>
      </w:pPr>
      <w:r>
        <w:t>This project demonstrates a complete end-to-end data analytics and machine learning workflow applied to the business problem of customer churn prediction. The Streamlit dashboard translates data science outputs into actionable business intelligence for telecom executives and retention teams.</w:t>
      </w:r>
    </w:p>
    <w:p>
      <w:pPr>
        <w:spacing w:after="160"/>
      </w:pPr>
      <w:r>
        <w:t>Key technical achievements include: a clean, reproducible data pipeline; a properly evaluated ML model (selected by ROC-AUC, not accuracy); churn probability scoring for every customer; risk categorisation with configurable thresholds; and data-grounded executive insights with no hard-coded numbers.</w:t>
      </w:r>
    </w:p>
    <w:p>
      <w:pPr>
        <w:pStyle w:val="Heading1"/>
        <w:spacing w:before="360" w:after="160"/>
      </w:pPr>
      <w:r>
        <w:t>17. Future Scope</w:t>
      </w:r>
    </w:p>
    <w:p>
      <w:pPr>
        <w:pStyle w:val="ListBullet"/>
        <w:spacing w:after="80"/>
      </w:pPr>
      <w:r>
        <w:t>Temporal modelling: Incorporate time-series data (monthly snapshots) to model churn as a survival analysis problem.</w:t>
      </w:r>
    </w:p>
    <w:p>
      <w:pPr>
        <w:pStyle w:val="ListBullet"/>
        <w:spacing w:after="80"/>
      </w:pPr>
      <w:r>
        <w:t>Advanced models: Experiment with XGBoost, LightGBM, or Neural Networks for potentially higher predictive accuracy.</w:t>
      </w:r>
    </w:p>
    <w:p>
      <w:pPr>
        <w:pStyle w:val="ListBullet"/>
        <w:spacing w:after="80"/>
      </w:pPr>
      <w:r>
        <w:t>SHAP explainability: Replace feature importance with SHAP values for per-customer explanation.</w:t>
      </w:r>
    </w:p>
    <w:p>
      <w:pPr>
        <w:pStyle w:val="ListBullet"/>
        <w:spacing w:after="80"/>
      </w:pPr>
      <w:r>
        <w:t>A/B testing integration: Measure the actual retention lift from model-recommended actions using controlled experiments.</w:t>
      </w:r>
    </w:p>
    <w:p>
      <w:pPr>
        <w:pStyle w:val="ListBullet"/>
        <w:spacing w:after="80"/>
      </w:pPr>
      <w:r>
        <w:t>Real-time API: Deploy the trained model as a REST API for integration with CRM systems.</w:t>
      </w:r>
    </w:p>
    <w:p>
      <w:pPr>
        <w:pStyle w:val="Heading1"/>
        <w:spacing w:before="360" w:after="160"/>
      </w:pPr>
      <w:r>
        <w:t>18. References</w:t>
      </w:r>
    </w:p>
    <w:p>
      <w:pPr>
        <w:spacing w:after="80"/>
      </w:pPr>
      <w:r>
        <w:t>1. Telco Customer Churn Dataset — IBM Sample Data. Kaggle. https://www.kaggle.com/datasets/blastchar/telco-customer-churn</w:t>
      </w:r>
    </w:p>
    <w:p>
      <w:pPr>
        <w:spacing w:after="80"/>
      </w:pPr>
      <w:r>
        <w:t>2. scikit-learn Documentation — Machine Learning in Python. https://scikit-learn.org/</w:t>
      </w:r>
    </w:p>
    <w:p>
      <w:pPr>
        <w:spacing w:after="80"/>
      </w:pPr>
      <w:r>
        <w:t>3. Streamlit Documentation — Build and share data apps. https://docs.streamlit.io/</w:t>
      </w:r>
    </w:p>
    <w:p>
      <w:pPr>
        <w:spacing w:after="80"/>
      </w:pPr>
      <w:r>
        <w:t>4. Plotly Python Open Source Graphing Library. https://plotly.com/python/</w:t>
      </w:r>
    </w:p>
    <w:p>
      <w:pPr>
        <w:spacing w:after="80"/>
      </w:pPr>
      <w:r>
        <w:t>5. Breiman, L. (2001). Random Forests. Machine Learning, 45(1), 5–32.</w:t>
      </w:r>
    </w:p>
    <w:p>
      <w:pPr>
        <w:spacing w:after="80"/>
      </w:pPr>
      <w:r>
        <w:t>6. Fawcett, T. (2006). An introduction to ROC analysis. Pattern Recognition Letters, 27(8), 861–874.</w:t>
      </w:r>
    </w:p>
    <w:p>
      <w:pPr>
        <w:spacing w:after="80"/>
      </w:pPr>
      <w:r>
        <w:t>7. IBM SkillsBuild — Data Analytics with AI Academic Internship Programme. https://skillsbuild.org/</w:t>
      </w:r>
    </w:p>
    <w:p>
      <w:pPr>
        <w:pBdr>
          <w:bottom w:val="single" w:sz="6" w:space="1" w:color="CBD5E1"/>
        </w:pBdr>
        <w:spacing w:before="40" w:after="120"/>
      </w:pPr>
    </w:p>
    <w:p>
      <w:pPr>
        <w:jc w:val="center"/>
      </w:pPr>
      <w:r>
        <w:rPr>
          <w:i/>
          <w:color w:val="94A3B8"/>
        </w:rPr>
        <w:t>— End of Report —</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