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ection_0"/>
      <w:pPr>
        <w:pStyle w:val="Title"/>
      </w:pPr>
      <w:r>
        <w:rPr>
          <w:b w:val="0"/>
          <w:i w:val="0"/>
        </w:rPr>
        <w:t>Weather modelling project history and research roadmap</w:t>
      </w:r>
      <w:bookmarkEnd w:id="1"/>
    </w:p>
    <w:p>
      <w:pPr>
        <w:pStyle w:val="Subtitle"/>
      </w:pPr>
      <w:r>
        <w:rPr>
          <w:b w:val="0"/>
          <w:i w:val="0"/>
        </w:rPr>
        <w:t>Explained edition, updated with the 9 October follow-up</w:t>
      </w:r>
    </w:p>
    <w:p>
      <w:r>
        <w:rPr>
          <w:b w:val="0"/>
          <w:i w:val="0"/>
        </w:rPr>
      </w:r>
      <w:r>
        <w:rPr>
          <w:b/>
          <w:i w:val="0"/>
        </w:rPr>
        <w:t>Research goal:</w:t>
      </w:r>
      <w:r>
        <w:rPr>
          <w:b w:val="0"/>
          <w:i w:val="0"/>
        </w:rPr>
        <w:t xml:space="preserve"> reduce the deployed cost of Aurora weather forecasts and rainfall products while understanding, measuring and preventing consequential rainfall degradation.</w:t>
      </w:r>
    </w:p>
    <w:p>
      <w:r>
        <w:rPr>
          <w:b w:val="0"/>
          <w:i w:val="0"/>
        </w:rPr>
      </w:r>
      <w:r>
        <w:rPr>
          <w:b/>
          <w:i w:val="0"/>
        </w:rPr>
        <w:t>Record date:</w:t>
      </w:r>
      <w:r>
        <w:rPr>
          <w:b w:val="0"/>
          <w:i w:val="0"/>
        </w:rPr>
        <w:t xml:space="preserve"> 9 October 2026. This is a revision of the supplied history, not a claim to have rerun the project.</w:t>
      </w:r>
    </w:p>
    <w:p>
      <w:r>
        <w:rPr>
          <w:b w:val="0"/>
          <w:i w:val="0"/>
        </w:rPr>
      </w:r>
      <w:r>
        <w:rPr>
          <w:b/>
          <w:i w:val="0"/>
        </w:rPr>
        <w:t>The updated main finding.</w:t>
      </w:r>
      <w:r>
        <w:rPr>
          <w:b w:val="0"/>
          <w:i w:val="0"/>
        </w:rPr>
        <w:t xml:space="preserve"> We have demonstrated useful native precision savings and substantial savings from asking the model fewer questions or requesting fewer unused outputs. Aggressive simulated four-bit weights can substantially damage rainfall during the model's own evolving forecast. Keeping weather updates dense recovers most of that damage on development dates, but retaining a dense model is not a compact deployment solution. The new follow-up reports that the previously broken four-bit low-rank repair was fixed and then worsened rollout quality. That is now a valid negative result for that particular repair, not merely an implementation failure. [H; F1]</w:t>
      </w:r>
    </w:p>
    <w:p>
      <w:r>
        <w:rPr>
          <w:b w:val="0"/>
          <w:i w:val="0"/>
        </w:rPr>
      </w:r>
      <w:r>
        <w:rPr>
          <w:b/>
          <w:i w:val="0"/>
        </w:rPr>
        <w:t>The most promising new product result.</w:t>
      </w:r>
      <w:r>
        <w:rPr>
          <w:b w:val="0"/>
          <w:i w:val="0"/>
        </w:rPr>
        <w:t xml:space="preserve"> A fixed adaptive rule reconstructed rainfall from two queries, then requested all six queries in blocks with a sufficiently large cheap rainfall estimate. On six already exposed starts, it averaged 78 rather than 120 queries and introduced no additional heavy-rain misses relative to dense. This was an archived, processor-only replay: it is neither a measured 35% latency improvement nor proof that no heavy rainfall was missed against the reference. [F2–F4]</w:t>
      </w:r>
    </w:p>
    <w:p>
      <w:r>
        <w:rPr>
          <w:b w:val="0"/>
          <w:i w:val="0"/>
        </w:rPr>
      </w:r>
      <w:r>
        <w:rPr>
          <w:b/>
          <w:i w:val="0"/>
        </w:rPr>
        <w:t>The research direction stays open.</w:t>
      </w:r>
      <w:r>
        <w:rPr>
          <w:b w:val="0"/>
          <w:i w:val="0"/>
        </w:rPr>
        <w:t xml:space="preserve"> Test a small recovery method that acts on the compressed model's own histories, against an equally small one-step recovery control. In parallel, confirm the adaptive rainfall product and investigate boundary-consistent regional computation. Neither applying familiar quantization recipes nor observing a promising six-case result establishes novelty. The interesting hypothesis is that the direction and future consequences of an error matter more than its immediate size.</w:t>
      </w:r>
    </w:p>
    <w:p>
      <w:pPr>
        <w:pStyle w:val="Heading1"/>
        <w:pageBreakBefore/>
      </w:pPr>
      <w:r>
        <w:t>Contents</w:t>
      </w:r>
    </w:p>
    <w:p>
      <w:r>
        <w:t>Use the chapter titles to navigate in Word. The source register distinguishes historical summaries, directly inspected follow-up files and external background.</w:t>
      </w:r>
    </w:p>
    <w:p>
      <w:pPr>
        <w:pStyle w:val="ContentsEntry"/>
      </w:pPr>
      <w:hyperlink w:anchor="section_1" w:history="1">
        <w:r>
          <w:rPr>
            <w:color w:val="244E69"/>
            <w:sz w:val="21"/>
          </w:rPr>
          <w:t>Reading guide and evidence boundaries</w:t>
        </w:r>
      </w:hyperlink>
    </w:p>
    <w:p>
      <w:pPr>
        <w:pStyle w:val="ContentsEntry"/>
      </w:pPr>
      <w:hyperlink w:anchor="section_2" w:history="1">
        <w:r>
          <w:rPr>
            <w:color w:val="244E69"/>
            <w:sz w:val="21"/>
          </w:rPr>
          <w:t>1. The model and the forecast product</w:t>
        </w:r>
      </w:hyperlink>
    </w:p>
    <w:p>
      <w:pPr>
        <w:pStyle w:val="ContentsEntry"/>
      </w:pPr>
      <w:hyperlink w:anchor="section_3" w:history="1">
        <w:r>
          <w:rPr>
            <w:color w:val="244E69"/>
            <w:sz w:val="21"/>
          </w:rPr>
          <w:t>2. A cookbook of model queries and rollout experiments</w:t>
        </w:r>
      </w:hyperlink>
    </w:p>
    <w:p>
      <w:pPr>
        <w:pStyle w:val="ContentsEntry"/>
      </w:pPr>
      <w:hyperlink w:anchor="section_4" w:history="1">
        <w:r>
          <w:rPr>
            <w:color w:val="244E69"/>
            <w:sz w:val="21"/>
          </w:rPr>
          <w:t>3. Research questions and the comparisons they require</w:t>
        </w:r>
      </w:hyperlink>
    </w:p>
    <w:p>
      <w:pPr>
        <w:pStyle w:val="ContentsEntry"/>
      </w:pPr>
      <w:hyperlink w:anchor="section_5" w:history="1">
        <w:r>
          <w:rPr>
            <w:color w:val="244E69"/>
            <w:sz w:val="21"/>
          </w:rPr>
          <w:t>4. The decision roadmap: why one experiment led to the next</w:t>
        </w:r>
      </w:hyperlink>
    </w:p>
    <w:p>
      <w:pPr>
        <w:pStyle w:val="ContentsEntry"/>
      </w:pPr>
      <w:hyperlink w:anchor="section_6" w:history="1">
        <w:r>
          <w:rPr>
            <w:color w:val="244E69"/>
            <w:sz w:val="21"/>
          </w:rPr>
          <w:t>5. “Use measured bottlenecks to choose engineering work,” explained</w:t>
        </w:r>
      </w:hyperlink>
    </w:p>
    <w:p>
      <w:pPr>
        <w:pStyle w:val="ContentsEntry"/>
      </w:pPr>
      <w:hyperlink w:anchor="section_7" w:history="1">
        <w:r>
          <w:rPr>
            <w:color w:val="244E69"/>
            <w:sz w:val="21"/>
          </w:rPr>
          <w:t>6. INT8 and simulated low-bit weights, step by step</w:t>
        </w:r>
      </w:hyperlink>
    </w:p>
    <w:p>
      <w:pPr>
        <w:pStyle w:val="ContentsEntry"/>
      </w:pPr>
      <w:hyperlink w:anchor="section_8" w:history="1">
        <w:r>
          <w:rPr>
            <w:color w:val="244E69"/>
            <w:sz w:val="21"/>
          </w:rPr>
          <w:t>7. Pruning and protection policies: what each policy was trying to do</w:t>
        </w:r>
      </w:hyperlink>
    </w:p>
    <w:p>
      <w:pPr>
        <w:pStyle w:val="ContentsEntry"/>
      </w:pPr>
      <w:hyperlink w:anchor="section_9" w:history="1">
        <w:r>
          <w:rPr>
            <w:color w:val="244E69"/>
            <w:sz w:val="21"/>
          </w:rPr>
          <w:t>8. “Use the severe failure to choose remedies,” explained</w:t>
        </w:r>
      </w:hyperlink>
    </w:p>
    <w:p>
      <w:pPr>
        <w:pStyle w:val="ContentsEntry"/>
      </w:pPr>
      <w:hyperlink w:anchor="section_10" w:history="1">
        <w:r>
          <w:rPr>
            <w:color w:val="244E69"/>
            <w:sz w:val="21"/>
          </w:rPr>
          <w:t>9. Low-rank correction and training: updated status</w:t>
        </w:r>
      </w:hyperlink>
    </w:p>
    <w:p>
      <w:pPr>
        <w:pStyle w:val="ContentsEntry"/>
      </w:pPr>
      <w:hyperlink w:anchor="section_11" w:history="1">
        <w:r>
          <w:rPr>
            <w:color w:val="244E69"/>
            <w:sz w:val="21"/>
          </w:rPr>
          <w:t>10. Reducing rainfall queries without changing the weather recurrence</w:t>
        </w:r>
      </w:hyperlink>
    </w:p>
    <w:p>
      <w:pPr>
        <w:pStyle w:val="ContentsEntry"/>
      </w:pPr>
      <w:hyperlink w:anchor="section_12" w:history="1">
        <w:r>
          <w:rPr>
            <w:color w:val="244E69"/>
            <w:sz w:val="21"/>
          </w:rPr>
          <w:t>11. Compilation, repeatability and trustworthy resource claims</w:t>
        </w:r>
      </w:hyperlink>
    </w:p>
    <w:p>
      <w:pPr>
        <w:pStyle w:val="ContentsEntry"/>
      </w:pPr>
      <w:hyperlink w:anchor="section_13" w:history="1">
        <w:r>
          <w:rPr>
            <w:color w:val="244E69"/>
            <w:sz w:val="21"/>
          </w:rPr>
          <w:t>12. Normal validation, final testing and extreme-event stress tests</w:t>
        </w:r>
      </w:hyperlink>
    </w:p>
    <w:p>
      <w:pPr>
        <w:pStyle w:val="ContentsEntry"/>
      </w:pPr>
      <w:hyperlink w:anchor="section_14" w:history="1">
        <w:r>
          <w:rPr>
            <w:color w:val="244E69"/>
            <w:sz w:val="21"/>
          </w:rPr>
          <w:t>13. Rainfall verification and the dense-baseline problem</w:t>
        </w:r>
      </w:hyperlink>
    </w:p>
    <w:p>
      <w:pPr>
        <w:pStyle w:val="ContentsEntry"/>
      </w:pPr>
      <w:hyperlink w:anchor="section_15" w:history="1">
        <w:r>
          <w:rPr>
            <w:color w:val="244E69"/>
            <w:sz w:val="21"/>
          </w:rPr>
          <w:t>14. Results that can be compared directly</w:t>
        </w:r>
      </w:hyperlink>
    </w:p>
    <w:p>
      <w:pPr>
        <w:pStyle w:val="ContentsEntry"/>
      </w:pPr>
      <w:hyperlink w:anchor="section_16" w:history="1">
        <w:r>
          <w:rPr>
            <w:color w:val="244E69"/>
            <w:sz w:val="21"/>
          </w:rPr>
          <w:t>15. The V12 follow-up: what changed, what did not, and what is missing</w:t>
        </w:r>
      </w:hyperlink>
    </w:p>
    <w:p>
      <w:pPr>
        <w:pStyle w:val="ContentsEntry"/>
      </w:pPr>
      <w:hyperlink w:anchor="section_17" w:history="1">
        <w:r>
          <w:rPr>
            <w:color w:val="244E69"/>
            <w:sz w:val="21"/>
          </w:rPr>
          <w:t>16. Updated failures and the conclusions they permit</w:t>
        </w:r>
      </w:hyperlink>
    </w:p>
    <w:p>
      <w:pPr>
        <w:pStyle w:val="ContentsEntry"/>
      </w:pPr>
      <w:hyperlink w:anchor="section_18" w:history="1">
        <w:r>
          <w:rPr>
            <w:color w:val="244E69"/>
            <w:sz w:val="21"/>
          </w:rPr>
          <w:t>17. A creative but testable next roadmap</w:t>
        </w:r>
      </w:hyperlink>
    </w:p>
    <w:p>
      <w:pPr>
        <w:pStyle w:val="ContentsEntry"/>
      </w:pPr>
      <w:hyperlink w:anchor="section_19" w:history="1">
        <w:r>
          <w:rPr>
            <w:color w:val="244E69"/>
            <w:sz w:val="21"/>
          </w:rPr>
          <w:t>18. What the new Claude campaign should do</w:t>
        </w:r>
      </w:hyperlink>
    </w:p>
    <w:p>
      <w:pPr>
        <w:pStyle w:val="ContentsEntry"/>
      </w:pPr>
      <w:hyperlink w:anchor="section_20" w:history="1">
        <w:r>
          <w:rPr>
            <w:color w:val="244E69"/>
            <w:sz w:val="21"/>
          </w:rPr>
          <w:t>Appendix A. Campaign and policy reminders</w:t>
        </w:r>
      </w:hyperlink>
    </w:p>
    <w:p>
      <w:pPr>
        <w:pStyle w:val="ContentsEntry"/>
      </w:pPr>
      <w:hyperlink w:anchor="section_21" w:history="1">
        <w:r>
          <w:rPr>
            <w:color w:val="244E69"/>
            <w:sz w:val="21"/>
          </w:rPr>
          <w:t>Appendix B. Technical terms and abbreviations</w:t>
        </w:r>
      </w:hyperlink>
    </w:p>
    <w:p>
      <w:pPr>
        <w:pStyle w:val="ContentsEntry"/>
      </w:pPr>
      <w:hyperlink w:anchor="section_22" w:history="1">
        <w:r>
          <w:rPr>
            <w:color w:val="244E69"/>
            <w:sz w:val="21"/>
          </w:rPr>
          <w:t>Appendix C. Source register and audit notes</w:t>
        </w:r>
      </w:hyperlink>
    </w:p>
    <w:p>
      <w:bookmarkStart w:id="2" w:name="section_1"/>
      <w:pPr>
        <w:pStyle w:val="Heading1"/>
        <w:pageBreakBefore/>
        <w:spacing w:before="0"/>
      </w:pPr>
      <w:r>
        <w:rPr>
          <w:b w:val="0"/>
          <w:i w:val="0"/>
        </w:rPr>
        <w:t>Reading guide and evidence boundaries</w:t>
      </w:r>
      <w:bookmarkEnd w:id="2"/>
    </w:p>
    <w:p>
      <w:r>
        <w:rPr>
          <w:b w:val="0"/>
          <w:i w:val="0"/>
        </w:rPr>
        <w:t>The original organisation is retained: model and product, research questions, decision roadmap, method catalogue, verification, comparable results, failures and future work. Longer explanations now accompany the places that previously relied on shorthand. The follow-up changes are integrated into the relevant methods, not only appended at the end.</w:t>
      </w:r>
    </w:p>
    <w:p>
      <w:r>
        <w:rPr>
          <w:b w:val="0"/>
          <w:i w:val="0"/>
        </w:rPr>
      </w:r>
      <w:r>
        <w:rPr>
          <w:b/>
          <w:i w:val="0"/>
        </w:rPr>
        <w:t>Inline reminders.</w:t>
      </w:r>
      <w:r>
        <w:rPr>
          <w:b w:val="0"/>
          <w:i w:val="0"/>
        </w:rPr>
        <w:t xml:space="preserve"> Campaign labels such as V7 (memory ownership and repeatability) and policy names such as D2 (two rainfall queries per block) are accompanied by a reminder when used in prose. File paths and literal code identifiers remain unchanged for reproducibility. A label's meaning is local to its campaign: A (two-query sampler), A (aggressive caller in a history experiment) and A (full-globe crop control) are not the same object. Source identifiers in square brackets identify evidence, not forecast policies.</w:t>
      </w:r>
    </w:p>
    <w:p>
      <w:r>
        <w:rPr>
          <w:b w:val="0"/>
          <w:i w:val="0"/>
        </w:rPr>
      </w:r>
      <w:r>
        <w:rPr>
          <w:b/>
          <w:i w:val="0"/>
        </w:rPr>
        <w:t>What was actually supplied.</w:t>
      </w:r>
      <w:r>
        <w:rPr>
          <w:b w:val="0"/>
          <w:i w:val="0"/>
        </w:rPr>
        <w:t xml:space="preserve"> [H] is the uploaded history document, which itself summarises older reports and prompts. Those older underlying reports are not all attached to this revision. [F1–F9] are specific files inspected inside the supplied follow-up archive. The follow-up contains directly inspectable adaptive-query and ensemble score tables, code, manifests and logs. It does not contain the successful diagnostic output directory cited by its narrative, or a final receipt for the restarted noise ensemble. Their status must therefore be described more narrowly than the narrative alone suggests.</w:t>
      </w:r>
    </w:p>
    <w:p>
      <w:r>
        <w:rPr>
          <w:b w:val="0"/>
          <w:i w:val="0"/>
        </w:rPr>
      </w:r>
      <w:r>
        <w:rPr>
          <w:b/>
          <w:i w:val="0"/>
        </w:rPr>
        <w:t>Evidence vocabulary.</w:t>
      </w:r>
      <w:r>
        <w:rPr>
          <w:b w:val="0"/>
          <w:i w:val="0"/>
        </w:rPr>
        <w:t xml:space="preserve"> “Completed, table-supported” means the archive contains a completed result and its relevant score table. “Reported completed” means the supplied narrative says the experiment ran, but the underlying receipt is absent here. “Implementation failure” means the intended comparison was not completed. “Incomplete” means launch or partial execution is recorded without final qualification. “Proposed” means a next experiment, not a result. “External background” identifies a paper or software document consulted to explain a general method; it is not evidence about this project.</w:t>
      </w:r>
    </w:p>
    <w:p>
      <w:r>
        <w:rPr>
          <w:b w:val="0"/>
          <w:i w:val="0"/>
        </w:rPr>
      </w:r>
      <w:r>
        <w:rPr>
          <w:b/>
          <w:i w:val="0"/>
        </w:rPr>
        <w:t>Changes that matter most.</w:t>
      </w:r>
      <w:r>
        <w:rPr>
          <w:b w:val="0"/>
          <w:i w:val="0"/>
        </w:rPr>
        <w:t xml:space="preserve"> Four-bit residual repair moves from untested to a reported negative rollout result. Physical cropping moves from unrun to a reported boundary-alignment diagnostic with a much better, but still failing, candidate. Latent interpolation moves from proposed to a reported unsuccessful probe. Adaptive queries and compression ensembles now have completed archived replay results. The noise ensemble was restarted; its completion and acceptance test remain unestablished in this upload. Exact encoder reuse still lacks an attached performance qualification. [F1–F9]</w:t>
      </w:r>
    </w:p>
    <w:p>
      <w:r>
        <w:rPr>
          <w:b w:val="0"/>
          <w:i w:val="0"/>
        </w:rPr>
        <w:t>The experiment execution prompt supplied with this document is a new plan. It instructs the agent to reconcile the live repository with these evidence boundaries before launching work.</w:t>
      </w:r>
    </w:p>
    <w:p>
      <w:bookmarkStart w:id="3" w:name="section_2"/>
      <w:pPr>
        <w:pStyle w:val="Heading1"/>
        <w:pageBreakBefore/>
        <w:spacing w:before="0"/>
      </w:pPr>
      <w:r>
        <w:rPr>
          <w:b w:val="0"/>
          <w:i w:val="0"/>
        </w:rPr>
        <w:t>1. The model and the forecast product</w:t>
      </w:r>
      <w:bookmarkEnd w:id="3"/>
    </w:p>
    <w:p>
      <w:pPr>
        <w:pStyle w:val="Heading2"/>
      </w:pPr>
      <w:r>
        <w:rPr>
          <w:b w:val="0"/>
          <w:i w:val="0"/>
        </w:rPr>
        <w:t>1.1 What the network calculates</w:t>
      </w:r>
    </w:p>
    <w:p>
      <w:r>
        <w:rPr>
          <w:b w:val="0"/>
          <w:i w:val="0"/>
        </w:rPr>
        <w:t>The project uses the Aurora 0.25-degree version 1.5 checkpoint on the native 720 by 1440 global grid. Its encoder converts weather fields into internal features. A hierarchical, windowed three-dimensional transformer backbone mixes those features. A decoder reconstructs surface and atmospheric variables, including rainfall. The large attention and feed-forward matrices are principal targets for numerical compression. These details are recorded in the supplied history; this revision does not substitute another checkpoint or claim paper-level forecast reproduction. [H, “What Aurora calculates”]</w:t>
      </w:r>
    </w:p>
    <w:p>
      <w:r>
        <w:rPr>
          <w:b w:val="0"/>
          <w:i w:val="0"/>
        </w:rPr>
        <w:t xml:space="preserve">A </w:t>
      </w:r>
      <w:r>
        <w:rPr>
          <w:b/>
          <w:i w:val="0"/>
        </w:rPr>
        <w:t>weather state</w:t>
      </w:r>
      <w:r>
        <w:rPr>
          <w:b w:val="0"/>
          <w:i w:val="0"/>
        </w:rPr>
        <w:t xml:space="preserve"> is the collection of fields needed for subsequent prediction, such as temperature, winds and moisture. A </w:t>
      </w:r>
      <w:r>
        <w:rPr>
          <w:b/>
          <w:i w:val="0"/>
        </w:rPr>
        <w:t>history</w:t>
      </w:r>
      <w:r>
        <w:rPr>
          <w:b w:val="0"/>
          <w:i w:val="0"/>
        </w:rPr>
        <w:t xml:space="preserve"> is the model's pair of weather states at two times. A </w:t>
      </w:r>
      <w:r>
        <w:rPr>
          <w:b/>
          <w:i w:val="0"/>
        </w:rPr>
        <w:t>forecast start</w:t>
      </w:r>
      <w:r>
        <w:rPr>
          <w:b w:val="0"/>
          <w:i w:val="0"/>
        </w:rPr>
        <w:t xml:space="preserve"> is one initialisation date and time. A </w:t>
      </w:r>
      <w:r>
        <w:rPr>
          <w:b/>
          <w:i w:val="0"/>
        </w:rPr>
        <w:t>rollout</w:t>
      </w:r>
      <w:r>
        <w:rPr>
          <w:b w:val="0"/>
          <w:i w:val="0"/>
        </w:rPr>
        <w:t xml:space="preserve"> is the repeated prediction-and-feedback procedure that moves that initial history into the future.</w:t>
      </w:r>
    </w:p>
    <w:p>
      <w:r>
        <w:rPr>
          <w:b w:val="0"/>
          <w:i w:val="0"/>
        </w:rPr>
        <w:t xml:space="preserve">Rainfall in the tested product is </w:t>
      </w:r>
      <w:r>
        <w:rPr>
          <w:b/>
          <w:i w:val="0"/>
        </w:rPr>
        <w:t>output-only</w:t>
      </w:r>
      <w:r>
        <w:rPr>
          <w:b w:val="0"/>
          <w:i w:val="0"/>
        </w:rPr>
        <w:t>. A rainfall map is delivered to the user and can be accumulated, but it is not inserted as the next recurrent weather input. Consequently, a rainfall output can change without changing later weather. A changed wind or moisture update can, in contrast, change later inputs and therefore many later rainfall maps. [H, “What Aurora calculates”]</w:t>
      </w:r>
    </w:p>
    <w:p>
      <w:pPr>
        <w:pStyle w:val="Heading2"/>
      </w:pPr>
      <w:r>
        <w:rPr>
          <w:b w:val="0"/>
          <w:i w:val="0"/>
        </w:rPr>
        <w:t>1.2 The difference between a query and a weather update</w:t>
      </w:r>
    </w:p>
    <w:p>
      <w:r>
        <w:rPr>
          <w:b w:val="0"/>
          <w:i w:val="0"/>
        </w:rPr>
        <w:t xml:space="preserve">Take an initial history containing the states at 00:00 and 06:00. The model can be queried for one, two, three, four, five or six hours after the latest state. All six queries use </w:t>
      </w:r>
      <w:r>
        <w:rPr>
          <w:b/>
          <w:i w:val="0"/>
        </w:rPr>
        <w:t>the same pre-update history</w:t>
      </w:r>
      <w:r>
        <w:rPr>
          <w:b w:val="0"/>
          <w:i w:val="0"/>
        </w:rPr>
        <w:t>. They do not form a chain of six one-hour weather updates.</w:t>
      </w:r>
    </w:p>
    <w:p>
      <w:r>
        <w:rPr>
          <w:b w:val="0"/>
          <w:i w:val="0"/>
        </w:rPr>
        <w:t>In this example, the six queries request rainfall ending at 07:00, 08:00, 09:00, 10:00, 11:00 and 12:00. Only the weather prediction from the six-hour query advances the history. The next history contains the states at 06:00 and 12:00. The next block's one-hour query then requests rainfall ending at 13:00. This clock example illustrates the recurrence described in the project history. [H, “What Aurora calculates”; explanatory example]</w:t>
      </w:r>
    </w:p>
    <w:p>
      <w:r>
        <w:rPr>
          <w:b w:val="0"/>
          <w:i w:val="0"/>
        </w:rPr>
        <w:t xml:space="preserve">The native rainfall field p6 is the </w:t>
      </w:r>
      <w:r>
        <w:rPr>
          <w:b/>
          <w:i w:val="0"/>
        </w:rPr>
        <w:t>hour-ending rainfall at the six-hour lead</w:t>
      </w:r>
      <w:r>
        <w:rPr>
          <w:b w:val="0"/>
          <w:i w:val="0"/>
        </w:rPr>
        <w:t>, not an already accumulated six-hour total. For a full six-query block, the six-hour total is p1 + p2 + p3 + p4 + p5 + p6. Confusing an hour-ending field with a cumulative field would invalidate both the sampling methods and verification.</w:t>
      </w:r>
    </w:p>
    <w:p>
      <w:r>
        <w:rPr>
          <w:b w:val="0"/>
          <w:i w:val="0"/>
        </w:rPr>
        <w:t>For a five-day, 120-hour product there are 20 six-hour blocks. D6 (all six rainfall queries per block) makes 120 calls: 20 state-advancing calls and 100 intermediate calls. D2 (queries at hours 3 and 6) makes 40 calls while retaining 20 state updates. T3 (queries at hours 2, 4 and 6) makes 60 calls while retaining those same 20 updates. Their lower query counts change the rainfall reconstruction, not the number of weather-history handoffs. [H, “Reducing rainfall queries”]</w:t>
      </w:r>
    </w:p>
    <w:p>
      <w:pPr>
        <w:pStyle w:val="Heading2"/>
      </w:pPr>
      <w:r>
        <w:rPr>
          <w:b w:val="0"/>
          <w:i w:val="0"/>
        </w:rPr>
        <w:t>1.3 Three different notions of time</w:t>
      </w:r>
    </w:p>
    <w:p>
      <w:r>
        <w:rPr>
          <w:b w:val="0"/>
          <w:i w:val="0"/>
        </w:rPr>
      </w:r>
      <w:r>
        <w:rPr>
          <w:b/>
          <w:i w:val="0"/>
        </w:rPr>
        <w:t>Fine lead</w:t>
      </w:r>
      <w:r>
        <w:rPr>
          <w:b w:val="0"/>
          <w:i w:val="0"/>
        </w:rPr>
        <w:t xml:space="preserve"> means the requested hour inside the current six-hour block. </w:t>
      </w:r>
      <w:r>
        <w:rPr>
          <w:b/>
          <w:i w:val="0"/>
        </w:rPr>
        <w:t>Forecast lead</w:t>
      </w:r>
      <w:r>
        <w:rPr>
          <w:b w:val="0"/>
          <w:i w:val="0"/>
        </w:rPr>
        <w:t xml:space="preserve"> means time since the original forecast start. </w:t>
      </w:r>
      <w:r>
        <w:rPr>
          <w:b/>
          <w:i w:val="0"/>
        </w:rPr>
        <w:t>Accumulation width</w:t>
      </w:r>
      <w:r>
        <w:rPr>
          <w:b w:val="0"/>
          <w:i w:val="0"/>
        </w:rPr>
        <w:t xml:space="preserve"> means the duration over which rain is summed. These are separate axes.</w:t>
      </w:r>
    </w:p>
    <w:p>
      <w:r>
        <w:rPr>
          <w:b w:val="0"/>
          <w:i w:val="0"/>
        </w:rPr>
        <w:t>For example, a 24-hour total ending at forecast hour 120 covers hours 96–120. A 72-hour total ending at the same lead covers hours 48–120. A larger error in the wider total is not, by itself, evidence that recurrent compression error amplified. To study harmful growth with forecast lead, compare equal-width totals at early and late leads using a frozen scoring rule. [H, “Accumulation reference scores and events”]</w:t>
      </w:r>
    </w:p>
    <w:p>
      <w:bookmarkStart w:id="4" w:name="section_3"/>
      <w:pPr>
        <w:pStyle w:val="Heading1"/>
      </w:pPr>
      <w:r>
        <w:rPr>
          <w:b w:val="0"/>
          <w:i w:val="0"/>
        </w:rPr>
        <w:t>2. A cookbook of model queries and rollout experiments</w:t>
      </w:r>
      <w:bookmarkEnd w:id="4"/>
    </w:p>
    <w:p>
      <w:pPr>
        <w:pStyle w:val="Heading2"/>
      </w:pPr>
      <w:r>
        <w:rPr>
          <w:b w:val="0"/>
          <w:i w:val="0"/>
        </w:rPr>
        <w:t>2.1 Free rollouts: each model lives with its own predictions</w:t>
      </w:r>
    </w:p>
    <w:p>
      <w:r>
        <w:rPr>
          <w:b w:val="0"/>
          <w:i w:val="0"/>
        </w:rPr>
        <w:t>D (dense reference model) predicts a six-hour weather update, feeds that update into its next history, and repeats. Q (compressed model) does the same with its own predicted updates. They start from the same initial input, but their histories can diverge after the first update. The comparison therefore includes both a difference in the current calculation and the consequences of different earlier predictions. [H, “Shared history and the caller history factorial”]</w:t>
      </w:r>
    </w:p>
    <w:p>
      <w:r>
        <w:rPr>
          <w:b w:val="0"/>
          <w:i w:val="0"/>
        </w:rPr>
        <w:t>In symbols, let H_D(k) and H_Q(k) be their two-time histories at block k. A free-rollout rainfall comparison uses Q(H_Q(k), h) against D(H_D(k), h), where h is the fine lead. The two callers generally receive different inputs once the forecast has progressed.</w:t>
      </w:r>
    </w:p>
    <w:p>
      <w:pPr>
        <w:pStyle w:val="Heading2"/>
      </w:pPr>
      <w:r>
        <w:rPr>
          <w:b w:val="0"/>
          <w:i w:val="0"/>
        </w:rPr>
        <w:t>2.2 Shared-history queries: give both callers exactly the same situation</w:t>
      </w:r>
    </w:p>
    <w:p>
      <w:r>
        <w:rPr>
          <w:b w:val="0"/>
          <w:i w:val="0"/>
        </w:rPr>
        <w:t>First save a dense history at a chosen block. Then query both callers on that identical history: Q(H_D(k), h) and D(H_D(k), h). Discard any compressed state update for purposes of advancing the next diagnostic history. Repeat on further dense histories as required.</w:t>
      </w:r>
    </w:p>
    <w:p>
      <w:r>
        <w:rPr>
          <w:b w:val="0"/>
          <w:i w:val="0"/>
        </w:rPr>
        <w:t xml:space="preserve">This isolates how much the current compressed calculation changes the output </w:t>
      </w:r>
      <w:r>
        <w:rPr>
          <w:b/>
          <w:i w:val="0"/>
        </w:rPr>
        <w:t>when it does not inherit its own earlier state errors</w:t>
      </w:r>
      <w:r>
        <w:rPr>
          <w:b w:val="0"/>
          <w:i w:val="0"/>
        </w:rPr>
        <w:t>. It is not an operational free rollout of the compressed model. It also does not mean replacing inputs with ERA5, the reanalysis reference, every six hours. Here the shared history comes from the dense model. A reanalysis-reset experiment would answer a different question and must be named separately. [H, “Shared history and the caller history factorial”]</w:t>
      </w:r>
    </w:p>
    <w:p>
      <w:r>
        <w:rPr>
          <w:b w:val="0"/>
          <w:i w:val="0"/>
        </w:rPr>
        <w:t>“Shared-history forecasts had much smaller disagreement” therefore means: on the tested inputs, changing the current arithmetic alone produced much less dense-output disagreement than changing both the arithmetic and the weather history. This supports history sensitivity. It does not establish that every inherited change is harmful against the reference, or that disagreement grows monotonically at every lead.</w:t>
      </w:r>
    </w:p>
    <w:p>
      <w:pPr>
        <w:pStyle w:val="Heading2"/>
      </w:pPr>
      <w:r>
        <w:rPr>
          <w:b w:val="0"/>
          <w:i w:val="0"/>
        </w:rPr>
        <w:t>2.3 The four-way caller/history comparison</w:t>
      </w:r>
    </w:p>
    <w:tbl>
      <w:tblPr>
        <w:tblW w:type="auto" w:w="0"/>
        <w:jc w:val="center"/>
        <w:tblLayout w:type="fixed"/>
        <w:tblLook w:firstColumn="1" w:firstRow="1" w:lastColumn="0" w:lastRow="0" w:noHBand="0" w:noVBand="1" w:val="04A0"/>
      </w:tblPr>
      <w:tblGrid>
        <w:gridCol w:w="2705"/>
        <w:gridCol w:w="1449"/>
        <w:gridCol w:w="2125"/>
        <w:gridCol w:w="3381"/>
      </w:tblGrid>
      <w:tr>
        <w:trPr>
          <w:cantSplit/>
          <w:tblHeader/>
        </w:trPr>
        <w:tc>
          <w:tcPr>
            <w:tcW w:type="dxa" w:w="2705"/>
            <w:vAlign w:val="center"/>
            <w:tcMar>
              <w:top w:w="85" w:type="dxa"/>
              <w:left w:w="90" w:type="dxa"/>
              <w:bottom w:w="85" w:type="dxa"/>
              <w:right w:w="90" w:type="dxa"/>
            </w:tcMar>
            <w:shd w:fill="E6EEF3"/>
            <w:tcBorders>
              <w:bottom w:val="single" w:sz="4" w:color="D6E0E6"/>
            </w:tcBorders>
          </w:tcPr>
          <w:p>
            <w:pPr>
              <w:pStyle w:val="TableText"/>
            </w:pPr>
            <w:r>
              <w:rPr>
                <w:b/>
                <w:i w:val="0"/>
                <w:color w:val="15374F"/>
              </w:rPr>
              <w:t>Label, with local meaning</w:t>
            </w:r>
          </w:p>
        </w:tc>
        <w:tc>
          <w:tcPr>
            <w:tcW w:type="dxa" w:w="1449"/>
            <w:vAlign w:val="center"/>
            <w:tcMar>
              <w:top w:w="85" w:type="dxa"/>
              <w:left w:w="90" w:type="dxa"/>
              <w:bottom w:w="85" w:type="dxa"/>
              <w:right w:w="90" w:type="dxa"/>
            </w:tcMar>
            <w:shd w:fill="E6EEF3"/>
            <w:tcBorders>
              <w:bottom w:val="single" w:sz="4" w:color="D6E0E6"/>
            </w:tcBorders>
          </w:tcPr>
          <w:p>
            <w:pPr>
              <w:pStyle w:val="TableText"/>
            </w:pPr>
            <w:r>
              <w:rPr>
                <w:b/>
                <w:i w:val="0"/>
                <w:color w:val="15374F"/>
              </w:rPr>
              <w:t>Caller</w:t>
            </w:r>
          </w:p>
        </w:tc>
        <w:tc>
          <w:tcPr>
            <w:tcW w:type="dxa" w:w="2125"/>
            <w:vAlign w:val="center"/>
            <w:tcMar>
              <w:top w:w="85" w:type="dxa"/>
              <w:left w:w="90" w:type="dxa"/>
              <w:bottom w:w="85" w:type="dxa"/>
              <w:right w:w="90" w:type="dxa"/>
            </w:tcMar>
            <w:shd w:fill="E6EEF3"/>
            <w:tcBorders>
              <w:bottom w:val="single" w:sz="4" w:color="D6E0E6"/>
            </w:tcBorders>
          </w:tcPr>
          <w:p>
            <w:pPr>
              <w:pStyle w:val="TableText"/>
            </w:pPr>
            <w:r>
              <w:rPr>
                <w:b/>
                <w:i w:val="0"/>
                <w:color w:val="15374F"/>
              </w:rPr>
              <w:t>Two-time input history</w:t>
            </w:r>
          </w:p>
        </w:tc>
        <w:tc>
          <w:tcPr>
            <w:tcW w:type="dxa" w:w="3381"/>
            <w:vAlign w:val="center"/>
            <w:tcMar>
              <w:top w:w="85" w:type="dxa"/>
              <w:left w:w="90" w:type="dxa"/>
              <w:bottom w:w="85" w:type="dxa"/>
              <w:right w:w="90" w:type="dxa"/>
            </w:tcMar>
            <w:shd w:fill="E6EEF3"/>
            <w:tcBorders>
              <w:bottom w:val="single" w:sz="4" w:color="D6E0E6"/>
            </w:tcBorders>
          </w:tcPr>
          <w:p>
            <w:pPr>
              <w:pStyle w:val="TableText"/>
            </w:pPr>
            <w:r>
              <w:rPr>
                <w:b/>
                <w:i w:val="0"/>
                <w:color w:val="15374F"/>
              </w:rPr>
              <w:t>Question</w:t>
            </w:r>
          </w:p>
        </w:tc>
      </w:tr>
      <w:tr>
        <w:trPr>
          <w:cantSplit/>
        </w:trPr>
        <w:tc>
          <w:tcPr>
            <w:tcW w:type="dxa" w:w="2705"/>
            <w:vAlign w:val="center"/>
            <w:tcMar>
              <w:top w:w="85" w:type="dxa"/>
              <w:left w:w="90" w:type="dxa"/>
              <w:bottom w:w="85" w:type="dxa"/>
              <w:right w:w="90" w:type="dxa"/>
            </w:tcMar>
            <w:shd w:fill="FFFFFF"/>
            <w:tcBorders>
              <w:bottom w:val="single" w:sz="4" w:color="D6E0E6"/>
            </w:tcBorders>
          </w:tcPr>
          <w:p>
            <w:pPr>
              <w:pStyle w:val="TableText"/>
            </w:pPr>
            <w:r>
              <w:rPr>
                <w:b w:val="0"/>
                <w:i w:val="0"/>
              </w:rPr>
              <w:t>DD (dense on dense history)</w:t>
            </w:r>
          </w:p>
        </w:tc>
        <w:tc>
          <w:tcPr>
            <w:tcW w:type="dxa" w:w="1449"/>
            <w:vAlign w:val="center"/>
            <w:tcMar>
              <w:top w:w="85" w:type="dxa"/>
              <w:left w:w="90" w:type="dxa"/>
              <w:bottom w:w="85" w:type="dxa"/>
              <w:right w:w="90" w:type="dxa"/>
            </w:tcMar>
            <w:shd w:fill="FFFFFF"/>
            <w:tcBorders>
              <w:bottom w:val="single" w:sz="4" w:color="D6E0E6"/>
            </w:tcBorders>
          </w:tcPr>
          <w:p>
            <w:pPr>
              <w:pStyle w:val="TableText"/>
            </w:pPr>
            <w:r>
              <w:rPr>
                <w:b w:val="0"/>
                <w:i w:val="0"/>
              </w:rPr>
              <w:t>Dense</w:t>
            </w:r>
          </w:p>
        </w:tc>
        <w:tc>
          <w:tcPr>
            <w:tcW w:type="dxa" w:w="2125"/>
            <w:vAlign w:val="center"/>
            <w:tcMar>
              <w:top w:w="85" w:type="dxa"/>
              <w:left w:w="90" w:type="dxa"/>
              <w:bottom w:w="85" w:type="dxa"/>
              <w:right w:w="90" w:type="dxa"/>
            </w:tcMar>
            <w:shd w:fill="FFFFFF"/>
            <w:tcBorders>
              <w:bottom w:val="single" w:sz="4" w:color="D6E0E6"/>
            </w:tcBorders>
          </w:tcPr>
          <w:p>
            <w:pPr>
              <w:pStyle w:val="TableText"/>
            </w:pPr>
            <w:r>
              <w:rPr>
                <w:b w:val="0"/>
                <w:i w:val="0"/>
              </w:rPr>
              <w:t>Dense rollout</w:t>
            </w:r>
          </w:p>
        </w:tc>
        <w:tc>
          <w:tcPr>
            <w:tcW w:type="dxa" w:w="3381"/>
            <w:vAlign w:val="center"/>
            <w:tcMar>
              <w:top w:w="85" w:type="dxa"/>
              <w:left w:w="90" w:type="dxa"/>
              <w:bottom w:w="85" w:type="dxa"/>
              <w:right w:w="90" w:type="dxa"/>
            </w:tcMar>
            <w:shd w:fill="FFFFFF"/>
            <w:tcBorders>
              <w:bottom w:val="single" w:sz="4" w:color="D6E0E6"/>
            </w:tcBorders>
          </w:tcPr>
          <w:p>
            <w:pPr>
              <w:pStyle w:val="TableText"/>
            </w:pPr>
            <w:r>
              <w:rPr>
                <w:b w:val="0"/>
                <w:i w:val="0"/>
              </w:rPr>
              <w:t>What is the parent forecast?</w:t>
            </w:r>
          </w:p>
        </w:tc>
      </w:tr>
      <w:tr>
        <w:trPr>
          <w:cantSplit/>
        </w:trPr>
        <w:tc>
          <w:tcPr>
            <w:tcW w:type="dxa" w:w="2705"/>
            <w:vAlign w:val="center"/>
            <w:tcMar>
              <w:top w:w="85" w:type="dxa"/>
              <w:left w:w="90" w:type="dxa"/>
              <w:bottom w:w="85" w:type="dxa"/>
              <w:right w:w="90" w:type="dxa"/>
            </w:tcMar>
            <w:shd w:fill="F4F7F9"/>
            <w:tcBorders>
              <w:bottom w:val="single" w:sz="4" w:color="D6E0E6"/>
            </w:tcBorders>
          </w:tcPr>
          <w:p>
            <w:pPr>
              <w:pStyle w:val="TableText"/>
            </w:pPr>
            <w:r>
              <w:rPr>
                <w:b w:val="0"/>
                <w:i w:val="0"/>
              </w:rPr>
              <w:t>QD (compressed on dense history)</w:t>
            </w:r>
          </w:p>
        </w:tc>
        <w:tc>
          <w:tcPr>
            <w:tcW w:type="dxa" w:w="1449"/>
            <w:vAlign w:val="center"/>
            <w:tcMar>
              <w:top w:w="85" w:type="dxa"/>
              <w:left w:w="90" w:type="dxa"/>
              <w:bottom w:w="85" w:type="dxa"/>
              <w:right w:w="90" w:type="dxa"/>
            </w:tcMar>
            <w:shd w:fill="F4F7F9"/>
            <w:tcBorders>
              <w:bottom w:val="single" w:sz="4" w:color="D6E0E6"/>
            </w:tcBorders>
          </w:tcPr>
          <w:p>
            <w:pPr>
              <w:pStyle w:val="TableText"/>
            </w:pPr>
            <w:r>
              <w:rPr>
                <w:b w:val="0"/>
                <w:i w:val="0"/>
              </w:rPr>
              <w:t>Compressed</w:t>
            </w:r>
          </w:p>
        </w:tc>
        <w:tc>
          <w:tcPr>
            <w:tcW w:type="dxa" w:w="2125"/>
            <w:vAlign w:val="center"/>
            <w:tcMar>
              <w:top w:w="85" w:type="dxa"/>
              <w:left w:w="90" w:type="dxa"/>
              <w:bottom w:w="85" w:type="dxa"/>
              <w:right w:w="90" w:type="dxa"/>
            </w:tcMar>
            <w:shd w:fill="F4F7F9"/>
            <w:tcBorders>
              <w:bottom w:val="single" w:sz="4" w:color="D6E0E6"/>
            </w:tcBorders>
          </w:tcPr>
          <w:p>
            <w:pPr>
              <w:pStyle w:val="TableText"/>
            </w:pPr>
            <w:r>
              <w:rPr>
                <w:b w:val="0"/>
                <w:i w:val="0"/>
              </w:rPr>
              <w:t>Dense rollout</w:t>
            </w:r>
          </w:p>
        </w:tc>
        <w:tc>
          <w:tcPr>
            <w:tcW w:type="dxa" w:w="3381"/>
            <w:vAlign w:val="center"/>
            <w:tcMar>
              <w:top w:w="85" w:type="dxa"/>
              <w:left w:w="90" w:type="dxa"/>
              <w:bottom w:w="85" w:type="dxa"/>
              <w:right w:w="90" w:type="dxa"/>
            </w:tcMar>
            <w:shd w:fill="F4F7F9"/>
            <w:tcBorders>
              <w:bottom w:val="single" w:sz="4" w:color="D6E0E6"/>
            </w:tcBorders>
          </w:tcPr>
          <w:p>
            <w:pPr>
              <w:pStyle w:val="TableText"/>
            </w:pPr>
            <w:r>
              <w:rPr>
                <w:b w:val="0"/>
                <w:i w:val="0"/>
              </w:rPr>
              <w:t>What changes in the current call alone?</w:t>
            </w:r>
          </w:p>
        </w:tc>
      </w:tr>
      <w:tr>
        <w:trPr>
          <w:cantSplit/>
        </w:trPr>
        <w:tc>
          <w:tcPr>
            <w:tcW w:type="dxa" w:w="2705"/>
            <w:vAlign w:val="center"/>
            <w:tcMar>
              <w:top w:w="85" w:type="dxa"/>
              <w:left w:w="90" w:type="dxa"/>
              <w:bottom w:w="85" w:type="dxa"/>
              <w:right w:w="90" w:type="dxa"/>
            </w:tcMar>
            <w:shd w:fill="FFFFFF"/>
            <w:tcBorders>
              <w:bottom w:val="single" w:sz="4" w:color="D6E0E6"/>
            </w:tcBorders>
          </w:tcPr>
          <w:p>
            <w:pPr>
              <w:pStyle w:val="TableText"/>
            </w:pPr>
            <w:r>
              <w:rPr>
                <w:b w:val="0"/>
                <w:i w:val="0"/>
              </w:rPr>
              <w:t>DQ (dense on compressed history)</w:t>
            </w:r>
          </w:p>
        </w:tc>
        <w:tc>
          <w:tcPr>
            <w:tcW w:type="dxa" w:w="1449"/>
            <w:vAlign w:val="center"/>
            <w:tcMar>
              <w:top w:w="85" w:type="dxa"/>
              <w:left w:w="90" w:type="dxa"/>
              <w:bottom w:w="85" w:type="dxa"/>
              <w:right w:w="90" w:type="dxa"/>
            </w:tcMar>
            <w:shd w:fill="FFFFFF"/>
            <w:tcBorders>
              <w:bottom w:val="single" w:sz="4" w:color="D6E0E6"/>
            </w:tcBorders>
          </w:tcPr>
          <w:p>
            <w:pPr>
              <w:pStyle w:val="TableText"/>
            </w:pPr>
            <w:r>
              <w:rPr>
                <w:b w:val="0"/>
                <w:i w:val="0"/>
              </w:rPr>
              <w:t>Dense</w:t>
            </w:r>
          </w:p>
        </w:tc>
        <w:tc>
          <w:tcPr>
            <w:tcW w:type="dxa" w:w="2125"/>
            <w:vAlign w:val="center"/>
            <w:tcMar>
              <w:top w:w="85" w:type="dxa"/>
              <w:left w:w="90" w:type="dxa"/>
              <w:bottom w:w="85" w:type="dxa"/>
              <w:right w:w="90" w:type="dxa"/>
            </w:tcMar>
            <w:shd w:fill="FFFFFF"/>
            <w:tcBorders>
              <w:bottom w:val="single" w:sz="4" w:color="D6E0E6"/>
            </w:tcBorders>
          </w:tcPr>
          <w:p>
            <w:pPr>
              <w:pStyle w:val="TableText"/>
            </w:pPr>
            <w:r>
              <w:rPr>
                <w:b w:val="0"/>
                <w:i w:val="0"/>
              </w:rPr>
              <w:t>Compressed rollout</w:t>
            </w:r>
          </w:p>
        </w:tc>
        <w:tc>
          <w:tcPr>
            <w:tcW w:type="dxa" w:w="3381"/>
            <w:vAlign w:val="center"/>
            <w:tcMar>
              <w:top w:w="85" w:type="dxa"/>
              <w:left w:w="90" w:type="dxa"/>
              <w:bottom w:w="85" w:type="dxa"/>
              <w:right w:w="90" w:type="dxa"/>
            </w:tcMar>
            <w:shd w:fill="FFFFFF"/>
            <w:tcBorders>
              <w:bottom w:val="single" w:sz="4" w:color="D6E0E6"/>
            </w:tcBorders>
          </w:tcPr>
          <w:p>
            <w:pPr>
              <w:pStyle w:val="TableText"/>
            </w:pPr>
            <w:r>
              <w:rPr>
                <w:b w:val="0"/>
                <w:i w:val="0"/>
              </w:rPr>
              <w:t>What does dense arithmetic do with the altered inputs?</w:t>
            </w:r>
          </w:p>
        </w:tc>
      </w:tr>
      <w:tr>
        <w:trPr>
          <w:cantSplit/>
        </w:trPr>
        <w:tc>
          <w:tcPr>
            <w:tcW w:type="dxa" w:w="2705"/>
            <w:vAlign w:val="center"/>
            <w:tcMar>
              <w:top w:w="85" w:type="dxa"/>
              <w:left w:w="90" w:type="dxa"/>
              <w:bottom w:w="85" w:type="dxa"/>
              <w:right w:w="90" w:type="dxa"/>
            </w:tcMar>
            <w:shd w:fill="F4F7F9"/>
            <w:tcBorders>
              <w:bottom w:val="single" w:sz="4" w:color="D6E0E6"/>
            </w:tcBorders>
          </w:tcPr>
          <w:p>
            <w:pPr>
              <w:pStyle w:val="TableText"/>
            </w:pPr>
            <w:r>
              <w:rPr>
                <w:b w:val="0"/>
                <w:i w:val="0"/>
              </w:rPr>
              <w:t>QQ (compressed on compressed history)</w:t>
            </w:r>
          </w:p>
        </w:tc>
        <w:tc>
          <w:tcPr>
            <w:tcW w:type="dxa" w:w="1449"/>
            <w:vAlign w:val="center"/>
            <w:tcMar>
              <w:top w:w="85" w:type="dxa"/>
              <w:left w:w="90" w:type="dxa"/>
              <w:bottom w:w="85" w:type="dxa"/>
              <w:right w:w="90" w:type="dxa"/>
            </w:tcMar>
            <w:shd w:fill="F4F7F9"/>
            <w:tcBorders>
              <w:bottom w:val="single" w:sz="4" w:color="D6E0E6"/>
            </w:tcBorders>
          </w:tcPr>
          <w:p>
            <w:pPr>
              <w:pStyle w:val="TableText"/>
            </w:pPr>
            <w:r>
              <w:rPr>
                <w:b w:val="0"/>
                <w:i w:val="0"/>
              </w:rPr>
              <w:t>Compressed</w:t>
            </w:r>
          </w:p>
        </w:tc>
        <w:tc>
          <w:tcPr>
            <w:tcW w:type="dxa" w:w="2125"/>
            <w:vAlign w:val="center"/>
            <w:tcMar>
              <w:top w:w="85" w:type="dxa"/>
              <w:left w:w="90" w:type="dxa"/>
              <w:bottom w:w="85" w:type="dxa"/>
              <w:right w:w="90" w:type="dxa"/>
            </w:tcMar>
            <w:shd w:fill="F4F7F9"/>
            <w:tcBorders>
              <w:bottom w:val="single" w:sz="4" w:color="D6E0E6"/>
            </w:tcBorders>
          </w:tcPr>
          <w:p>
            <w:pPr>
              <w:pStyle w:val="TableText"/>
            </w:pPr>
            <w:r>
              <w:rPr>
                <w:b w:val="0"/>
                <w:i w:val="0"/>
              </w:rPr>
              <w:t>Compressed rollout</w:t>
            </w:r>
          </w:p>
        </w:tc>
        <w:tc>
          <w:tcPr>
            <w:tcW w:type="dxa" w:w="3381"/>
            <w:vAlign w:val="center"/>
            <w:tcMar>
              <w:top w:w="85" w:type="dxa"/>
              <w:left w:w="90" w:type="dxa"/>
              <w:bottom w:w="85" w:type="dxa"/>
              <w:right w:w="90" w:type="dxa"/>
            </w:tcMar>
            <w:shd w:fill="F4F7F9"/>
            <w:tcBorders>
              <w:bottom w:val="single" w:sz="4" w:color="D6E0E6"/>
            </w:tcBorders>
          </w:tcPr>
          <w:p>
            <w:pPr>
              <w:pStyle w:val="TableText"/>
            </w:pPr>
            <w:r>
              <w:rPr>
                <w:b w:val="0"/>
                <w:i w:val="0"/>
              </w:rPr>
              <w:t>What happens in the compressed free forecast?</w:t>
            </w:r>
          </w:p>
        </w:tc>
      </w:tr>
    </w:tbl>
    <w:p>
      <w:pPr>
        <w:spacing w:after="60" w:before="0" w:line="240" w:lineRule="auto"/>
      </w:pPr>
      <w:r>
        <w:rPr>
          <w:sz w:val="2"/>
        </w:rPr>
      </w:r>
    </w:p>
    <w:p>
      <w:r>
        <w:rPr>
          <w:b w:val="0"/>
          <w:i w:val="0"/>
        </w:rPr>
        <w:t>The autonomous campaign also used Dd, Ad, Da and Aa for the same arrangement, with A denoting aggressive compression and lowercase d/a denoting the history source. These are caller/history labels, not sampling policies. [H, “Shared history and the caller history factorial”]</w:t>
      </w:r>
    </w:p>
    <w:p>
      <w:r>
        <w:rPr>
          <w:b w:val="0"/>
          <w:i w:val="0"/>
        </w:rPr>
        <w:t>An exact output identity is:</w:t>
      </w:r>
    </w:p>
    <w:p>
      <w:pPr>
        <w:keepLines/>
      </w:pPr>
      <w:r>
        <w:rPr>
          <w:rFonts w:ascii="DejaVu Sans Mono" w:hAnsi="DejaVu Sans Mono"/>
          <w:b w:val="0"/>
          <w:i w:val="0"/>
          <w:color w:val="3F5666"/>
          <w:sz w:val="18"/>
        </w:rPr>
        <w:t>Q(H_Q) - D(H_D) = [Q(H_D) - D(H_D)] + [Q(H_Q) - Q(H_D)]</w:t>
      </w:r>
      <w:r>
        <w:rPr>
          <w:b w:val="0"/>
          <w:i w:val="0"/>
        </w:rPr>
        <w:t>.</w:t>
      </w:r>
    </w:p>
    <w:p>
      <w:r>
        <w:rPr>
          <w:b w:val="0"/>
          <w:i w:val="0"/>
        </w:rPr>
        <w:t>The first bracket is the current-call difference on shared dense history. The second is the effect of changing the input history while keeping the compressed caller. Their squared magnitudes do not simply add: the signed cross-term matters. This is an algebraic separation of disagreement, not a causal percentage attribution of real-world rainfall damage.</w:t>
      </w:r>
    </w:p>
    <w:p>
      <w:pPr>
        <w:pStyle w:val="Heading2"/>
      </w:pPr>
      <w:r>
        <w:rPr>
          <w:b w:val="0"/>
          <w:i w:val="0"/>
        </w:rPr>
        <w:t>2.4 Other interventions and what they do not mean</w:t>
      </w:r>
    </w:p>
    <w:p>
      <w:r>
        <w:rPr>
          <w:b w:val="0"/>
          <w:i w:val="0"/>
        </w:rPr>
      </w:r>
      <w:r>
        <w:rPr>
          <w:b/>
          <w:i w:val="0"/>
        </w:rPr>
        <w:t>A pulse rollout</w:t>
      </w:r>
      <w:r>
        <w:rPr>
          <w:b w:val="0"/>
          <w:i w:val="0"/>
        </w:rPr>
        <w:t xml:space="preserve"> inserts one compressed six-hour weather update, at an early or late injection time, then returns to dense execution. It tests whether one disturbance persists after further compression stops. The recorded pulses at +6 and +72 hours left persistent differences; some improved reference scores. Persistence was demonstrated, universally harmful amplification was not. [H, “One update pulses”]</w:t>
      </w:r>
    </w:p>
    <w:p>
      <w:r>
        <w:rPr>
          <w:b w:val="0"/>
          <w:i w:val="0"/>
        </w:rPr>
      </w:r>
      <w:r>
        <w:rPr>
          <w:b/>
          <w:i w:val="0"/>
        </w:rPr>
        <w:t>An oracle rescue</w:t>
      </w:r>
      <w:r>
        <w:rPr>
          <w:b w:val="0"/>
          <w:i w:val="0"/>
        </w:rPr>
        <w:t xml:space="preserve"> replaces both stored weather-history states at +24 hours with the corresponding dense states, either wholly or for selected fields. It tests an intervention unavailable for free at deployment. A sham replacement checks the replacement procedure. Partial wind or moisture swaps can make physically inconsistent field combinations. [H, “Full state wind and moisture rescues”]</w:t>
      </w:r>
    </w:p>
    <w:p>
      <w:r>
        <w:rPr>
          <w:b w:val="0"/>
          <w:i w:val="0"/>
        </w:rPr>
      </w:r>
      <w:r>
        <w:rPr>
          <w:b/>
          <w:i w:val="0"/>
        </w:rPr>
        <w:t>M_state (dense state updates, compressed intermediate rain)</w:t>
      </w:r>
      <w:r>
        <w:rPr>
          <w:b w:val="0"/>
          <w:i w:val="0"/>
        </w:rPr>
        <w:t xml:space="preserve"> always uses dense arithmetic for the six-hour update, not just once. It is a hybrid product: the weather trajectory remains dense when execution identities hold, but intermediate rainfall can differ. It is not the same as protect_state1 (three protected layers inside an otherwise compressed network). [H, “Protect state advancing calls”; “Static layer protection and SmoothQuant”]</w:t>
      </w:r>
    </w:p>
    <w:p>
      <w:r>
        <w:rPr>
          <w:b w:val="0"/>
          <w:i w:val="0"/>
        </w:rPr>
      </w:r>
      <w:r>
        <w:rPr>
          <w:b/>
          <w:i w:val="0"/>
        </w:rPr>
        <w:t>Sparse rainfall queries</w:t>
      </w:r>
      <w:r>
        <w:rPr>
          <w:b w:val="0"/>
          <w:i w:val="0"/>
        </w:rPr>
        <w:t xml:space="preserve"> keep the original six-hour state update and estimate each block's rain from fewer hour-ending fields. </w:t>
      </w:r>
      <w:r>
        <w:rPr>
          <w:b/>
          <w:i w:val="0"/>
        </w:rPr>
        <w:t>Global rain-only decoding</w:t>
      </w:r>
      <w:r>
        <w:rPr>
          <w:b w:val="0"/>
          <w:i w:val="0"/>
        </w:rPr>
        <w:t xml:space="preserve"> omits unused atmospheric outputs on intermediate calls but retains global rain. </w:t>
      </w:r>
      <w:r>
        <w:rPr>
          <w:b/>
          <w:i w:val="0"/>
        </w:rPr>
        <w:t>Regional output decoding</w:t>
      </w:r>
      <w:r>
        <w:rPr>
          <w:b w:val="0"/>
          <w:i w:val="0"/>
        </w:rPr>
        <w:t xml:space="preserve"> keeps global input processing and reconstructs only the requested region. </w:t>
      </w:r>
      <w:r>
        <w:rPr>
          <w:b/>
          <w:i w:val="0"/>
        </w:rPr>
        <w:t>Physical input cropping</w:t>
      </w:r>
      <w:r>
        <w:rPr>
          <w:b w:val="0"/>
          <w:i w:val="0"/>
        </w:rPr>
        <w:t xml:space="preserve"> also reduces the weather context sent into the encoder and backbone. The last operation is substantially more invasive than selecting output pixels. [H, “Reducing rainfall queries”; “Output specialization and reuse”]</w:t>
      </w:r>
    </w:p>
    <w:p>
      <w:bookmarkStart w:id="5" w:name="section_4"/>
      <w:pPr>
        <w:pStyle w:val="Heading1"/>
      </w:pPr>
      <w:r>
        <w:rPr>
          <w:b w:val="0"/>
          <w:i w:val="0"/>
        </w:rPr>
        <w:t>3. Research questions and the comparisons they require</w:t>
      </w:r>
      <w:bookmarkEnd w:id="5"/>
    </w:p>
    <w:p>
      <w:pPr>
        <w:pStyle w:val="Heading2"/>
      </w:pPr>
      <w:r>
        <w:rPr>
          <w:b w:val="0"/>
          <w:i w:val="0"/>
        </w:rPr>
        <w:t>3.1 The questions we are actually trying to answer</w:t>
      </w:r>
    </w:p>
    <w:p>
      <w:r>
        <w:rPr>
          <w:b w:val="0"/>
          <w:i w:val="0"/>
        </w:rPr>
      </w:r>
      <w:r>
        <w:rPr>
          <w:b/>
          <w:i w:val="0"/>
        </w:rPr>
        <w:t>Runner correctness.</w:t>
      </w:r>
      <w:r>
        <w:rPr>
          <w:b w:val="0"/>
          <w:i w:val="0"/>
        </w:rPr>
        <w:t xml:space="preserve"> Does our implementation match the intended parent calculation with the same checkpoint, initialisation, preprocessing and execution context? Author parity and repaired normalisation address this. Matching the author implementation is not the same as reproducing the paper's accuracy on its original data.</w:t>
      </w:r>
    </w:p>
    <w:p>
      <w:r>
        <w:rPr>
          <w:b w:val="0"/>
          <w:i w:val="0"/>
        </w:rPr>
      </w:r>
      <w:r>
        <w:rPr>
          <w:b/>
          <w:i w:val="0"/>
        </w:rPr>
        <w:t>Efficiency.</w:t>
      </w:r>
      <w:r>
        <w:rPr>
          <w:b w:val="0"/>
          <w:i w:val="0"/>
        </w:rPr>
        <w:t xml:space="preserve"> Which changes reduce measured weight storage, working memory, total process memory or complete-product latency? Weight quantization, row tiling and fewer queries act on different costs. No single “compression percentage” describes all of them.</w:t>
      </w:r>
    </w:p>
    <w:p>
      <w:r>
        <w:rPr>
          <w:b w:val="0"/>
          <w:i w:val="0"/>
        </w:rPr>
      </w:r>
      <w:r>
        <w:rPr>
          <w:b/>
          <w:i w:val="0"/>
        </w:rPr>
        <w:t>Forecast degradation and propagation.</w:t>
      </w:r>
      <w:r>
        <w:rPr>
          <w:b w:val="0"/>
          <w:i w:val="0"/>
        </w:rPr>
        <w:t xml:space="preserve"> How much additional reference error does compression introduce, does it become more harmful at later equal-width lead windows, and which state changes carry the effect? Free/shared histories, pulses and rescues answer different parts.</w:t>
      </w:r>
    </w:p>
    <w:p>
      <w:r>
        <w:rPr>
          <w:b w:val="0"/>
          <w:i w:val="0"/>
        </w:rPr>
      </w:r>
      <w:r>
        <w:rPr>
          <w:b/>
          <w:i w:val="0"/>
        </w:rPr>
        <w:t>Precipitation-specific vulnerability.</w:t>
      </w:r>
      <w:r>
        <w:rPr>
          <w:b w:val="0"/>
          <w:i w:val="0"/>
        </w:rPr>
        <w:t xml:space="preserve"> Is rainfall more vulnerable than other forecast variables after normalising their different scales? The historical rain-versus-500-hPa-geopotential/850-hPa-temperature growth comparison did not establish independent precipitation-specific confirmation; the relevant confirmation remained blocked. That is not evidence that rain is either uniquely fragile or no more fragile. [H, “Research questions and what answers them”]</w:t>
      </w:r>
    </w:p>
    <w:p>
      <w:r>
        <w:rPr>
          <w:b w:val="0"/>
          <w:i w:val="0"/>
        </w:rPr>
      </w:r>
      <w:r>
        <w:rPr>
          <w:b/>
          <w:i w:val="0"/>
        </w:rPr>
        <w:t>Selective recovery.</w:t>
      </w:r>
      <w:r>
        <w:rPr>
          <w:b w:val="0"/>
          <w:i w:val="0"/>
        </w:rPr>
        <w:t xml:space="preserve"> Can protecting or correcting a small part of the computation retain useful compressed free rollouts without a deployed dense teacher? The strongest historical state protection is diagnostic evidence, not yet that deployment result.</w:t>
      </w:r>
    </w:p>
    <w:p>
      <w:r>
        <w:rPr>
          <w:b w:val="0"/>
          <w:i w:val="0"/>
        </w:rPr>
      </w:r>
      <w:r>
        <w:rPr>
          <w:b/>
          <w:i w:val="0"/>
        </w:rPr>
        <w:t>Product usefulness.</w:t>
      </w:r>
      <w:r>
        <w:rPr>
          <w:b w:val="0"/>
          <w:i w:val="0"/>
        </w:rPr>
        <w:t xml:space="preserve"> Do amount, timing, spatial placement and event decisions remain useful? Broad global checks cannot certify flood usefulness. No completed observed-discharge or catchment-runoff validation is established in the supplied history. [H, “Research questions and what answers them”; “What we verify against”]</w:t>
      </w:r>
    </w:p>
    <w:p>
      <w:pPr>
        <w:pStyle w:val="Heading2"/>
      </w:pPr>
      <w:r>
        <w:rPr>
          <w:b w:val="0"/>
          <w:i w:val="0"/>
        </w:rPr>
        <w:t>3.2 Keep three comparisons separate</w:t>
      </w:r>
    </w:p>
    <w:p>
      <w:r>
        <w:rPr>
          <w:b w:val="0"/>
          <w:i w:val="0"/>
        </w:rPr>
      </w:r>
      <w:r>
        <w:rPr>
          <w:b/>
          <w:i w:val="0"/>
        </w:rPr>
        <w:t>Dense fidelity:</w:t>
      </w:r>
      <w:r>
        <w:rPr>
          <w:b w:val="0"/>
          <w:i w:val="0"/>
        </w:rPr>
        <w:t xml:space="preserve"> how much does a candidate differ from the parent forecast? This is useful for exact engineering and compression diagnosis.</w:t>
      </w:r>
    </w:p>
    <w:p>
      <w:r>
        <w:rPr>
          <w:b w:val="0"/>
          <w:i w:val="0"/>
        </w:rPr>
      </w:r>
      <w:r>
        <w:rPr>
          <w:b/>
          <w:i w:val="0"/>
        </w:rPr>
        <w:t>Reference skill:</w:t>
      </w:r>
      <w:r>
        <w:rPr>
          <w:b w:val="0"/>
          <w:i w:val="0"/>
        </w:rPr>
        <w:t xml:space="preserve"> how much better or worse is the candidate against ERA5 (the project's model-derived reanalysis reference)? The dense parent is not perfect. A changed forecast can disagree with dense and still improve this score.</w:t>
      </w:r>
    </w:p>
    <w:p>
      <w:r>
        <w:rPr>
          <w:b w:val="0"/>
          <w:i w:val="0"/>
        </w:rPr>
      </w:r>
      <w:r>
        <w:rPr>
          <w:b/>
          <w:i w:val="0"/>
        </w:rPr>
        <w:t>Practical harm:</w:t>
      </w:r>
      <w:r>
        <w:rPr>
          <w:b w:val="0"/>
          <w:i w:val="0"/>
        </w:rPr>
        <w:t xml:space="preserve"> does the change affect a specified decision, such as whether rainfall exceeds a threshold in an application area? A 25.1-to-24.9 mm change crosses a 25 mm threshold despite a small amount change. This is an illustrative decision example, not an observed project cell. [H, “Three comparisons that must stay separate”; explanatory example]</w:t>
      </w:r>
    </w:p>
    <w:p>
      <w:r>
        <w:rPr>
          <w:b w:val="0"/>
          <w:i w:val="0"/>
        </w:rPr>
        <w:t>The original global gate had 15 checks: five aggregate metrics at three leads, each allowing at most 5% degradation relative to dense. Precipitation was included, but these were not 15 different variables and the gate was not an operational flood tolerance. The supplied history does not reproduce all five exact metric definitions, so this revision does not invent them. [H, “Three comparisons that must stay separate”]</w:t>
      </w:r>
    </w:p>
    <w:p>
      <w:pPr>
        <w:pStyle w:val="Heading2"/>
      </w:pPr>
      <w:r>
        <w:rPr>
          <w:b w:val="0"/>
          <w:i w:val="0"/>
        </w:rPr>
        <w:t>3.3 Why a changed forecast can improve reference error</w:t>
      </w:r>
    </w:p>
    <w:p>
      <w:r>
        <w:rPr>
          <w:b w:val="0"/>
          <w:i w:val="0"/>
        </w:rPr>
        <w:t>Write the dense error as e = dense − reference, and the candidate's change as delta = candidate − dense. Then:</w:t>
      </w:r>
    </w:p>
    <w:p>
      <w:pPr>
        <w:keepLines/>
      </w:pPr>
      <w:r>
        <w:rPr>
          <w:rFonts w:ascii="DejaVu Sans Mono" w:hAnsi="DejaVu Sans Mono"/>
          <w:b w:val="0"/>
          <w:i w:val="0"/>
          <w:color w:val="3F5666"/>
          <w:sz w:val="18"/>
        </w:rPr>
        <w:t>added mean squared error = mean(delta²) + 2 × mean(e × delta)</w:t>
      </w:r>
      <w:r>
        <w:rPr>
          <w:b w:val="0"/>
          <w:i w:val="0"/>
        </w:rPr>
        <w:t>.</w:t>
      </w:r>
    </w:p>
    <w:p>
      <w:r>
        <w:rPr>
          <w:b w:val="0"/>
          <w:i w:val="0"/>
        </w:rPr>
        <w:t>The first term measures disagreement and cannot be negative. The second measures whether the change aligns with the dense error or counteracts it. A dry-biased dense forecast can benefit when a distorted candidate adds rain, but that does not make the distortion a stable correction. This is an identity for mean squared error, not an additive identity for its square root. [H, “Distortion can cancel existing forecast error”]</w:t>
      </w:r>
    </w:p>
    <w:p>
      <w:bookmarkStart w:id="6" w:name="section_5"/>
      <w:pPr>
        <w:pStyle w:val="Heading1"/>
      </w:pPr>
      <w:r>
        <w:rPr>
          <w:b w:val="0"/>
          <w:i w:val="0"/>
        </w:rPr>
        <w:t>4. The decision roadmap: why one experiment led to the next</w:t>
      </w:r>
      <w:bookmarkEnd w:id="6"/>
    </w:p>
    <w:p>
      <w:pPr>
        <w:pStyle w:val="Heading2"/>
      </w:pPr>
      <w:r>
        <w:rPr>
          <w:b w:val="0"/>
          <w:i w:val="0"/>
        </w:rPr>
        <w:t>4.1 Establish trust before attributing errors to compression</w:t>
      </w:r>
    </w:p>
    <w:p>
      <w:r>
        <w:rPr>
          <w:b w:val="0"/>
          <w:i w:val="0"/>
        </w:rPr>
        <w:t>The early parity and preprocessing work found a processor-versus-graphics-processor normalisation error and repaired it. Later, seemingly identical model recipes differed across fresh constructions. This motivated actual-input hashes, warmup qualification, resident-model comparisons and independent-process repeatability tests. A policy name alone does not prove equivalent execution. V2 (earlier paused campaign) and V4 (planned full-block attribution campaign) were not completed in the latest status recorded by the supplied history; neither should become a completed finding through repetition in a roadmap. [H, “Why each next experiment was selected”; “Independent evidence exists”]</w:t>
      </w:r>
    </w:p>
    <w:p>
      <w:r>
        <w:rPr>
          <w:b w:val="0"/>
          <w:i w:val="0"/>
        </w:rPr>
        <w:t>V3 (eight-start precision and rollout comparison) recorded dense daily rainfall error of 1.728214 mm and native eight-bit error of 1.750184 mm. The interval for additional late growth crossed zero. This supported a small tested penalty, not a general law of harmful amplification. [H, “Campaign results that can be compared directly”]</w:t>
      </w:r>
    </w:p>
    <w:p>
      <w:pPr>
        <w:pStyle w:val="Heading2"/>
      </w:pPr>
      <w:r>
        <w:rPr>
          <w:b w:val="0"/>
          <w:i w:val="0"/>
        </w:rPr>
        <w:t>4.2 Ask what the cheap rainfall queries actually change</w:t>
      </w:r>
    </w:p>
    <w:p>
      <w:r>
        <w:rPr>
          <w:b w:val="0"/>
          <w:i w:val="0"/>
        </w:rPr>
        <w:t>V5 (sparse rainfall queries, replay qualification and fresh confirmation) compared full queries with uniform and fitted two-query reconstructions. It established a large query-count saving and an uncertain advantage for fitted weights. V6 (temporal controls, signed error alignment and event analysis) then asked why an apparently better reconstruction rule could worsen reference error. It separated temporal approximation error from cancellation of the dense model's existing errors. [H, “What the early and fresh tests showed”]</w:t>
      </w:r>
    </w:p>
    <w:p>
      <w:r>
        <w:rPr>
          <w:b w:val="0"/>
          <w:i w:val="0"/>
        </w:rPr>
        <w:t>The next question was not simply “which formula has the smallest dense disagreement?” It was “which approximation remains useful on new starts, and what does it save under the actual execution contract?” That question required reproducibility and memory measurements rather than another unconstrained sampler fit.</w:t>
      </w:r>
    </w:p>
    <w:p>
      <w:pPr>
        <w:pStyle w:val="Heading2"/>
      </w:pPr>
      <w:r>
        <w:rPr>
          <w:b w:val="0"/>
          <w:i w:val="0"/>
        </w:rPr>
        <w:t>4.3 Measure the memory owner before choosing the optimisation</w:t>
      </w:r>
    </w:p>
    <w:p>
      <w:r>
        <w:rPr>
          <w:b w:val="0"/>
          <w:i w:val="0"/>
        </w:rPr>
        <w:t>V7 (memory ownership and repeatability) showed that reducing weight bytes left most nonparameter memory unchanged. V8 (decoder row tiling) attacked an identified hidden-activation allocation. V9 (fresh query and tiling confirmation, strict precision checks) tested transfer to eight fresh starts and stopped an attention-memory attempt that increased the peak. V10 (regional rain-only outputs and rainfall failure analysis) avoided reconstructing intermediate fields that the product discarded. V11 (global rain-only decoding and generalisation design) separated saving an output branch from restricting regional coverage. [H, “Use measured bottlenecks to choose engineering work”]</w:t>
      </w:r>
    </w:p>
    <w:p>
      <w:r>
        <w:rPr>
          <w:b w:val="0"/>
          <w:i w:val="0"/>
        </w:rPr>
        <w:t>This chain is an engineering decision process: locate the measured limiting tensor or repeated operation, propose a specific change, verify output identities where exactness is claimed, then remeasure the complete product. It is not a finding that all parts of the model are equally expensive.</w:t>
      </w:r>
    </w:p>
    <w:p>
      <w:pPr>
        <w:pStyle w:val="Heading2"/>
      </w:pPr>
      <w:r>
        <w:rPr>
          <w:b w:val="0"/>
          <w:i w:val="0"/>
        </w:rPr>
        <w:t>4.4 Increase the compression dose to expose recovery mechanisms</w:t>
      </w:r>
    </w:p>
    <w:p>
      <w:r>
        <w:rPr>
          <w:b w:val="0"/>
          <w:i w:val="0"/>
        </w:rPr>
        <w:t>The autonomous E1 (eight-start precision-dose ladder) compared dense, native eight-bit and simulated eight-, six- and four-bit weights. The four-bit surrogate worsened rainfall on all eight development starts. Autonomous E3 (six-start internal remedy comparison) tested selective layer protection, dense state updates and related remedies. The dense-update hybrid recovered most of the damage, while different layer policies traded ordinary amount error against heavy-rain-weighted loss. [H, “Use the severe failure to choose remedies”; “Campaign results that can be compared directly”]</w:t>
      </w:r>
    </w:p>
    <w:p>
      <w:r>
        <w:rPr>
          <w:b w:val="0"/>
          <w:i w:val="0"/>
        </w:rPr>
        <w:t>A winter case strongly affected several comparisons. That motivates analysing weather-regime dependence and balancing development coverage, not deleting the difficult case. It also motivates testing remedies on the compressed histories they will actually encounter.</w:t>
      </w:r>
    </w:p>
    <w:p>
      <w:pPr>
        <w:pStyle w:val="Heading2"/>
      </w:pPr>
      <w:r>
        <w:rPr>
          <w:b w:val="0"/>
          <w:i w:val="0"/>
        </w:rPr>
        <w:t>4.5 What the newest follow-up changes</w:t>
      </w:r>
    </w:p>
    <w:p>
      <w:r>
        <w:rPr>
          <w:b w:val="0"/>
          <w:i w:val="0"/>
        </w:rPr>
        <w:t>V12-FU (9 October bug checks and reruns) shows why implementation and scientific failures must remain separate. Fixing a time-unit join made two processor-only studies executable. Aligning crops to attention windows substantially reduced reported crop error. But the repaired low-rank method and the correctly implemented latent interpolation probe still failed their quality objectives. The next work should therefore preserve these valid negatives and change the hypothesis, not repeatedly “repair” a method because its score is disappointing. [F1–F5]</w:t>
      </w:r>
    </w:p>
    <w:p>
      <w:bookmarkStart w:id="7" w:name="section_6"/>
      <w:pPr>
        <w:pStyle w:val="Heading1"/>
      </w:pPr>
      <w:r>
        <w:rPr>
          <w:b w:val="0"/>
          <w:i w:val="0"/>
        </w:rPr>
        <w:t>5. “Use measured bottlenecks to choose engineering work,” explained</w:t>
      </w:r>
      <w:bookmarkEnd w:id="7"/>
    </w:p>
    <w:p>
      <w:pPr>
        <w:pStyle w:val="Heading2"/>
      </w:pPr>
      <w:r>
        <w:rPr>
          <w:b w:val="0"/>
          <w:i w:val="0"/>
        </w:rPr>
        <w:t>5.1 What was measured</w:t>
      </w:r>
    </w:p>
    <w:p>
      <w:r>
        <w:rPr>
          <w:b w:val="0"/>
          <w:i w:val="0"/>
        </w:rPr>
        <w:t xml:space="preserve">The memory study separated </w:t>
      </w:r>
      <w:r>
        <w:rPr>
          <w:b/>
          <w:i w:val="0"/>
        </w:rPr>
        <w:t>parameter storage</w:t>
      </w:r>
      <w:r>
        <w:rPr>
          <w:b w:val="0"/>
          <w:i w:val="0"/>
        </w:rPr>
        <w:t xml:space="preserve"> from </w:t>
      </w:r>
      <w:r>
        <w:rPr>
          <w:b/>
          <w:i w:val="0"/>
        </w:rPr>
        <w:t>live nonparameter tensors</w:t>
      </w:r>
      <w:r>
        <w:rPr>
          <w:b w:val="0"/>
          <w:i w:val="0"/>
        </w:rPr>
        <w:t>. Parameters are the learned numerical values. Nonparameter tensors include input fields, backbone features, decoder residuals, hidden feed-forward activations and temporary outputs. The study also distinguished memory currently allocated to tensors, memory reserved by the allocator and sampled total graphics-process memory. Those numbers answer different questions. [H, “Memory diagnosis and decoder tiling”]</w:t>
      </w:r>
    </w:p>
    <w:p>
      <w:r>
        <w:rPr>
          <w:b w:val="0"/>
          <w:i w:val="0"/>
        </w:rPr>
        <w:t>In V7 (memory ownership and repeatability), dense execution peaked at about 13.512 GiB allocated, with 2.645 GiB in weights. Native eight-bit execution peaked at about 12.506 GiB, with 1.627 GiB in weights. Subtraction gives approximately 10.867 and 10.879 GiB of nonparameter memory. The weights shrank by about 1.018 GiB; the rest barely changed. These subtractions are derived from the history's rounded figures, not a new profiling run. [H, “Locate the tensors that actually set the peak”]</w:t>
      </w:r>
    </w:p>
    <w:p>
      <w:r>
        <w:rPr>
          <w:b w:val="0"/>
          <w:i w:val="0"/>
        </w:rPr>
      </w:r>
      <w:r>
        <w:rPr>
          <w:b/>
          <w:i w:val="0"/>
        </w:rPr>
        <w:t>Interpretation:</w:t>
      </w:r>
      <w:r>
        <w:rPr>
          <w:b w:val="0"/>
          <w:i w:val="0"/>
        </w:rPr>
        <w:t xml:space="preserve"> shrinking the suitcase does not shrink the large working table on which the model spreads its intermediate calculations. More weight compression could still help, but it could not by itself remove the measured intermediate peak.</w:t>
      </w:r>
    </w:p>
    <w:p>
      <w:pPr>
        <w:pStyle w:val="Heading2"/>
      </w:pPr>
      <w:r>
        <w:rPr>
          <w:b w:val="0"/>
          <w:i w:val="0"/>
        </w:rPr>
        <w:t>5.2 What the tiling experiment changed</w:t>
      </w:r>
    </w:p>
    <w:p>
      <w:r>
        <w:rPr>
          <w:b w:val="0"/>
          <w:i w:val="0"/>
        </w:rPr>
        <w:t>The decoder had very large residual and feed-forward hidden tensors, each reported around 3.213 GiB. After unchanged attention, much feed-forward work operated independently on spatial rows. The intervention processed a quarter or an eighth of those rows at a time, rather than creating the entire hidden tensor simultaneously. [H, “Locate the tensors that actually set the peak”; “Tile independent decoder feed forward rows”]</w:t>
      </w:r>
    </w:p>
    <w:p>
      <w:r>
        <w:rPr>
          <w:b w:val="0"/>
          <w:i w:val="0"/>
        </w:rPr>
        <w:t>Each row retained all 13 levels, its full 1024-feature normalisation, the biased 1024-to-2048-to-1024 projections, the same activation function and 32-bit residual arithmetic. Layers and widths were not removed. The change was execution order and buffer lifetime. Only fresh, owned residual storage could be reused; shared inputs and recurrent histories were not mutated. [H, “Tile independent decoder feed forward rows”]</w:t>
      </w:r>
    </w:p>
    <w:p>
      <w:r>
        <w:rPr>
          <w:b w:val="0"/>
          <w:i w:val="0"/>
        </w:rPr>
        <w:t>V8 (decoder row tiling) found a 1.603 GiB, or 11.87%, reduction in the complete two-query product's allocated peak, with 1.56% more warmed latency and exact outputs on its qualification start. Quarter and eighth tiling tied on whole-call peak, so quarter tiling was selected by speed before reference scoring. V9 (fresh query and tiling confirmation) transferred the selected fields and handoffs exactly on eight fresh starts. [H, “Tile independent decoder feed forward rows”]</w:t>
      </w:r>
    </w:p>
    <w:p>
      <w:r>
        <w:rPr>
          <w:b w:val="0"/>
          <w:i w:val="0"/>
        </w:rPr>
        <w:t xml:space="preserve">The important result is </w:t>
      </w:r>
      <w:r>
        <w:rPr>
          <w:b/>
          <w:i w:val="0"/>
        </w:rPr>
        <w:t>lower temporary memory for the same tested calculation</w:t>
      </w:r>
      <w:r>
        <w:rPr>
          <w:b w:val="0"/>
          <w:i w:val="0"/>
        </w:rPr>
        <w:t>, not fewer mathematical operations and not a smaller trained model.</w:t>
      </w:r>
    </w:p>
    <w:p>
      <w:pPr>
        <w:pStyle w:val="Heading2"/>
      </w:pPr>
      <w:r>
        <w:rPr>
          <w:b w:val="0"/>
          <w:i w:val="0"/>
        </w:rPr>
        <w:t>5.3 Why the next attention attempt was stopped</w:t>
      </w:r>
    </w:p>
    <w:p>
      <w:r>
        <w:rPr>
          <w:b w:val="0"/>
          <w:i w:val="0"/>
        </w:rPr>
        <w:t>After tiling, an attention-related allocation became a leading peak. A revised attention schedule preserved the tested operator and enclosing outputs but increased the enclosing peak from 11.908 to 13.515 GiB. The report identified an extra full output buffer as a plausible contributor, without an isolated allocation experiment proving that cause. The full-forecast branch was stopped because the measured local memory outcome was already adverse. There was no completed product speed result for that attempt. [H, “Try to reduce the new attention peak”]</w:t>
      </w:r>
    </w:p>
    <w:p>
      <w:r>
        <w:rPr>
          <w:b w:val="0"/>
          <w:i w:val="0"/>
        </w:rPr>
        <w:t>This is the intended decision rule: an optimisation can be mathematically correct and still be operationally worse. Do not spend many forecasts validating its rainfall quality before demonstrating the engineering benefit it was supposed to provide.</w:t>
      </w:r>
    </w:p>
    <w:p>
      <w:r>
        <w:rPr>
          <w:b w:val="0"/>
          <w:i w:val="0"/>
        </w:rPr>
        <w:t>The historical verification-buffer deletion proposal was skipped because no substantial safely removable owner was identified. An expandable-segments allocator attempt had nonexact outputs against a differently warmed parent, so it did not establish an exact memory saving. Graphics graph capture was disabled in the relevant memory diagnosis; blaming retained graphs for that peak would be unsupported. These are separate skipped or inconclusive engineering attempts, not successful reductions. [H, “Locate the tensors that actually set the peak”]</w:t>
      </w:r>
    </w:p>
    <w:p>
      <w:pPr>
        <w:pStyle w:val="Heading2"/>
      </w:pPr>
      <w:r>
        <w:rPr>
          <w:b w:val="0"/>
          <w:i w:val="0"/>
        </w:rPr>
        <w:t>5.4 Why output specialisation came next</w:t>
      </w:r>
    </w:p>
    <w:p>
      <w:r>
        <w:rPr>
          <w:b w:val="0"/>
          <w:i w:val="0"/>
        </w:rPr>
        <w:t>V10 (regional rain-only outputs) retained global input processing and a full global state update, but decoded only the requested regional rain on intermediate calls. The selected surface patch groups were 1,405 of 64,800. Two exposed cases matched the parent regional rain and histories exactly. Six-query timing fell from 124.34 to 100.58 seconds; three-query timing fell from 68.21 to 59.25 seconds. The peak remained about 11.908 GiB because the unchanged full six-hour call still set it. [H, “Regional rain only decoder in V10”]</w:t>
      </w:r>
    </w:p>
    <w:p>
      <w:r>
        <w:rPr>
          <w:b w:val="0"/>
          <w:i w:val="0"/>
        </w:rPr>
        <w:t>An earlier attempt to skip atmospheric decoding failed surface-output hashes without a same-method repeat control. Later specialisation used a pinned dependency analysis and matched constructions. The early failure cannot be generalised into a claim that independent output branches can never be omitted safely. [H, “Earlier selective decoding and future internal caching”]</w:t>
      </w:r>
    </w:p>
    <w:p>
      <w:r>
        <w:rPr>
          <w:b w:val="0"/>
          <w:i w:val="0"/>
        </w:rPr>
        <w:t>V11 (global rain-only decoding) reportedly reduced the six-query product from about 124.4 to 101.0 seconds without discarding global rain. That result remains indirectly supported by the prior summary, not a newly inspected receipt. Encoder-prefix reuse is implemented in code referenced by follow-up logs, but those logs alone do not establish its exactness or speed. The full qualification should be recovered from the live repository before treating it as the best baseline. [H, “Global rain only decoding in V11”; F7]</w:t>
      </w:r>
    </w:p>
    <w:p>
      <w:bookmarkStart w:id="8" w:name="section_7"/>
      <w:pPr>
        <w:pStyle w:val="Heading1"/>
      </w:pPr>
      <w:r>
        <w:rPr>
          <w:b w:val="0"/>
          <w:i w:val="0"/>
        </w:rPr>
        <w:t>6. INT8 and simulated low-bit weights, step by step</w:t>
      </w:r>
      <w:bookmarkEnd w:id="8"/>
    </w:p>
    <w:p>
      <w:pPr>
        <w:pStyle w:val="Heading2"/>
      </w:pPr>
      <w:r>
        <w:rPr>
          <w:b w:val="0"/>
          <w:i w:val="0"/>
        </w:rPr>
        <w:t>6.1 Four things that must not be confused</w:t>
      </w:r>
    </w:p>
    <w:p>
      <w:r>
        <w:rPr>
          <w:b w:val="0"/>
          <w:i w:val="0"/>
        </w:rPr>
      </w:r>
      <w:r>
        <w:rPr>
          <w:b/>
          <w:i w:val="0"/>
        </w:rPr>
        <w:t>Number format:</w:t>
      </w:r>
      <w:r>
        <w:rPr>
          <w:b w:val="0"/>
          <w:i w:val="0"/>
        </w:rPr>
        <w:t xml:space="preserve"> a weight can be represented in 32-bit floating point, 16-bit floating point, eight-bit floating point, or a low-bit integer code with a scale.</w:t>
      </w:r>
    </w:p>
    <w:p>
      <w:r>
        <w:rPr>
          <w:b w:val="0"/>
          <w:i w:val="0"/>
        </w:rPr>
      </w:r>
      <w:r>
        <w:rPr>
          <w:b/>
          <w:i w:val="0"/>
        </w:rPr>
        <w:t>Arithmetic:</w:t>
      </w:r>
      <w:r>
        <w:rPr>
          <w:b w:val="0"/>
          <w:i w:val="0"/>
        </w:rPr>
        <w:t xml:space="preserve"> a matrix operation may actually run using a low-precision hardware kernel, or it may run using ordinary 16-bit arithmetic on weights that were previously rounded to a coarse grid.</w:t>
      </w:r>
    </w:p>
    <w:p>
      <w:r>
        <w:rPr>
          <w:b w:val="0"/>
          <w:i w:val="0"/>
        </w:rPr>
      </w:r>
      <w:r>
        <w:rPr>
          <w:b/>
          <w:i w:val="0"/>
        </w:rPr>
        <w:t>Storage:</w:t>
      </w:r>
      <w:r>
        <w:rPr>
          <w:b w:val="0"/>
          <w:i w:val="0"/>
        </w:rPr>
        <w:t xml:space="preserve"> a file or live model can store tightly packed low-bit codes, or can store their rounded values in ordinary 16-bit tensors. The latter is not four-bit model storage.</w:t>
      </w:r>
    </w:p>
    <w:p>
      <w:r>
        <w:rPr>
          <w:b w:val="0"/>
          <w:i w:val="0"/>
        </w:rPr>
      </w:r>
      <w:r>
        <w:rPr>
          <w:b/>
          <w:i w:val="0"/>
        </w:rPr>
        <w:t>Architecture:</w:t>
      </w:r>
      <w:r>
        <w:rPr>
          <w:b w:val="0"/>
          <w:i w:val="0"/>
        </w:rPr>
        <w:t xml:space="preserve"> quantization usually leaves the layer shapes and the nominal number of matrix multiply-adds unchanged. Removing channels or blocks is a different intervention. [H, “What counts as a model change”; “Precision and low bit methods”]</w:t>
      </w:r>
    </w:p>
    <w:p>
      <w:pPr>
        <w:pStyle w:val="Heading2"/>
      </w:pPr>
      <w:r>
        <w:rPr>
          <w:b w:val="0"/>
          <w:i w:val="0"/>
        </w:rPr>
        <w:t>6.2 The dense baseline and native eight-bit execution</w:t>
      </w:r>
    </w:p>
    <w:p>
      <w:r>
        <w:rPr>
          <w:b w:val="0"/>
          <w:i w:val="0"/>
        </w:rPr>
        <w:t>The early author-style baseline stored weights in 32-bit floating point while eligible operations ran under 16-bit autocast. Later dense execution stored weights in bfloat16, a 16-bit floating-point format. Some apparent eight-bit memory savings therefore came from comparison with unnecessarily large dense storage. A separate 16-bit-storage intervention saved 2.04 GiB and replayed exactly for 12 hours, but was not fully qualified over the whole forecast horizon. [H, “Dense FP32 storage with FP16 autocast and dense BF16”]</w:t>
      </w:r>
    </w:p>
    <w:p>
      <w:r>
        <w:rPr>
          <w:b w:val="0"/>
          <w:i w:val="0"/>
        </w:rPr>
        <w:t>N8 (native eight-bit floating-point weights and activation operands) used the later frozen recipe targeting 192 backbone linear modules: attention projections and feed-forward projections. The encoder and decoder were not automatically included. Per-row weight scales and dynamic activation scales supplied native low-precision matrix multiplication. This changed numerical representation and execution kernels, not the model's layer dimensions. [H, “Native FP8 W8A8 with TorchAO”]</w:t>
      </w:r>
    </w:p>
    <w:p>
      <w:r>
        <w:rPr>
          <w:b w:val="0"/>
          <w:i w:val="0"/>
        </w:rPr>
        <w:t>Native low precision can save bytes without being faster in every execution mode. Early eager eight-bit execution was slower than eager dense execution; compilation improved some matched contexts. A timing claim must name the exact recipe, hardware, warmup and product. [H, “Native FP8 W8A8 with TorchAO”]</w:t>
      </w:r>
    </w:p>
    <w:p>
      <w:pPr>
        <w:pStyle w:val="Heading2"/>
      </w:pPr>
      <w:r>
        <w:rPr>
          <w:b w:val="0"/>
          <w:i w:val="0"/>
        </w:rPr>
        <w:t>6.3 What the INT8 experiment tried</w:t>
      </w:r>
    </w:p>
    <w:p>
      <w:r>
        <w:rPr>
          <w:b w:val="0"/>
          <w:i w:val="0"/>
        </w:rPr>
        <w:t xml:space="preserve">INT8 (eight-bit integer arithmetic) is not the same format as eight-bit floating point. The early experiment tried the </w:t>
      </w:r>
      <w:r>
        <w:rPr>
          <w:rFonts w:ascii="DejaVu Sans Mono" w:hAnsi="DejaVu Sans Mono"/>
          <w:b w:val="0"/>
          <w:i w:val="0"/>
          <w:color w:val="3F5666"/>
          <w:sz w:val="18"/>
        </w:rPr>
        <w:t>_int_mm</w:t>
      </w:r>
      <w:r>
        <w:rPr>
          <w:b w:val="0"/>
          <w:i w:val="0"/>
        </w:rPr>
        <w:t xml:space="preserve"> integer matrix multiplication route on hardware identified as </w:t>
      </w:r>
      <w:r>
        <w:rPr>
          <w:rFonts w:ascii="DejaVu Sans Mono" w:hAnsi="DejaVu Sans Mono"/>
          <w:b w:val="0"/>
          <w:i w:val="0"/>
          <w:color w:val="3F5666"/>
          <w:sz w:val="18"/>
        </w:rPr>
        <w:t>sm_120</w:t>
      </w:r>
      <w:r>
        <w:rPr>
          <w:b w:val="0"/>
          <w:i w:val="0"/>
        </w:rPr>
        <w:t>. It did not show a speed gain in that implementation. The supplied history does not establish whether conversion, scaling, kernel efficiency or another operation was the principal bottleneck, so no single explanation is asserted here. [H, “INT8 and simulated low bit weights”]</w:t>
      </w:r>
    </w:p>
    <w:p>
      <w:r>
        <w:rPr>
          <w:b w:val="0"/>
          <w:i w:val="0"/>
        </w:rPr>
        <w:t>That outcome rejects the tested speed claim. It does not show that every integer quantizer, every kernel or every device will be slow.</w:t>
      </w:r>
    </w:p>
    <w:p>
      <w:pPr>
        <w:pStyle w:val="Heading2"/>
      </w:pPr>
      <w:r>
        <w:rPr>
          <w:b w:val="0"/>
          <w:i w:val="0"/>
        </w:rPr>
        <w:t>6.4 What “simulated four-bit weights” actually means</w:t>
      </w:r>
    </w:p>
    <w:p>
      <w:r>
        <w:rPr>
          <w:b w:val="0"/>
          <w:i w:val="0"/>
        </w:rPr>
        <w:t>A simplified procedure is: split a weight matrix into groups; choose a scale for each group; round each value to a small integer level; then decode each integer back to an ordinary floating-point value. The network is run with those coarsened values in 16-bit tensors. A four-bit code has at most 16 code values, although the exact signed codebook, clipping and scale handling must come from the project's frozen implementation.</w:t>
      </w:r>
    </w:p>
    <w:p>
      <w:r>
        <w:rPr>
          <w:b w:val="0"/>
          <w:i w:val="0"/>
        </w:rPr>
        <w:t xml:space="preserve">For an </w:t>
      </w:r>
      <w:r>
        <w:rPr>
          <w:b/>
          <w:i w:val="0"/>
        </w:rPr>
        <w:t>illustrative</w:t>
      </w:r>
      <w:r>
        <w:rPr>
          <w:b w:val="0"/>
          <w:i w:val="0"/>
        </w:rPr>
        <w:t>, not project-specific, scale of 0.1, a weight of 0.237 might be rounded to code 2 and decoded to 0.2. Storing 0.2 in a 16-bit tensor preserves the quantization distortion, but it still consumes a 16-bit storage slot and uses the selected 16-bit execution path. The simulation asks: “How much numerical damage would this coarse weight representation cause?” It does not answer: “How fast is a packed four-bit deployment?”</w:t>
      </w:r>
    </w:p>
    <w:p>
      <w:r>
        <w:rPr>
          <w:b w:val="0"/>
          <w:i w:val="0"/>
        </w:rPr>
        <w:t>Group-128 means that groups of 128 weight values share the quantization treatment and scale arrangement prescribed by the implementation. Grouping prevents one single scale from covering an entire large tensor, but does not guarantee good forecast quality. The exact grouping axis and codebook should be inspected rather than inferred from the name. [H, “INT8 and simulated low bit weights”]</w:t>
      </w:r>
    </w:p>
    <w:p>
      <w:r>
        <w:rPr>
          <w:b w:val="0"/>
          <w:i w:val="0"/>
        </w:rPr>
        <w:t>S8 (simulated eight-bit weight grid), S6 (simulated six-bit weight grid) and S4 (simulated four-bit weight grid) were the autonomous dose ladder, all decoded into bfloat16 execution. Their names are not native deployment formats. The ladder completed 40 forecasts: five models across eight starts, including dense and native eight-bit controls. [H, “INT8 and simulated low bit weights”]</w:t>
      </w:r>
    </w:p>
    <w:p>
      <w:pPr>
        <w:pStyle w:val="Heading2"/>
      </w:pPr>
      <w:r>
        <w:rPr>
          <w:b w:val="0"/>
          <w:i w:val="0"/>
        </w:rPr>
        <w:t>6.5 Why the quantization recipes differ</w:t>
      </w:r>
    </w:p>
    <w:p>
      <w:r>
        <w:rPr>
          <w:b w:val="0"/>
          <w:i w:val="0"/>
        </w:rPr>
        <w:t xml:space="preserve">RTN (round-to-nearest quantization) simply rounds weights to permitted levels using the chosen scale. GPTQ (the named second-order post-training weight reconstruction method) uses calibration activations and approximate curvature information to compensate for quantization-induced layer output changes. GPTAQ (the named asymmetric-calibration method) additionally targets the original full-precision model outputs while accounting for altered inputs caused by earlier quantized layers. These last two descriptions are </w:t>
      </w:r>
      <w:r>
        <w:rPr>
          <w:b/>
          <w:i w:val="0"/>
        </w:rPr>
        <w:t>external method background</w:t>
      </w:r>
      <w:r>
        <w:rPr>
          <w:b w:val="0"/>
          <w:i w:val="0"/>
        </w:rPr>
        <w:t>, not a reconstruction of the project's unavailable exact implementations. [W1; W2]</w:t>
      </w:r>
    </w:p>
    <w:p>
      <w:r>
        <w:rPr>
          <w:b w:val="0"/>
          <w:i w:val="0"/>
        </w:rPr>
        <w:t>The project history reports an early two-case comparison with about 14.9%, 11.4% and 5.7% added rainfall root-mean-square error for round-to-nearest, GPTQ-style and GPTAQ-style probes respectively. The quantities were numerical results for decoded weights, not measured native four-bit speedups. The exact calibration internals are absent from the supplied history, so those percentages do not establish a clean, fully audited algorithm ranking. [H, “INT8 and simulated low bit weights”]</w:t>
      </w:r>
    </w:p>
    <w:p>
      <w:r>
        <w:rPr>
          <w:b w:val="0"/>
          <w:i w:val="0"/>
        </w:rPr>
        <w:t xml:space="preserve">A separate earlier study perturbed 12.5%, 25% or 50% of weights with a crude per-tensor four-bit recipe and all doses failed the quality gate. </w:t>
      </w:r>
      <w:r>
        <w:rPr>
          <w:b/>
          <w:i w:val="0"/>
        </w:rPr>
        <w:t>Coverage fraction</w:t>
      </w:r>
      <w:r>
        <w:rPr>
          <w:b w:val="0"/>
          <w:i w:val="0"/>
        </w:rPr>
        <w:t xml:space="preserve"> is not </w:t>
      </w:r>
      <w:r>
        <w:rPr>
          <w:b/>
          <w:i w:val="0"/>
        </w:rPr>
        <w:t>bit width</w:t>
      </w:r>
      <w:r>
        <w:rPr>
          <w:b w:val="0"/>
          <w:i w:val="0"/>
        </w:rPr>
        <w:t>. That experiment cannot be pooled with the later group-128 ladder as if it were the same intervention. [H, “INT8 and simulated low bit weights”]</w:t>
      </w:r>
    </w:p>
    <w:p>
      <w:bookmarkStart w:id="9" w:name="section_8"/>
      <w:pPr>
        <w:pStyle w:val="Heading1"/>
      </w:pPr>
      <w:r>
        <w:rPr>
          <w:b w:val="0"/>
          <w:i w:val="0"/>
        </w:rPr>
        <w:t>7. Pruning and protection policies: what each policy was trying to do</w:t>
      </w:r>
      <w:bookmarkEnd w:id="9"/>
    </w:p>
    <w:p>
      <w:pPr>
        <w:pStyle w:val="Heading2"/>
      </w:pPr>
      <w:r>
        <w:rPr>
          <w:b w:val="0"/>
          <w:i w:val="0"/>
        </w:rPr>
        <w:t>7.1 Structural feed-forward narrowing</w:t>
      </w:r>
    </w:p>
    <w:p>
      <w:r>
        <w:rPr>
          <w:b w:val="0"/>
          <w:i w:val="0"/>
        </w:rPr>
        <w:t>The pruning study reduced selected feed-forward intermediate widths by half. For a two-projection feed-forward block, the first projection loses selected output channels and the second loses the matching input channels. Unlike rounding weights, this reduces actual matrix dimensions. The review records 48 individual half-width ablations and later policies narrowing one through eight components. Exact channel masks are not attached. [H, “Structured feed forward narrowing”]</w:t>
      </w:r>
    </w:p>
    <w:p>
      <w:r>
        <w:rPr>
          <w:b w:val="0"/>
          <w:i w:val="0"/>
        </w:rPr>
        <w:t>Selection rules used weight magnitude, one-step sensitivity, rainfall spatial scores at 24/72/120 hours and random choices. Twenty-six of 32 policy screens failed. One narrowed component saved about 0.56% of counted operations and eight saved about 4.5%. The lever was real but modest and unreliable in those trials. A low correlation between short- and long-horizon rankings did not establish a useful selector without a ranking-noise control. [H, “Structured feed forward narrowing”]</w:t>
      </w:r>
    </w:p>
    <w:p>
      <w:pPr>
        <w:pStyle w:val="Heading2"/>
      </w:pPr>
      <w:r>
        <w:rPr>
          <w:b w:val="0"/>
          <w:i w:val="0"/>
        </w:rPr>
        <w:t>7.2 Static protection and earlier precision remedies</w:t>
      </w:r>
    </w:p>
    <w:p>
      <w:r>
        <w:rPr>
          <w:b w:val="0"/>
          <w:i w:val="0"/>
        </w:rPr>
      </w:r>
      <w:r>
        <w:rPr>
          <w:b/>
          <w:i w:val="0"/>
        </w:rPr>
        <w:t>fc1 protection (keep the first feed-forward projection dense)</w:t>
      </w:r>
      <w:r>
        <w:rPr>
          <w:b w:val="0"/>
          <w:i w:val="0"/>
        </w:rPr>
        <w:t xml:space="preserve"> asks whether that particular expansion step is especially sensitive. </w:t>
      </w:r>
      <w:r>
        <w:rPr>
          <w:b/>
          <w:i w:val="0"/>
        </w:rPr>
        <w:t>QKV+PROJ protection (keep attention projections dense)</w:t>
      </w:r>
      <w:r>
        <w:rPr>
          <w:b w:val="0"/>
          <w:i w:val="0"/>
        </w:rPr>
        <w:t xml:space="preserve"> protects the projections that form and process attention. </w:t>
      </w:r>
      <w:r>
        <w:rPr>
          <w:b/>
          <w:i w:val="0"/>
        </w:rPr>
        <w:t>protect_state1 (three selected layers kept dense)</w:t>
      </w:r>
      <w:r>
        <w:rPr>
          <w:b w:val="0"/>
          <w:i w:val="0"/>
        </w:rPr>
        <w:t xml:space="preserve"> is a layer policy despite its name; it does not mean making every weather update dense. Each spends extra weight bytes and higher-precision work compared with the unprotected quantized model. [H, “Static layer protection and SmoothQuant”]</w:t>
      </w:r>
    </w:p>
    <w:p>
      <w:r>
        <w:rPr>
          <w:b w:val="0"/>
          <w:i w:val="0"/>
        </w:rPr>
        <w:t>SmoothQuant (redistribute scale between activations and weights before quantization) was another tried remedy. The supplied history does not specify its exact project scaling configuration. The small development advantage of first-projection protection did not establish reliable event gains. On 11 fresh dates, the three-layer protection and one SmoothQuant variant did not reduce the plain native-eight-bit penalty. Several informed selectors chose exactly the same policies as simpler rules. [H, “Static layer protection and SmoothQuant”]</w:t>
      </w:r>
    </w:p>
    <w:p>
      <w:r>
        <w:rPr>
          <w:b w:val="0"/>
          <w:i w:val="0"/>
        </w:rPr>
        <w:t>TQS-inspired selection (the project's trajectory-sensitivity adaptation, not a verified reproduction of the original method) included a 192-layer simulated-six-bit sweep on one date. It stored state measures but did not produce a final allocation from that sweep; incompatible device strata could not be pooled. This is evidence of a diagnostic effort, not an established sophisticated selector advantage. [H, “TQS inspired and rainfall aware allocation”]</w:t>
      </w:r>
    </w:p>
    <w:p>
      <w:pPr>
        <w:pStyle w:val="Heading2"/>
      </w:pPr>
      <w:r>
        <w:rPr>
          <w:b w:val="0"/>
          <w:i w:val="0"/>
        </w:rPr>
        <w:t>7.3 The later long, short, static and random policies</w:t>
      </w:r>
    </w:p>
    <w:p>
      <w:r>
        <w:rPr>
          <w:b w:val="0"/>
          <w:i w:val="0"/>
        </w:rPr>
        <w:t>The autonomous selector began with aggressive compression, restored one component group to higher precision, measured the benefit, divided by the additional hypothetical precision bytes, and used those utilities to build a protection policy. This was performed on two calibration starts, in August and October. Groups with negative utility could remain unprotected. [H, “TQS inspired and rainfall aware allocation”]</w:t>
      </w:r>
    </w:p>
    <w:p>
      <w:r>
        <w:rPr>
          <w:b w:val="0"/>
          <w:i w:val="0"/>
        </w:rPr>
      </w:r>
      <w:r>
        <w:rPr>
          <w:b/>
          <w:i w:val="0"/>
        </w:rPr>
        <w:t>Long-horizon protection (select groups by complete rainfall task benefit)</w:t>
      </w:r>
      <w:r>
        <w:rPr>
          <w:b w:val="0"/>
          <w:i w:val="0"/>
        </w:rPr>
        <w:t xml:space="preserve"> tries to spend precision where it helps the forecast product over the rollout, not only the immediate state.</w:t>
      </w:r>
    </w:p>
    <w:p>
      <w:r>
        <w:rPr>
          <w:b w:val="0"/>
          <w:i w:val="0"/>
        </w:rPr>
      </w:r>
      <w:r>
        <w:rPr>
          <w:b/>
          <w:i w:val="0"/>
        </w:rPr>
        <w:t>Short-horizon protection (select groups by early state error)</w:t>
      </w:r>
      <w:r>
        <w:rPr>
          <w:b w:val="0"/>
          <w:i w:val="0"/>
        </w:rPr>
        <w:t xml:space="preserve"> tries to prevent large immediate state changes. A component important for early state fidelity need not be the same one important for later rainfall.</w:t>
      </w:r>
    </w:p>
    <w:p>
      <w:r>
        <w:rPr>
          <w:b w:val="0"/>
          <w:i w:val="0"/>
        </w:rPr>
      </w:r>
      <w:r>
        <w:rPr>
          <w:b/>
          <w:i w:val="0"/>
        </w:rPr>
        <w:t>Static attention protection (protect attention by a fixed architectural rule)</w:t>
      </w:r>
      <w:r>
        <w:rPr>
          <w:b w:val="0"/>
          <w:i w:val="0"/>
        </w:rPr>
        <w:t xml:space="preserve"> is a simple, non-data-adaptive control. </w:t>
      </w:r>
      <w:r>
        <w:rPr>
          <w:b/>
          <w:i w:val="0"/>
        </w:rPr>
        <w:t>Random protection (protect randomly chosen groups)</w:t>
      </w:r>
      <w:r>
        <w:rPr>
          <w:b w:val="0"/>
          <w:i w:val="0"/>
        </w:rPr>
        <w:t xml:space="preserve"> asks whether an informed allocation is better than merely spending extra precision somewhere.</w:t>
      </w:r>
    </w:p>
    <w:p>
      <w:r>
        <w:rPr>
          <w:b w:val="0"/>
          <w:i w:val="0"/>
        </w:rPr>
      </w:r>
      <w:r>
        <w:rPr>
          <w:b/>
          <w:i w:val="0"/>
        </w:rPr>
        <w:t>M_state (dense six-hour updates, compressed intermediate rain)</w:t>
      </w:r>
      <w:r>
        <w:rPr>
          <w:b w:val="0"/>
          <w:i w:val="0"/>
        </w:rPr>
        <w:t xml:space="preserve"> protects a type of call rather than a group of layers. It removes recurrent compressed-state drift but currently requires a costly dense/compressed realisation. It must not be ranked as though it spends the same budget as a few protected projection groups. [H, “Protect state advancing calls”]</w:t>
      </w:r>
    </w:p>
    <w:p>
      <w:pPr>
        <w:pStyle w:val="Heading2"/>
      </w:pPr>
      <w:r>
        <w:rPr>
          <w:b w:val="0"/>
          <w:i w:val="0"/>
        </w:rPr>
        <w:t>7.4 Why long-horizon protection and static attention can both “win”</w:t>
      </w:r>
    </w:p>
    <w:p>
      <w:r>
        <w:rPr>
          <w:b w:val="0"/>
          <w:i w:val="0"/>
        </w:rPr>
        <w:t xml:space="preserve">On the six internal development starts, the ordinary daily rainfall root-mean-square errors were 2.4855 mm for unprotected simulated four-bit weights, 2.1342 mm for long-horizon protection and 2.2171 mm for static attention protection. Thus long-horizon protection was better on </w:t>
      </w:r>
      <w:r>
        <w:rPr>
          <w:b/>
          <w:i w:val="0"/>
        </w:rPr>
        <w:t>that ordinary amount-error metric</w:t>
      </w:r>
      <w:r>
        <w:rPr>
          <w:b w:val="0"/>
          <w:i w:val="0"/>
        </w:rPr>
        <w:t>. The heavy-rain-weighted task loss was lower for static attention protection. Exact task-loss values for both layer policies are not reproduced in the supplied history, so none are invented. [H, “Campaign results that can be compared directly”]</w:t>
      </w:r>
    </w:p>
    <w:p>
      <w:r>
        <w:rPr>
          <w:b w:val="0"/>
          <w:i w:val="0"/>
        </w:rPr>
        <w:t>The task loss gives equal importance to normalised six-hour mean squared error and normalised daily mean squared error. In the daily part, reference cells with at least 25 mm get weight 10 instead of 1; fixed calibration reference variances provide normalisation. Consequently, a policy can reduce many widespread moderate errors and win ordinary error, yet retain a few costly heavy-rain errors and lose the weighted objective. This is an explanation of the metric trade-off, not proof of which exact cells caused the observed ranking. [H, “How the heavy rain task loss differs from RMSE”]</w:t>
      </w:r>
    </w:p>
    <w:p>
      <w:r>
        <w:rPr>
          <w:b w:val="0"/>
          <w:i w:val="0"/>
        </w:rPr>
        <w:t>The short-horizon policy had a smaller hypothetical byte budget, and the calibration dates did not cover winter or spring. Therefore the study does not cleanly establish that long-horizon selection beats short-horizon or static selection at equal cost across seasons. A proper next comparison freezes the same byte and execution budgets and reports both objectives on common starts.</w:t>
      </w:r>
    </w:p>
    <w:p>
      <w:bookmarkStart w:id="10" w:name="section_9"/>
      <w:pPr>
        <w:pStyle w:val="Heading1"/>
      </w:pPr>
      <w:r>
        <w:rPr>
          <w:b w:val="0"/>
          <w:i w:val="0"/>
        </w:rPr>
        <w:t>8. “Use the severe failure to choose remedies,” explained</w:t>
      </w:r>
      <w:bookmarkEnd w:id="10"/>
    </w:p>
    <w:p>
      <w:pPr>
        <w:pStyle w:val="Heading2"/>
      </w:pPr>
      <w:r>
        <w:rPr>
          <w:b w:val="0"/>
          <w:i w:val="0"/>
        </w:rPr>
        <w:t>8.1 What the severe failure was</w:t>
      </w:r>
    </w:p>
    <w:p>
      <w:r>
        <w:rPr>
          <w:b w:val="0"/>
          <w:i w:val="0"/>
        </w:rPr>
        <w:t>The severe result concerns S4 (the aggressive simulated four-bit weight model), not all compression. Across eight development starts, ordinary daily rainfall error rose from 1.7650 mm for dense to 2.2759 mm, about 29%. Native eight-bit execution on that same ladder had 1.7628 mm, slightly better than dense on the aggregate. Other cohorts showed small native-eight-bit penalties. The evidence supports strong recipe- and cohort-dependence, not “compression always badly damages rain.” [H, “Campaign results that can be compared directly”]</w:t>
      </w:r>
    </w:p>
    <w:p>
      <w:pPr>
        <w:pStyle w:val="Heading2"/>
      </w:pPr>
      <w:r>
        <w:rPr>
          <w:b w:val="0"/>
          <w:i w:val="0"/>
        </w:rPr>
        <w:t>8.2 What state protection recovered</w:t>
      </w:r>
    </w:p>
    <w:p>
      <w:r>
        <w:rPr>
          <w:b w:val="0"/>
          <w:i w:val="0"/>
        </w:rPr>
        <w:t>On the matched six-start remedy support, dense error was 1.8938 mm, unprotected simulated-four-bit error was 2.4855 mm, and M_state (dense weather updates with compressed intermediate rainfall) achieved 1.9254 mm. The corresponding task losses were 1.7035, 3.3060 and 1.7633. Most of the added damage disappeared when the recurrent weather history was kept dense. [H, “Protect state advancing calls”]</w:t>
      </w:r>
    </w:p>
    <w:p>
      <w:r>
        <w:rPr>
          <w:b w:val="0"/>
          <w:i w:val="0"/>
        </w:rPr>
        <w:t>That result makes state evolution a promising intervention target. It does not prove a single physical cause, and it does not mean that the current hybrid is a small compressed model. If both a dense and a compressed copy remain available at inference, their combined storage and lifecycle costs must be counted.</w:t>
      </w:r>
    </w:p>
    <w:p>
      <w:pPr>
        <w:pStyle w:val="Heading2"/>
      </w:pPr>
      <w:r>
        <w:rPr>
          <w:b w:val="0"/>
          <w:i w:val="0"/>
        </w:rPr>
        <w:t>8.3 Why inspect the worst case rather than average it away?</w:t>
      </w:r>
    </w:p>
    <w:p>
      <w:r>
        <w:rPr>
          <w:b w:val="0"/>
          <w:i w:val="0"/>
        </w:rPr>
        <w:t>On 31 January, the aggressive model's whole-rollout task loss was reported as 13.584 without rescue. Replacing the two-time moisture history at +24 hours reduced it to 13.344; wind replacement reduced it to 8.328; full-state replacement reduced it to 7.965. These are whole-rollout intervention scores for that case, not the adaptive sampler's scores and not averages over the six-start remedy cohort. [H, “Full state wind and moisture rescues”]</w:t>
      </w:r>
    </w:p>
    <w:p>
      <w:r>
        <w:rPr>
          <w:b w:val="0"/>
          <w:i w:val="0"/>
        </w:rPr>
        <w:t>This makes transport, storm position and timing plausible diagnostic directions. It does not prove that winds uniquely caused the failure or that moisture never matters. A combined wind-plus-moisture rescue and a bounded displacement/timing analysis would test interactions. Those are proposed diagnostics and must retain the dense-oracle cost caveat.</w:t>
      </w:r>
    </w:p>
    <w:p>
      <w:r>
        <w:rPr>
          <w:b w:val="0"/>
          <w:i w:val="0"/>
        </w:rPr>
      </w:r>
      <w:r>
        <w:rPr>
          <w:b/>
          <w:i w:val="0"/>
        </w:rPr>
        <w:t>The intended meaning of the roadmap sentence is:</w:t>
      </w:r>
      <w:r>
        <w:rPr>
          <w:b w:val="0"/>
          <w:i w:val="0"/>
        </w:rPr>
        <w:t xml:space="preserve"> a large, repeatable development failure gives us a signal strong enough to test which remedies remove it. Some protection mechanisms help, one repaired low-rank method does not, and independent deployment-quality evidence is still required.</w:t>
      </w:r>
    </w:p>
    <w:p>
      <w:bookmarkStart w:id="11" w:name="section_10"/>
      <w:pPr>
        <w:pStyle w:val="Heading1"/>
      </w:pPr>
      <w:r>
        <w:rPr>
          <w:b w:val="0"/>
          <w:i w:val="0"/>
        </w:rPr>
        <w:t>9. Low-rank correction and training: updated status</w:t>
      </w:r>
      <w:bookmarkEnd w:id="11"/>
    </w:p>
    <w:p>
      <w:pPr>
        <w:pStyle w:val="Heading2"/>
      </w:pPr>
      <w:r>
        <w:rPr>
          <w:b w:val="0"/>
          <w:i w:val="0"/>
        </w:rPr>
        <w:t>9.1 What a small weight-residual repair does</w:t>
      </w:r>
    </w:p>
    <w:p>
      <w:r>
        <w:rPr>
          <w:b w:val="0"/>
          <w:i w:val="0"/>
        </w:rPr>
        <w:t>Let E be the original weight matrix minus its quantized-and-decoded approximation. A low-rank factorisation approximates E with two thin matrices. The tested fixed construction used rank up to eight and fixed-seed randomised singular value decomposition, a method for finding dominant matrix directions. The layer then computes the quantized base plus a small two-matrix correction, including the original bias once. Input and output dimensions do not change. [H, “A small reconstruction of the quantization residual”]</w:t>
      </w:r>
    </w:p>
    <w:p>
      <w:r>
        <w:rPr>
          <w:b w:val="0"/>
          <w:i w:val="0"/>
        </w:rPr>
        <w:t xml:space="preserve">This is a repair of the </w:t>
      </w:r>
      <w:r>
        <w:rPr>
          <w:b/>
          <w:i w:val="0"/>
        </w:rPr>
        <w:t>weight residual</w:t>
      </w:r>
      <w:r>
        <w:rPr>
          <w:b w:val="0"/>
          <w:i w:val="0"/>
        </w:rPr>
        <w:t>. It does not automatically correct every activation-dependent rounding error, and the directions with largest weight residual need not be the directions that matter for later rainfall. An activation-aware version would instead weight reconstruction by actual layer inputs. A deployment path must retain the small factors rather than silently storing a full dense residual matrix.</w:t>
      </w:r>
    </w:p>
    <w:p>
      <w:pPr>
        <w:pStyle w:val="Heading2"/>
      </w:pPr>
      <w:r>
        <w:rPr>
          <w:b w:val="0"/>
          <w:i w:val="0"/>
        </w:rPr>
        <w:t>9.2 The native eight-bit result</w:t>
      </w:r>
    </w:p>
    <w:p>
      <w:r>
        <w:rPr>
          <w:b w:val="0"/>
          <w:i w:val="0"/>
        </w:rPr>
        <w:t>N8_rank (native eight-bit model plus low-rank weight repair) ran on eight development starts and added about 2.34 MiB of factors across 19 feed-forward modules. Daily error was 1.7549 mm versus 1.7628 mm for the uncorrected native model. The interval for the task-loss benefit included zero. Six-query time was 106.12 versus 104.74 seconds; reserved and sampled process memory increased by about half a GiB despite only about two MiB more allocated peak. Small factor files do not guarantee a similarly small runtime overhead. [H, “What ran and what failed”]</w:t>
      </w:r>
    </w:p>
    <w:p>
      <w:pPr>
        <w:pStyle w:val="Heading2"/>
      </w:pPr>
      <w:r>
        <w:rPr>
          <w:b w:val="0"/>
          <w:i w:val="0"/>
        </w:rPr>
        <w:t>9.3 The four-bit result is no longer merely “blocked”</w:t>
      </w:r>
    </w:p>
    <w:p>
      <w:r>
        <w:rPr>
          <w:b w:val="0"/>
          <w:i w:val="0"/>
        </w:rPr>
        <w:t>The older S4_rank (simulated four-bit model plus low-rank residual repair) initially failed a quantized-base identity guard and produced no forecast. The original roadmap correctly called that an implementation failure. The follow-up now reports that construction was diagnosed, zero-factor identities were exact, and the layer error improved slightly, by 1.3%, yet the rollout worsened on six starts. [H, “What ran and what failed”; F1]</w:t>
      </w:r>
    </w:p>
    <w:p>
      <w:r>
        <w:rPr>
          <w:b w:val="0"/>
          <w:i w:val="0"/>
        </w:rPr>
        <w:t>This supersedes the old next step “repair the construction and finally test it.” The correct next question is why a locally better layer reconstruction was globally worse in the evolving forecast. The uploaded follow-up does not include the original repaired four-bit per-start score table, so this revision records the direction and the reported support, not invented exact rollout numbers.</w:t>
      </w:r>
    </w:p>
    <w:p>
      <w:r>
        <w:rPr>
          <w:b w:val="0"/>
          <w:i w:val="0"/>
        </w:rPr>
        <w:t xml:space="preserve">A useful negative result is: </w:t>
      </w:r>
      <w:r>
        <w:rPr>
          <w:b/>
          <w:i w:val="0"/>
        </w:rPr>
        <w:t>this tested fixed weight-residual correction was not a sufficient remedy</w:t>
      </w:r>
      <w:r>
        <w:rPr>
          <w:b w:val="0"/>
          <w:i w:val="0"/>
        </w:rPr>
        <w:t>. It does not reject all low-rank adapters, activation-aware objectives or student-history training. A changed remedy must state what new mechanism it tests rather than relabelling the same construction.</w:t>
      </w:r>
    </w:p>
    <w:p>
      <w:pPr>
        <w:pStyle w:val="Heading2"/>
      </w:pPr>
      <w:r>
        <w:rPr>
          <w:b w:val="0"/>
          <w:i w:val="0"/>
        </w:rPr>
        <w:t>9.4 Earlier student work and the proposed recovery comparison</w:t>
      </w:r>
    </w:p>
    <w:p>
      <w:r>
        <w:rPr>
          <w:b w:val="0"/>
          <w:i w:val="0"/>
        </w:rPr>
        <w:t>The historical review records a tiny student with state error 4.6–20.6 times the teacher's and no rain. Labels-only training beat the tested distillation setup, and a corrected teacher beat a separate learner. The original architectures, optimisers and losses are not attached, so these are narrow pilot outcomes rather than a general result about distillation. [H, “Earlier student and distillation pilots”]</w:t>
      </w:r>
    </w:p>
    <w:p>
      <w:r>
        <w:rPr>
          <w:b w:val="0"/>
          <w:i w:val="0"/>
        </w:rPr>
        <w:t>The new proposed comparison keeps adapter size, compressed backbone, training budget and deployment format fixed. Compare no recovery, one-step recovery on clean histories, recovery on student-generated histories, and student-history recovery with a delayed-rainfall-sensitive objective. No dense teacher may be present during deployed evaluation. Dataset aggregation, in which a learner receives teaching on states it visits, is established outside weather; borrowing that ingredient alone is not a novelty claim. [W3; proposed design]</w:t>
      </w:r>
    </w:p>
    <w:p>
      <w:bookmarkStart w:id="12" w:name="section_11"/>
      <w:pPr>
        <w:pStyle w:val="Heading1"/>
      </w:pPr>
      <w:r>
        <w:rPr>
          <w:b w:val="0"/>
          <w:i w:val="0"/>
        </w:rPr>
        <w:t>10. Reducing rainfall queries without changing the weather recurrence</w:t>
      </w:r>
      <w:bookmarkEnd w:id="12"/>
    </w:p>
    <w:p>
      <w:pPr>
        <w:pStyle w:val="Heading2"/>
      </w:pPr>
      <w:r>
        <w:rPr>
          <w:b w:val="0"/>
          <w:i w:val="0"/>
        </w:rPr>
        <w:t>10.1 The original fixed policies</w:t>
      </w:r>
    </w:p>
    <w:p>
      <w:r>
        <w:rPr>
          <w:b w:val="0"/>
          <w:i w:val="0"/>
        </w:rPr>
        <w:t>Let p1 through p6 denote the six native hour-ending rainfall fields from the same pre-update history. The following formulas reconstruct a six-hour block total. The six-hour weather update remains the original one. [H, “Reducing rainfall queries”]</w:t>
      </w:r>
    </w:p>
    <w:tbl>
      <w:tblPr>
        <w:tblW w:type="auto" w:w="0"/>
        <w:jc w:val="center"/>
        <w:tblLayout w:type="fixed"/>
        <w:tblLook w:firstColumn="1" w:firstRow="1" w:lastColumn="0" w:lastRow="0" w:noHBand="0" w:noVBand="1" w:val="04A0"/>
      </w:tblPr>
      <w:tblGrid>
        <w:gridCol w:w="3767"/>
        <w:gridCol w:w="3477"/>
        <w:gridCol w:w="2415"/>
      </w:tblGrid>
      <w:tr>
        <w:trPr>
          <w:cantSplit/>
          <w:tblHeader/>
        </w:trPr>
        <w:tc>
          <w:tcPr>
            <w:tcW w:type="dxa" w:w="3767"/>
            <w:vAlign w:val="center"/>
            <w:tcMar>
              <w:top w:w="85" w:type="dxa"/>
              <w:left w:w="90" w:type="dxa"/>
              <w:bottom w:w="85" w:type="dxa"/>
              <w:right w:w="90" w:type="dxa"/>
            </w:tcMar>
            <w:shd w:fill="E6EEF3"/>
            <w:tcBorders>
              <w:bottom w:val="single" w:sz="4" w:color="D6E0E6"/>
            </w:tcBorders>
          </w:tcPr>
          <w:p>
            <w:pPr>
              <w:pStyle w:val="TableText"/>
            </w:pPr>
            <w:r>
              <w:rPr>
                <w:b/>
                <w:i w:val="0"/>
                <w:color w:val="15374F"/>
              </w:rPr>
              <w:t>Policy, with reminder</w:t>
            </w:r>
          </w:p>
        </w:tc>
        <w:tc>
          <w:tcPr>
            <w:tcW w:type="dxa" w:w="3477"/>
            <w:vAlign w:val="center"/>
            <w:tcMar>
              <w:top w:w="85" w:type="dxa"/>
              <w:left w:w="90" w:type="dxa"/>
              <w:bottom w:w="85" w:type="dxa"/>
              <w:right w:w="90" w:type="dxa"/>
            </w:tcMar>
            <w:shd w:fill="E6EEF3"/>
            <w:tcBorders>
              <w:bottom w:val="single" w:sz="4" w:color="D6E0E6"/>
            </w:tcBorders>
          </w:tcPr>
          <w:p>
            <w:pPr>
              <w:pStyle w:val="TableText"/>
            </w:pPr>
            <w:r>
              <w:rPr>
                <w:b/>
                <w:i w:val="0"/>
                <w:color w:val="15374F"/>
              </w:rPr>
              <w:t>Block-total estimate</w:t>
            </w:r>
          </w:p>
        </w:tc>
        <w:tc>
          <w:tcPr>
            <w:tcW w:type="dxa" w:w="2415"/>
            <w:vAlign w:val="center"/>
            <w:tcMar>
              <w:top w:w="85" w:type="dxa"/>
              <w:left w:w="90" w:type="dxa"/>
              <w:bottom w:w="85" w:type="dxa"/>
              <w:right w:w="90" w:type="dxa"/>
            </w:tcMar>
            <w:shd w:fill="E6EEF3"/>
            <w:tcBorders>
              <w:bottom w:val="single" w:sz="4" w:color="D6E0E6"/>
            </w:tcBorders>
          </w:tcPr>
          <w:p>
            <w:pPr>
              <w:pStyle w:val="TableText"/>
            </w:pPr>
            <w:r>
              <w:rPr>
                <w:b/>
                <w:i w:val="0"/>
                <w:color w:val="15374F"/>
              </w:rPr>
              <w:t>What changes</w:t>
            </w:r>
          </w:p>
        </w:tc>
      </w:tr>
      <w:tr>
        <w:trPr>
          <w:cantSplit/>
        </w:trPr>
        <w:tc>
          <w:tcPr>
            <w:tcW w:type="dxa" w:w="3767"/>
            <w:vAlign w:val="center"/>
            <w:tcMar>
              <w:top w:w="85" w:type="dxa"/>
              <w:left w:w="90" w:type="dxa"/>
              <w:bottom w:w="85" w:type="dxa"/>
              <w:right w:w="90" w:type="dxa"/>
            </w:tcMar>
            <w:shd w:fill="FFFFFF"/>
            <w:tcBorders>
              <w:bottom w:val="single" w:sz="4" w:color="D6E0E6"/>
            </w:tcBorders>
          </w:tcPr>
          <w:p>
            <w:pPr>
              <w:pStyle w:val="TableText"/>
            </w:pPr>
            <w:r>
              <w:rPr>
                <w:b w:val="0"/>
                <w:i w:val="0"/>
              </w:rPr>
              <w:t>D6 (all six hourly queries)</w:t>
            </w:r>
          </w:p>
        </w:tc>
        <w:tc>
          <w:tcPr>
            <w:tcW w:type="dxa" w:w="3477"/>
            <w:vAlign w:val="center"/>
            <w:tcMar>
              <w:top w:w="85" w:type="dxa"/>
              <w:left w:w="90" w:type="dxa"/>
              <w:bottom w:w="85" w:type="dxa"/>
              <w:right w:w="90" w:type="dxa"/>
            </w:tcMar>
            <w:shd w:fill="FFFFFF"/>
            <w:tcBorders>
              <w:bottom w:val="single" w:sz="4" w:color="D6E0E6"/>
            </w:tcBorders>
          </w:tcPr>
          <w:p>
            <w:pPr>
              <w:pStyle w:val="TableText"/>
            </w:pPr>
            <w:r>
              <w:rPr>
                <w:b w:val="0"/>
                <w:i w:val="0"/>
              </w:rPr>
              <w:t>p1 + p2 + p3 + p4 + p5 + p6</w:t>
            </w:r>
          </w:p>
        </w:tc>
        <w:tc>
          <w:tcPr>
            <w:tcW w:type="dxa" w:w="2415"/>
            <w:vAlign w:val="center"/>
            <w:tcMar>
              <w:top w:w="85" w:type="dxa"/>
              <w:left w:w="90" w:type="dxa"/>
              <w:bottom w:w="85" w:type="dxa"/>
              <w:right w:w="90" w:type="dxa"/>
            </w:tcMar>
            <w:shd w:fill="FFFFFF"/>
            <w:tcBorders>
              <w:bottom w:val="single" w:sz="4" w:color="D6E0E6"/>
            </w:tcBorders>
          </w:tcPr>
          <w:p>
            <w:pPr>
              <w:pStyle w:val="TableText"/>
            </w:pPr>
            <w:r>
              <w:rPr>
                <w:b w:val="0"/>
                <w:i w:val="0"/>
              </w:rPr>
              <w:t>Full reference product</w:t>
            </w:r>
          </w:p>
        </w:tc>
      </w:tr>
      <w:tr>
        <w:trPr>
          <w:cantSplit/>
        </w:trPr>
        <w:tc>
          <w:tcPr>
            <w:tcW w:type="dxa" w:w="3767"/>
            <w:vAlign w:val="center"/>
            <w:tcMar>
              <w:top w:w="85" w:type="dxa"/>
              <w:left w:w="90" w:type="dxa"/>
              <w:bottom w:w="85" w:type="dxa"/>
              <w:right w:w="90" w:type="dxa"/>
            </w:tcMar>
            <w:shd w:fill="F4F7F9"/>
            <w:tcBorders>
              <w:bottom w:val="single" w:sz="4" w:color="D6E0E6"/>
            </w:tcBorders>
          </w:tcPr>
          <w:p>
            <w:pPr>
              <w:pStyle w:val="TableText"/>
            </w:pPr>
            <w:r>
              <w:rPr>
                <w:b w:val="0"/>
                <w:i w:val="0"/>
              </w:rPr>
              <w:t>A / D2 / T2 (two queries, hours 3 and 6)</w:t>
            </w:r>
          </w:p>
        </w:tc>
        <w:tc>
          <w:tcPr>
            <w:tcW w:type="dxa" w:w="3477"/>
            <w:vAlign w:val="center"/>
            <w:tcMar>
              <w:top w:w="85" w:type="dxa"/>
              <w:left w:w="90" w:type="dxa"/>
              <w:bottom w:w="85" w:type="dxa"/>
              <w:right w:w="90" w:type="dxa"/>
            </w:tcMar>
            <w:shd w:fill="F4F7F9"/>
            <w:tcBorders>
              <w:bottom w:val="single" w:sz="4" w:color="D6E0E6"/>
            </w:tcBorders>
          </w:tcPr>
          <w:p>
            <w:pPr>
              <w:pStyle w:val="TableText"/>
            </w:pPr>
            <w:r>
              <w:rPr>
                <w:b w:val="0"/>
                <w:i w:val="0"/>
              </w:rPr>
              <w:t>3 × (p3 + p6)</w:t>
            </w:r>
          </w:p>
        </w:tc>
        <w:tc>
          <w:tcPr>
            <w:tcW w:type="dxa" w:w="2415"/>
            <w:vAlign w:val="center"/>
            <w:tcMar>
              <w:top w:w="85" w:type="dxa"/>
              <w:left w:w="90" w:type="dxa"/>
              <w:bottom w:w="85" w:type="dxa"/>
              <w:right w:w="90" w:type="dxa"/>
            </w:tcMar>
            <w:shd w:fill="F4F7F9"/>
            <w:tcBorders>
              <w:bottom w:val="single" w:sz="4" w:color="D6E0E6"/>
            </w:tcBorders>
          </w:tcPr>
          <w:p>
            <w:pPr>
              <w:pStyle w:val="TableText"/>
            </w:pPr>
            <w:r>
              <w:rPr>
                <w:b w:val="0"/>
                <w:i w:val="0"/>
              </w:rPr>
              <w:t>Fewer rainfall samples</w:t>
            </w:r>
          </w:p>
        </w:tc>
      </w:tr>
      <w:tr>
        <w:trPr>
          <w:cantSplit/>
        </w:trPr>
        <w:tc>
          <w:tcPr>
            <w:tcW w:type="dxa" w:w="3767"/>
            <w:vAlign w:val="center"/>
            <w:tcMar>
              <w:top w:w="85" w:type="dxa"/>
              <w:left w:w="90" w:type="dxa"/>
              <w:bottom w:w="85" w:type="dxa"/>
              <w:right w:w="90" w:type="dxa"/>
            </w:tcMar>
            <w:shd w:fill="FFFFFF"/>
            <w:tcBorders>
              <w:bottom w:val="single" w:sz="4" w:color="D6E0E6"/>
            </w:tcBorders>
          </w:tcPr>
          <w:p>
            <w:pPr>
              <w:pStyle w:val="TableText"/>
            </w:pPr>
            <w:r>
              <w:rPr>
                <w:b w:val="0"/>
                <w:i w:val="0"/>
              </w:rPr>
              <w:t>R (fitted weighted two-query rule)</w:t>
            </w:r>
          </w:p>
        </w:tc>
        <w:tc>
          <w:tcPr>
            <w:tcW w:type="dxa" w:w="3477"/>
            <w:vAlign w:val="center"/>
            <w:tcMar>
              <w:top w:w="85" w:type="dxa"/>
              <w:left w:w="90" w:type="dxa"/>
              <w:bottom w:w="85" w:type="dxa"/>
              <w:right w:w="90" w:type="dxa"/>
            </w:tcMar>
            <w:shd w:fill="FFFFFF"/>
            <w:tcBorders>
              <w:bottom w:val="single" w:sz="4" w:color="D6E0E6"/>
            </w:tcBorders>
          </w:tcPr>
          <w:p>
            <w:pPr>
              <w:pStyle w:val="TableText"/>
            </w:pPr>
            <w:r>
              <w:rPr>
                <w:b w:val="0"/>
                <w:i w:val="0"/>
              </w:rPr>
              <w:t>4.0789374 p3 + 1.9210626 p6</w:t>
            </w:r>
          </w:p>
        </w:tc>
        <w:tc>
          <w:tcPr>
            <w:tcW w:type="dxa" w:w="2415"/>
            <w:vAlign w:val="center"/>
            <w:tcMar>
              <w:top w:w="85" w:type="dxa"/>
              <w:left w:w="90" w:type="dxa"/>
              <w:bottom w:w="85" w:type="dxa"/>
              <w:right w:w="90" w:type="dxa"/>
            </w:tcMar>
            <w:shd w:fill="FFFFFF"/>
            <w:tcBorders>
              <w:bottom w:val="single" w:sz="4" w:color="D6E0E6"/>
            </w:tcBorders>
          </w:tcPr>
          <w:p>
            <w:pPr>
              <w:pStyle w:val="TableText"/>
            </w:pPr>
            <w:r>
              <w:rPr>
                <w:b w:val="0"/>
                <w:i w:val="0"/>
              </w:rPr>
              <w:t>Fitted temporal weights</w:t>
            </w:r>
          </w:p>
        </w:tc>
      </w:tr>
      <w:tr>
        <w:trPr>
          <w:cantSplit/>
        </w:trPr>
        <w:tc>
          <w:tcPr>
            <w:tcW w:type="dxa" w:w="3767"/>
            <w:vAlign w:val="center"/>
            <w:tcMar>
              <w:top w:w="85" w:type="dxa"/>
              <w:left w:w="90" w:type="dxa"/>
              <w:bottom w:w="85" w:type="dxa"/>
              <w:right w:w="90" w:type="dxa"/>
            </w:tcMar>
            <w:shd w:fill="F4F7F9"/>
            <w:tcBorders>
              <w:bottom w:val="single" w:sz="4" w:color="D6E0E6"/>
            </w:tcBorders>
          </w:tcPr>
          <w:p>
            <w:pPr>
              <w:pStyle w:val="TableText"/>
            </w:pPr>
            <w:r>
              <w:rPr>
                <w:b w:val="0"/>
                <w:i w:val="0"/>
              </w:rPr>
              <w:t>L (linear-trend two-query control)</w:t>
            </w:r>
          </w:p>
        </w:tc>
        <w:tc>
          <w:tcPr>
            <w:tcW w:type="dxa" w:w="3477"/>
            <w:vAlign w:val="center"/>
            <w:tcMar>
              <w:top w:w="85" w:type="dxa"/>
              <w:left w:w="90" w:type="dxa"/>
              <w:bottom w:w="85" w:type="dxa"/>
              <w:right w:w="90" w:type="dxa"/>
            </w:tcMar>
            <w:shd w:fill="F4F7F9"/>
            <w:tcBorders>
              <w:bottom w:val="single" w:sz="4" w:color="D6E0E6"/>
            </w:tcBorders>
          </w:tcPr>
          <w:p>
            <w:pPr>
              <w:pStyle w:val="TableText"/>
            </w:pPr>
            <w:r>
              <w:rPr>
                <w:b w:val="0"/>
                <w:i w:val="0"/>
              </w:rPr>
              <w:t>5 p3 + p6</w:t>
            </w:r>
          </w:p>
        </w:tc>
        <w:tc>
          <w:tcPr>
            <w:tcW w:type="dxa" w:w="2415"/>
            <w:vAlign w:val="center"/>
            <w:tcMar>
              <w:top w:w="85" w:type="dxa"/>
              <w:left w:w="90" w:type="dxa"/>
              <w:bottom w:w="85" w:type="dxa"/>
              <w:right w:w="90" w:type="dxa"/>
            </w:tcMar>
            <w:shd w:fill="F4F7F9"/>
            <w:tcBorders>
              <w:bottom w:val="single" w:sz="4" w:color="D6E0E6"/>
            </w:tcBorders>
          </w:tcPr>
          <w:p>
            <w:pPr>
              <w:pStyle w:val="TableText"/>
            </w:pPr>
            <w:r>
              <w:rPr>
                <w:b w:val="0"/>
                <w:i w:val="0"/>
              </w:rPr>
              <w:t>Analytic temporal control</w:t>
            </w:r>
          </w:p>
        </w:tc>
      </w:tr>
      <w:tr>
        <w:trPr>
          <w:cantSplit/>
        </w:trPr>
        <w:tc>
          <w:tcPr>
            <w:tcW w:type="dxa" w:w="3767"/>
            <w:vAlign w:val="center"/>
            <w:tcMar>
              <w:top w:w="85" w:type="dxa"/>
              <w:left w:w="90" w:type="dxa"/>
              <w:bottom w:w="85" w:type="dxa"/>
              <w:right w:w="90" w:type="dxa"/>
            </w:tcMar>
            <w:shd w:fill="FFFFFF"/>
            <w:tcBorders>
              <w:bottom w:val="single" w:sz="4" w:color="D6E0E6"/>
            </w:tcBorders>
          </w:tcPr>
          <w:p>
            <w:pPr>
              <w:pStyle w:val="TableText"/>
            </w:pPr>
            <w:r>
              <w:rPr>
                <w:b w:val="0"/>
                <w:i w:val="0"/>
              </w:rPr>
              <w:t>B / T3 (three queries, hours 2, 4 and 6)</w:t>
            </w:r>
          </w:p>
        </w:tc>
        <w:tc>
          <w:tcPr>
            <w:tcW w:type="dxa" w:w="3477"/>
            <w:vAlign w:val="center"/>
            <w:tcMar>
              <w:top w:w="85" w:type="dxa"/>
              <w:left w:w="90" w:type="dxa"/>
              <w:bottom w:w="85" w:type="dxa"/>
              <w:right w:w="90" w:type="dxa"/>
            </w:tcMar>
            <w:shd w:fill="FFFFFF"/>
            <w:tcBorders>
              <w:bottom w:val="single" w:sz="4" w:color="D6E0E6"/>
            </w:tcBorders>
          </w:tcPr>
          <w:p>
            <w:pPr>
              <w:pStyle w:val="TableText"/>
            </w:pPr>
            <w:r>
              <w:rPr>
                <w:b w:val="0"/>
                <w:i w:val="0"/>
              </w:rPr>
              <w:t>2 × (p2 + p4 + p6)</w:t>
            </w:r>
          </w:p>
        </w:tc>
        <w:tc>
          <w:tcPr>
            <w:tcW w:type="dxa" w:w="2415"/>
            <w:vAlign w:val="center"/>
            <w:tcMar>
              <w:top w:w="85" w:type="dxa"/>
              <w:left w:w="90" w:type="dxa"/>
              <w:bottom w:w="85" w:type="dxa"/>
              <w:right w:w="90" w:type="dxa"/>
            </w:tcMar>
            <w:shd w:fill="FFFFFF"/>
            <w:tcBorders>
              <w:bottom w:val="single" w:sz="4" w:color="D6E0E6"/>
            </w:tcBorders>
          </w:tcPr>
          <w:p>
            <w:pPr>
              <w:pStyle w:val="TableText"/>
            </w:pPr>
            <w:r>
              <w:rPr>
                <w:b w:val="0"/>
                <w:i w:val="0"/>
              </w:rPr>
              <w:t>More samples than two-query</w:t>
            </w:r>
          </w:p>
        </w:tc>
      </w:tr>
    </w:tbl>
    <w:p>
      <w:pPr>
        <w:spacing w:after="60" w:before="0" w:line="240" w:lineRule="auto"/>
      </w:pPr>
      <w:r>
        <w:rPr>
          <w:sz w:val="2"/>
        </w:rPr>
      </w:r>
    </w:p>
    <w:p>
      <w:r>
        <w:rPr>
          <w:b w:val="0"/>
          <w:i w:val="0"/>
        </w:rPr>
        <w:t>A one-query reconstruction was also screened on exposed data and had weak fidelity. It was not a validated replacement for a full hourly product. Fewer-query policies estimate totals; they do not reconstruct every native hourly map with established fidelity.</w:t>
      </w:r>
    </w:p>
    <w:p>
      <w:pPr>
        <w:pStyle w:val="Heading2"/>
      </w:pPr>
      <w:r>
        <w:rPr>
          <w:b w:val="0"/>
          <w:i w:val="0"/>
        </w:rPr>
        <w:t>10.2 What the early experiments taught us</w:t>
      </w:r>
    </w:p>
    <w:p>
      <w:r>
        <w:rPr>
          <w:b w:val="0"/>
          <w:i w:val="0"/>
        </w:rPr>
        <w:t>V5 (sparse queries and fresh confirmation) reduced warmed latency from 128.29 seconds for 120 queries to 45.96 seconds for 40. The fitted two-query rule looked better on development data, but its advantage on eight fresh starts was only 0.004214 mm, with a 95% interval from −0.009014 to +0.017317. Four starts improved and four worsened. Fitting had not established generalisable superiority. [H, “What the early and fresh tests showed”]</w:t>
      </w:r>
    </w:p>
    <w:p>
      <w:r>
        <w:rPr>
          <w:b w:val="0"/>
          <w:i w:val="0"/>
        </w:rPr>
        <w:t>V6 (temporal controls and reference-error alignment) showed that L (the linear-trend two-query control) exactly integrates a profile of the form p_h = a + b h: both the true sum and the estimate equal 6a + 21b. Nonetheless its daily reference quality worsened. Real profiles need not be linear, and improving dense fidelity need not improve reference skill when errors interact. Sharp hidden peaks were not the dominant demonstrated mechanism in the examined failures, although sparse sampling cannot rule out unseen peaks in general. [H, “What the early and fresh tests showed”; algebraic illustration]</w:t>
      </w:r>
    </w:p>
    <w:p>
      <w:r>
        <w:rPr>
          <w:b w:val="0"/>
          <w:i w:val="0"/>
        </w:rPr>
        <w:t>V9 (fresh confirmation of fixed products) found an added daily error of 0.0456 mm for the two-query rule and 0.0188 mm for the three-query rule on eight then-new starts. The extra query improved the tested approximation at additional cost. Those dates are now exposed development data for any method subsequently chosen using them. [H, “What the early and fresh tests showed”]</w:t>
      </w:r>
    </w:p>
    <w:p>
      <w:pPr>
        <w:pStyle w:val="Heading2"/>
      </w:pPr>
      <w:r>
        <w:rPr>
          <w:b w:val="0"/>
          <w:i w:val="0"/>
        </w:rPr>
        <w:t>10.3 The new adaptive result and its exact semantics</w:t>
      </w:r>
    </w:p>
    <w:p>
      <w:r>
        <w:rPr>
          <w:b w:val="0"/>
          <w:i w:val="0"/>
        </w:rPr>
        <w:t xml:space="preserve">J.4 (adaptive escalation from two to six rainfall queries) begins each block with the hours 3 and 6 queries. For a magnitude trigger, it computes the cheap six-hour estimate 3 × (p3 + p6). It checks the maximum over either frozen regional halo. If a threshold is reached, it uses all six hourly fields for that entire block; otherwise it keeps the cheap estimate. The implemented decision is </w:t>
      </w:r>
      <w:r>
        <w:rPr>
          <w:b/>
          <w:i w:val="0"/>
        </w:rPr>
        <w:t>one block-level flag shared across the regions</w:t>
      </w:r>
      <w:r>
        <w:rPr>
          <w:b w:val="0"/>
          <w:i w:val="0"/>
        </w:rPr>
        <w:t xml:space="preserve">, not cell-by-cell adaptive inference. [F3, </w:t>
      </w:r>
      <w:r>
        <w:rPr>
          <w:rFonts w:ascii="DejaVu Sans Mono" w:hAnsi="DejaVu Sans Mono"/>
          <w:b w:val="0"/>
          <w:i w:val="0"/>
          <w:color w:val="3F5666"/>
          <w:sz w:val="18"/>
        </w:rPr>
        <w:t>trigger</w:t>
      </w:r>
      <w:r>
        <w:rPr>
          <w:b w:val="0"/>
          <w:i w:val="0"/>
        </w:rPr>
        <w:t xml:space="preserve"> and </w:t>
      </w:r>
      <w:r>
        <w:rPr>
          <w:rFonts w:ascii="DejaVu Sans Mono" w:hAnsi="DejaVu Sans Mono"/>
          <w:b w:val="0"/>
          <w:i w:val="0"/>
          <w:color w:val="3F5666"/>
          <w:sz w:val="18"/>
        </w:rPr>
        <w:t>run</w:t>
      </w:r>
      <w:r>
        <w:rPr>
          <w:b w:val="0"/>
          <w:i w:val="0"/>
        </w:rPr>
        <w:t>]</w:t>
      </w:r>
    </w:p>
    <w:p>
      <w:r>
        <w:rPr>
          <w:b w:val="0"/>
          <w:i w:val="0"/>
        </w:rPr>
        <w:t>The threshold is in millimetres per six-hour estimate. The reported 10 mm trigger is not the evaluation's 25 mm/day heavy-rain definition. The algorithm never needs reference rainfall to decide whether to escalate. For actual execution, the original pre-update history must remain available until every selected query is finished, even if the hour-6 call was computed first.</w:t>
      </w:r>
    </w:p>
    <w:p>
      <w:r>
        <w:rPr>
          <w:b w:val="0"/>
          <w:i w:val="0"/>
        </w:rPr>
        <w:t>The repaired processor-only replay changed the timestamp join from incompatible integer time units to matching nanoseconds. It also verifies that full hourly accumulation exactly reproduces the archived dense product. No new model forecasts were run by that replay. [F3; F4]</w:t>
      </w:r>
    </w:p>
    <w:tbl>
      <w:tblPr>
        <w:tblW w:type="auto" w:w="0"/>
        <w:jc w:val="center"/>
        <w:tblLayout w:type="fixed"/>
        <w:tblLook w:firstColumn="1" w:firstRow="1" w:lastColumn="0" w:lastRow="0" w:noHBand="0" w:noVBand="1" w:val="04A0"/>
      </w:tblPr>
      <w:tblGrid>
        <w:gridCol w:w="4250"/>
        <w:gridCol w:w="1545"/>
        <w:gridCol w:w="1835"/>
        <w:gridCol w:w="2028"/>
      </w:tblGrid>
      <w:tr>
        <w:trPr>
          <w:cantSplit/>
          <w:tblHeader/>
        </w:trPr>
        <w:tc>
          <w:tcPr>
            <w:tcW w:type="dxa" w:w="4250"/>
            <w:vAlign w:val="center"/>
            <w:tcMar>
              <w:top w:w="85" w:type="dxa"/>
              <w:left w:w="90" w:type="dxa"/>
              <w:bottom w:w="85" w:type="dxa"/>
              <w:right w:w="90" w:type="dxa"/>
            </w:tcMar>
            <w:shd w:fill="E6EEF3"/>
            <w:tcBorders>
              <w:bottom w:val="single" w:sz="4" w:color="D6E0E6"/>
            </w:tcBorders>
          </w:tcPr>
          <w:p>
            <w:pPr>
              <w:pStyle w:val="TableText"/>
            </w:pPr>
            <w:r>
              <w:rPr>
                <w:b/>
                <w:i w:val="0"/>
                <w:color w:val="15374F"/>
              </w:rPr>
              <w:t>Policy, with reminder</w:t>
            </w:r>
          </w:p>
        </w:tc>
        <w:tc>
          <w:tcPr>
            <w:tcW w:type="dxa" w:w="1545"/>
            <w:vAlign w:val="center"/>
            <w:tcMar>
              <w:top w:w="85" w:type="dxa"/>
              <w:left w:w="90" w:type="dxa"/>
              <w:bottom w:w="85" w:type="dxa"/>
              <w:right w:w="90" w:type="dxa"/>
            </w:tcMar>
            <w:shd w:fill="E6EEF3"/>
            <w:tcBorders>
              <w:bottom w:val="single" w:sz="4" w:color="D6E0E6"/>
            </w:tcBorders>
          </w:tcPr>
          <w:p>
            <w:pPr>
              <w:pStyle w:val="TableText"/>
            </w:pPr>
            <w:r>
              <w:rPr>
                <w:b/>
                <w:i w:val="0"/>
                <w:color w:val="15374F"/>
              </w:rPr>
              <w:t>Mean queries per 120 h</w:t>
            </w:r>
          </w:p>
        </w:tc>
        <w:tc>
          <w:tcPr>
            <w:tcW w:type="dxa" w:w="1835"/>
            <w:vAlign w:val="center"/>
            <w:tcMar>
              <w:top w:w="85" w:type="dxa"/>
              <w:left w:w="90" w:type="dxa"/>
              <w:bottom w:w="85" w:type="dxa"/>
              <w:right w:w="90" w:type="dxa"/>
            </w:tcMar>
            <w:shd w:fill="E6EEF3"/>
            <w:tcBorders>
              <w:bottom w:val="single" w:sz="4" w:color="D6E0E6"/>
            </w:tcBorders>
          </w:tcPr>
          <w:p>
            <w:pPr>
              <w:pStyle w:val="TableText"/>
            </w:pPr>
            <w:r>
              <w:rPr>
                <w:b/>
                <w:i w:val="0"/>
                <w:color w:val="15374F"/>
              </w:rPr>
              <w:t>Added daily error, mm</w:t>
            </w:r>
          </w:p>
        </w:tc>
        <w:tc>
          <w:tcPr>
            <w:tcW w:type="dxa" w:w="2028"/>
            <w:vAlign w:val="center"/>
            <w:tcMar>
              <w:top w:w="85" w:type="dxa"/>
              <w:left w:w="90" w:type="dxa"/>
              <w:bottom w:w="85" w:type="dxa"/>
              <w:right w:w="90" w:type="dxa"/>
            </w:tcMar>
            <w:shd w:fill="E6EEF3"/>
            <w:tcBorders>
              <w:bottom w:val="single" w:sz="4" w:color="D6E0E6"/>
            </w:tcBorders>
          </w:tcPr>
          <w:p>
            <w:pPr>
              <w:pStyle w:val="TableText"/>
            </w:pPr>
            <w:r>
              <w:rPr>
                <w:b/>
                <w:i w:val="0"/>
                <w:color w:val="15374F"/>
              </w:rPr>
              <w:t>Introduced / recovered heavy misses</w:t>
            </w:r>
          </w:p>
        </w:tc>
      </w:tr>
      <w:tr>
        <w:trPr>
          <w:cantSplit/>
        </w:trPr>
        <w:tc>
          <w:tcPr>
            <w:tcW w:type="dxa" w:w="4250"/>
            <w:vAlign w:val="center"/>
            <w:tcMar>
              <w:top w:w="85" w:type="dxa"/>
              <w:left w:w="90" w:type="dxa"/>
              <w:bottom w:w="85" w:type="dxa"/>
              <w:right w:w="90" w:type="dxa"/>
            </w:tcMar>
            <w:shd w:fill="FFFFFF"/>
            <w:tcBorders>
              <w:bottom w:val="single" w:sz="4" w:color="D6E0E6"/>
            </w:tcBorders>
          </w:tcPr>
          <w:p>
            <w:pPr>
              <w:pStyle w:val="TableText"/>
            </w:pPr>
            <w:r>
              <w:rPr>
                <w:b w:val="0"/>
                <w:i w:val="0"/>
              </w:rPr>
              <w:t>D6 (all six queries)</w:t>
            </w:r>
          </w:p>
        </w:tc>
        <w:tc>
          <w:tcPr>
            <w:tcW w:type="dxa" w:w="1545"/>
            <w:vAlign w:val="center"/>
            <w:tcMar>
              <w:top w:w="85" w:type="dxa"/>
              <w:left w:w="90" w:type="dxa"/>
              <w:bottom w:w="85" w:type="dxa"/>
              <w:right w:w="90" w:type="dxa"/>
            </w:tcMar>
            <w:shd w:fill="FFFFFF"/>
            <w:tcBorders>
              <w:bottom w:val="single" w:sz="4" w:color="D6E0E6"/>
            </w:tcBorders>
          </w:tcPr>
          <w:p>
            <w:pPr>
              <w:pStyle w:val="TableText"/>
            </w:pPr>
            <w:r>
              <w:rPr>
                <w:b w:val="0"/>
                <w:i w:val="0"/>
              </w:rPr>
              <w:t>120</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0</w:t>
            </w:r>
          </w:p>
        </w:tc>
        <w:tc>
          <w:tcPr>
            <w:tcW w:type="dxa" w:w="2028"/>
            <w:vAlign w:val="center"/>
            <w:tcMar>
              <w:top w:w="85" w:type="dxa"/>
              <w:left w:w="90" w:type="dxa"/>
              <w:bottom w:w="85" w:type="dxa"/>
              <w:right w:w="90" w:type="dxa"/>
            </w:tcMar>
            <w:shd w:fill="FFFFFF"/>
            <w:tcBorders>
              <w:bottom w:val="single" w:sz="4" w:color="D6E0E6"/>
            </w:tcBorders>
          </w:tcPr>
          <w:p>
            <w:pPr>
              <w:pStyle w:val="TableText"/>
            </w:pPr>
            <w:r>
              <w:rPr>
                <w:b w:val="0"/>
                <w:i w:val="0"/>
              </w:rPr>
              <w:t>0 / 0</w:t>
            </w:r>
          </w:p>
        </w:tc>
      </w:tr>
      <w:tr>
        <w:trPr>
          <w:cantSplit/>
        </w:trPr>
        <w:tc>
          <w:tcPr>
            <w:tcW w:type="dxa" w:w="4250"/>
            <w:vAlign w:val="center"/>
            <w:tcMar>
              <w:top w:w="85" w:type="dxa"/>
              <w:left w:w="90" w:type="dxa"/>
              <w:bottom w:w="85" w:type="dxa"/>
              <w:right w:w="90" w:type="dxa"/>
            </w:tcMar>
            <w:shd w:fill="F4F7F9"/>
            <w:tcBorders>
              <w:bottom w:val="single" w:sz="4" w:color="D6E0E6"/>
            </w:tcBorders>
          </w:tcPr>
          <w:p>
            <w:pPr>
              <w:pStyle w:val="TableText"/>
            </w:pPr>
            <w:r>
              <w:rPr>
                <w:b w:val="0"/>
                <w:i w:val="0"/>
              </w:rPr>
              <w:t>Magnitude 10 (escalate at 10 mm per block)</w:t>
            </w:r>
          </w:p>
        </w:tc>
        <w:tc>
          <w:tcPr>
            <w:tcW w:type="dxa" w:w="1545"/>
            <w:vAlign w:val="center"/>
            <w:tcMar>
              <w:top w:w="85" w:type="dxa"/>
              <w:left w:w="90" w:type="dxa"/>
              <w:bottom w:w="85" w:type="dxa"/>
              <w:right w:w="90" w:type="dxa"/>
            </w:tcMar>
            <w:shd w:fill="F4F7F9"/>
            <w:tcBorders>
              <w:bottom w:val="single" w:sz="4" w:color="D6E0E6"/>
            </w:tcBorders>
          </w:tcPr>
          <w:p>
            <w:pPr>
              <w:pStyle w:val="TableText"/>
            </w:pPr>
            <w:r>
              <w:rPr>
                <w:b w:val="0"/>
                <w:i w:val="0"/>
              </w:rPr>
              <w:t>78</w:t>
            </w:r>
          </w:p>
        </w:tc>
        <w:tc>
          <w:tcPr>
            <w:tcW w:type="dxa" w:w="1835"/>
            <w:vAlign w:val="center"/>
            <w:tcMar>
              <w:top w:w="85" w:type="dxa"/>
              <w:left w:w="90" w:type="dxa"/>
              <w:bottom w:w="85" w:type="dxa"/>
              <w:right w:w="90" w:type="dxa"/>
            </w:tcMar>
            <w:shd w:fill="F4F7F9"/>
            <w:tcBorders>
              <w:bottom w:val="single" w:sz="4" w:color="D6E0E6"/>
            </w:tcBorders>
          </w:tcPr>
          <w:p>
            <w:pPr>
              <w:pStyle w:val="TableText"/>
            </w:pPr>
            <w:r>
              <w:rPr>
                <w:b w:val="0"/>
                <w:i w:val="0"/>
              </w:rPr>
              <w:t>+0.003226</w:t>
            </w:r>
          </w:p>
        </w:tc>
        <w:tc>
          <w:tcPr>
            <w:tcW w:type="dxa" w:w="2028"/>
            <w:vAlign w:val="center"/>
            <w:tcMar>
              <w:top w:w="85" w:type="dxa"/>
              <w:left w:w="90" w:type="dxa"/>
              <w:bottom w:w="85" w:type="dxa"/>
              <w:right w:w="90" w:type="dxa"/>
            </w:tcMar>
            <w:shd w:fill="F4F7F9"/>
            <w:tcBorders>
              <w:bottom w:val="single" w:sz="4" w:color="D6E0E6"/>
            </w:tcBorders>
          </w:tcPr>
          <w:p>
            <w:pPr>
              <w:pStyle w:val="TableText"/>
            </w:pPr>
            <w:r>
              <w:rPr>
                <w:b w:val="0"/>
                <w:i w:val="0"/>
              </w:rPr>
              <w:t>0 / 9</w:t>
            </w:r>
          </w:p>
        </w:tc>
      </w:tr>
      <w:tr>
        <w:trPr>
          <w:cantSplit/>
        </w:trPr>
        <w:tc>
          <w:tcPr>
            <w:tcW w:type="dxa" w:w="4250"/>
            <w:vAlign w:val="center"/>
            <w:tcMar>
              <w:top w:w="85" w:type="dxa"/>
              <w:left w:w="90" w:type="dxa"/>
              <w:bottom w:w="85" w:type="dxa"/>
              <w:right w:w="90" w:type="dxa"/>
            </w:tcMar>
            <w:shd w:fill="FFFFFF"/>
            <w:tcBorders>
              <w:bottom w:val="single" w:sz="4" w:color="D6E0E6"/>
            </w:tcBorders>
          </w:tcPr>
          <w:p>
            <w:pPr>
              <w:pStyle w:val="TableText"/>
            </w:pPr>
            <w:r>
              <w:rPr>
                <w:b w:val="0"/>
                <w:i w:val="0"/>
              </w:rPr>
              <w:t>T3 (always three queries)</w:t>
            </w:r>
          </w:p>
        </w:tc>
        <w:tc>
          <w:tcPr>
            <w:tcW w:type="dxa" w:w="1545"/>
            <w:vAlign w:val="center"/>
            <w:tcMar>
              <w:top w:w="85" w:type="dxa"/>
              <w:left w:w="90" w:type="dxa"/>
              <w:bottom w:w="85" w:type="dxa"/>
              <w:right w:w="90" w:type="dxa"/>
            </w:tcMar>
            <w:shd w:fill="FFFFFF"/>
            <w:tcBorders>
              <w:bottom w:val="single" w:sz="4" w:color="D6E0E6"/>
            </w:tcBorders>
          </w:tcPr>
          <w:p>
            <w:pPr>
              <w:pStyle w:val="TableText"/>
            </w:pPr>
            <w:r>
              <w:rPr>
                <w:b w:val="0"/>
                <w:i w:val="0"/>
              </w:rPr>
              <w:t>60</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+0.010604</w:t>
            </w:r>
          </w:p>
        </w:tc>
        <w:tc>
          <w:tcPr>
            <w:tcW w:type="dxa" w:w="2028"/>
            <w:vAlign w:val="center"/>
            <w:tcMar>
              <w:top w:w="85" w:type="dxa"/>
              <w:left w:w="90" w:type="dxa"/>
              <w:bottom w:w="85" w:type="dxa"/>
              <w:right w:w="90" w:type="dxa"/>
            </w:tcMar>
            <w:shd w:fill="FFFFFF"/>
            <w:tcBorders>
              <w:bottom w:val="single" w:sz="4" w:color="D6E0E6"/>
            </w:tcBorders>
          </w:tcPr>
          <w:p>
            <w:pPr>
              <w:pStyle w:val="TableText"/>
            </w:pPr>
            <w:r>
              <w:rPr>
                <w:b w:val="0"/>
                <w:i w:val="0"/>
              </w:rPr>
              <w:t>7 / 6</w:t>
            </w:r>
          </w:p>
        </w:tc>
      </w:tr>
      <w:tr>
        <w:trPr>
          <w:cantSplit/>
        </w:trPr>
        <w:tc>
          <w:tcPr>
            <w:tcW w:type="dxa" w:w="4250"/>
            <w:vAlign w:val="center"/>
            <w:tcMar>
              <w:top w:w="85" w:type="dxa"/>
              <w:left w:w="90" w:type="dxa"/>
              <w:bottom w:w="85" w:type="dxa"/>
              <w:right w:w="90" w:type="dxa"/>
            </w:tcMar>
            <w:shd w:fill="F4F7F9"/>
            <w:tcBorders>
              <w:bottom w:val="single" w:sz="4" w:color="D6E0E6"/>
            </w:tcBorders>
          </w:tcPr>
          <w:p>
            <w:pPr>
              <w:pStyle w:val="TableText"/>
            </w:pPr>
            <w:r>
              <w:rPr>
                <w:b w:val="0"/>
                <w:i w:val="0"/>
              </w:rPr>
              <w:t>Variability 5 (escalate on hour-3/hour-6 contrast)</w:t>
            </w:r>
          </w:p>
        </w:tc>
        <w:tc>
          <w:tcPr>
            <w:tcW w:type="dxa" w:w="1545"/>
            <w:vAlign w:val="center"/>
            <w:tcMar>
              <w:top w:w="85" w:type="dxa"/>
              <w:left w:w="90" w:type="dxa"/>
              <w:bottom w:w="85" w:type="dxa"/>
              <w:right w:w="90" w:type="dxa"/>
            </w:tcMar>
            <w:shd w:fill="F4F7F9"/>
            <w:tcBorders>
              <w:bottom w:val="single" w:sz="4" w:color="D6E0E6"/>
            </w:tcBorders>
          </w:tcPr>
          <w:p>
            <w:pPr>
              <w:pStyle w:val="TableText"/>
            </w:pPr>
            <w:r>
              <w:rPr>
                <w:b w:val="0"/>
                <w:i w:val="0"/>
              </w:rPr>
              <w:t>64</w:t>
            </w:r>
          </w:p>
        </w:tc>
        <w:tc>
          <w:tcPr>
            <w:tcW w:type="dxa" w:w="1835"/>
            <w:vAlign w:val="center"/>
            <w:tcMar>
              <w:top w:w="85" w:type="dxa"/>
              <w:left w:w="90" w:type="dxa"/>
              <w:bottom w:w="85" w:type="dxa"/>
              <w:right w:w="90" w:type="dxa"/>
            </w:tcMar>
            <w:shd w:fill="F4F7F9"/>
            <w:tcBorders>
              <w:bottom w:val="single" w:sz="4" w:color="D6E0E6"/>
            </w:tcBorders>
          </w:tcPr>
          <w:p>
            <w:pPr>
              <w:pStyle w:val="TableText"/>
            </w:pPr>
            <w:r>
              <w:rPr>
                <w:b w:val="0"/>
                <w:i w:val="0"/>
              </w:rPr>
              <w:t>+0.009499</w:t>
            </w:r>
          </w:p>
        </w:tc>
        <w:tc>
          <w:tcPr>
            <w:tcW w:type="dxa" w:w="2028"/>
            <w:vAlign w:val="center"/>
            <w:tcMar>
              <w:top w:w="85" w:type="dxa"/>
              <w:left w:w="90" w:type="dxa"/>
              <w:bottom w:w="85" w:type="dxa"/>
              <w:right w:w="90" w:type="dxa"/>
            </w:tcMar>
            <w:shd w:fill="F4F7F9"/>
            <w:tcBorders>
              <w:bottom w:val="single" w:sz="4" w:color="D6E0E6"/>
            </w:tcBorders>
          </w:tcPr>
          <w:p>
            <w:pPr>
              <w:pStyle w:val="TableText"/>
            </w:pPr>
            <w:r>
              <w:rPr>
                <w:b w:val="0"/>
                <w:i w:val="0"/>
              </w:rPr>
              <w:t>11 / 42</w:t>
            </w:r>
          </w:p>
        </w:tc>
      </w:tr>
      <w:tr>
        <w:trPr>
          <w:cantSplit/>
        </w:trPr>
        <w:tc>
          <w:tcPr>
            <w:tcW w:type="dxa" w:w="4250"/>
            <w:vAlign w:val="center"/>
            <w:tcMar>
              <w:top w:w="85" w:type="dxa"/>
              <w:left w:w="90" w:type="dxa"/>
              <w:bottom w:w="85" w:type="dxa"/>
              <w:right w:w="90" w:type="dxa"/>
            </w:tcMar>
            <w:shd w:fill="FFFFFF"/>
            <w:tcBorders>
              <w:bottom w:val="single" w:sz="4" w:color="D6E0E6"/>
            </w:tcBorders>
          </w:tcPr>
          <w:p>
            <w:pPr>
              <w:pStyle w:val="TableText"/>
            </w:pPr>
            <w:r>
              <w:rPr>
                <w:b w:val="0"/>
                <w:i w:val="0"/>
              </w:rPr>
              <w:t>D2 (always two queries)</w:t>
            </w:r>
          </w:p>
        </w:tc>
        <w:tc>
          <w:tcPr>
            <w:tcW w:type="dxa" w:w="1545"/>
            <w:vAlign w:val="center"/>
            <w:tcMar>
              <w:top w:w="85" w:type="dxa"/>
              <w:left w:w="90" w:type="dxa"/>
              <w:bottom w:w="85" w:type="dxa"/>
              <w:right w:w="90" w:type="dxa"/>
            </w:tcMar>
            <w:shd w:fill="FFFFFF"/>
            <w:tcBorders>
              <w:bottom w:val="single" w:sz="4" w:color="D6E0E6"/>
            </w:tcBorders>
          </w:tcPr>
          <w:p>
            <w:pPr>
              <w:pStyle w:val="TableText"/>
            </w:pPr>
            <w:r>
              <w:rPr>
                <w:b w:val="0"/>
                <w:i w:val="0"/>
              </w:rPr>
              <w:t>40</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+0.029290</w:t>
            </w:r>
          </w:p>
        </w:tc>
        <w:tc>
          <w:tcPr>
            <w:tcW w:type="dxa" w:w="2028"/>
            <w:vAlign w:val="center"/>
            <w:tcMar>
              <w:top w:w="85" w:type="dxa"/>
              <w:left w:w="90" w:type="dxa"/>
              <w:bottom w:w="85" w:type="dxa"/>
              <w:right w:w="90" w:type="dxa"/>
            </w:tcMar>
            <w:shd w:fill="FFFFFF"/>
            <w:tcBorders>
              <w:bottom w:val="single" w:sz="4" w:color="D6E0E6"/>
            </w:tcBorders>
          </w:tcPr>
          <w:p>
            <w:pPr>
              <w:pStyle w:val="TableText"/>
            </w:pPr>
            <w:r>
              <w:rPr>
                <w:b w:val="0"/>
                <w:i w:val="0"/>
              </w:rPr>
              <w:t>14 / 22</w:t>
            </w:r>
          </w:p>
        </w:tc>
      </w:tr>
    </w:tbl>
    <w:p>
      <w:pPr>
        <w:spacing w:after="60" w:before="0" w:line="240" w:lineRule="auto"/>
      </w:pPr>
      <w:r>
        <w:rPr>
          <w:sz w:val="2"/>
        </w:rPr>
      </w:r>
    </w:p>
    <w:p>
      <w:r>
        <w:rPr>
          <w:b w:val="0"/>
          <w:i w:val="0"/>
        </w:rPr>
        <w:t>These are the six non-calibration starts, all already exposed. “Added daily error” is the candidate's reference root-mean-square error minus dense's reference error, averaged as in the archived scorer; it is not the root-mean-square difference between candidate and dense. The magnitude-10 rule escalated 47.5% of blocks. Its 35% query reduction follows from 1 − 78/120; it is not a measured 35% speedup. [F2–F4]</w:t>
      </w:r>
    </w:p>
    <w:p>
      <w:pPr>
        <w:pStyle w:val="Heading2"/>
      </w:pPr>
      <w:r>
        <w:rPr>
          <w:b w:val="0"/>
          <w:i w:val="0"/>
        </w:rPr>
        <w:t>10.4 Why zero introduced misses is not zero missed rainfall</w:t>
      </w:r>
    </w:p>
    <w:p>
      <w:r>
        <w:rPr>
          <w:b w:val="0"/>
          <w:i w:val="0"/>
        </w:rPr>
        <w:t>An introduced miss is a reference-heavy cell-day that dense detected but the candidate failed to detect. A recovered miss is a reference-heavy cell-day that dense missed and the candidate detected. Both are transitions relative to the parent. If the parent already misses many heavy cells, zero introduced misses can coexist with many total misses.</w:t>
      </w:r>
    </w:p>
    <w:p>
      <w:r>
        <w:rPr>
          <w:b w:val="0"/>
          <w:i w:val="0"/>
        </w:rPr>
        <w:t>The variability rule introduced more misses than the magnitude rule but also recovered more. The full count balance is: candidate total misses = dense total misses + introduced misses − recovered misses. Thus “fewer introduced misses” and “fewer total misses” are not interchangeable rankings. False alarms must also be counted. [F2–F4; arithmetic identity]</w:t>
      </w:r>
    </w:p>
    <w:p>
      <w:r>
        <w:rPr>
          <w:b w:val="0"/>
          <w:i w:val="0"/>
        </w:rPr>
        <w:t>The adaptive policy's mean hides real heterogeneity: it used 116 queries on 31 January but only 60 on 2 May. Its added daily error ranged from −0.012880 to +0.020836 mm across the six starts. The direction improved on three and worsened on three. This is a development trade-off, not uniform improvement. [F2, per-start table]</w:t>
      </w:r>
    </w:p>
    <w:p>
      <w:bookmarkStart w:id="13" w:name="section_12"/>
      <w:pPr>
        <w:pStyle w:val="Heading1"/>
      </w:pPr>
      <w:r>
        <w:rPr>
          <w:b w:val="0"/>
          <w:i w:val="0"/>
        </w:rPr>
        <w:t>11. Compilation, repeatability and trustworthy resource claims</w:t>
      </w:r>
      <w:bookmarkEnd w:id="13"/>
    </w:p>
    <w:p>
      <w:r>
        <w:rPr>
          <w:b w:val="0"/>
          <w:i w:val="0"/>
        </w:rPr>
        <w:t>Compilation changes how eligible operations are executed, not intentionally the model's layer sizes. Its outputs were not universally bit-exact with eager execution. Attention-kernel timing on an RTX 4090, about 1.036 times faster with no memory change, cannot be pooled with RTX 5090 results. An early compiled-eight-bit worker also failed during construction and parking. That execution failure is distinct from a successful older timing under another recipe. [H, “Torch compilation and attention kernels”]</w:t>
      </w:r>
    </w:p>
    <w:p>
      <w:r>
        <w:rPr>
          <w:b w:val="0"/>
          <w:i w:val="0"/>
        </w:rPr>
        <w:t>V5 (resident replay qualification) found cold sparse and separate-instance discrepancies, then qualified the tested full/sparse comparison using full-horizon warmup and the same resident model. V7 (fresh-process repeatability) found dense agreement across its process pair but native-eight-bit differences already on first calls. The unique compiler or construction cause was unresolved. Same-instance replay therefore proves something narrower than cross-process reproducibility. [H, “Resident model replay and process replication”]</w:t>
      </w:r>
    </w:p>
    <w:p>
      <w:r>
        <w:rPr>
          <w:b w:val="0"/>
          <w:i w:val="0"/>
        </w:rPr>
        <w:t>The later strict bundle set random seeds, enabled deterministic algorithms, configured the matrix-library workspace before graphics initialisation and used private compiler caches. V8 (initial strict-bundle attempt) stopped on cache-storage admission; V9 (completed strict qualification) finished cold/postwarm and cross-process controls before using the qualified instance on fresh starts. The bundle worked in its tested scope without identifying which setting alone caused the improvement. [H, “Strict deterministic FP8 bundle”]</w:t>
      </w:r>
    </w:p>
    <w:p>
      <w:r>
        <w:rPr>
          <w:b w:val="0"/>
          <w:i w:val="0"/>
        </w:rPr>
        <w:t>Timing must be tied to the same model construction used for quality. Keep diagnostic hashing, output verification and unrelated file scanning outside the latency window. Report cold construction, warmup and warmed product timing separately. Include weight storage, allocated peak, reserved peak and sampled process peak; do not call reserved-minus-allocated memory entirely avoidable waste. An earlier hybrid timing stop was contaminated by hashing and was not scientific evidence against dense state protection. [H, “Why timings have several apparently conflicting values”; “Failures blockers and the conclusions they permit”]</w:t>
      </w:r>
    </w:p>
    <w:p>
      <w:r>
        <w:rPr>
          <w:b w:val="0"/>
          <w:i w:val="0"/>
        </w:rPr>
        <w:t>The existing follow-up logs also contain graph breaks and a compiler recompile-limit warning. A warning is not by itself a numerical failure or a completed performance diagnosis. The next execution bundle should record whether an arm falls back to eager execution rather than silently comparing unlike paths. [F7]</w:t>
      </w:r>
    </w:p>
    <w:p>
      <w:bookmarkStart w:id="14" w:name="section_13"/>
      <w:pPr>
        <w:pStyle w:val="Heading1"/>
      </w:pPr>
      <w:r>
        <w:rPr>
          <w:b w:val="0"/>
          <w:i w:val="0"/>
        </w:rPr>
        <w:t>12. Normal validation, final testing and extreme-event stress tests</w:t>
      </w:r>
      <w:bookmarkEnd w:id="14"/>
    </w:p>
    <w:p>
      <w:pPr>
        <w:pStyle w:val="Heading2"/>
      </w:pPr>
      <w:r>
        <w:rPr>
          <w:b w:val="0"/>
          <w:i w:val="0"/>
        </w:rPr>
        <w:t>12.1 What the existing data really represent</w:t>
      </w:r>
    </w:p>
    <w:p>
      <w:r>
        <w:rPr>
          <w:b w:val="0"/>
          <w:i w:val="0"/>
        </w:rPr>
        <w:t>The supplied history does not document one pristine, permanent train/validation/test split covering every campaign. It records campaign-specific calibration, internal and formerly fresh cohorts. A date that was fresh for an earlier frozen sampler is no longer fresh for a later method developed after its outcomes were inspected. [H, “Independent evidence exists but does not cover every claim”]</w:t>
      </w:r>
    </w:p>
    <w:p>
      <w:r>
        <w:rPr>
          <w:b w:val="0"/>
          <w:i w:val="0"/>
        </w:rPr>
        <w:t>The autonomous data contain eight 2025 starts. Two, 13 August and 15 October, are designated calibration in the follow-up code. The remaining six are called non-calibration, but they have already been used in development and are not a final independent test. “Non-calibration” describes one local role; it does not automatically mean “unseen to the research process.” [F2; F3]</w:t>
      </w:r>
    </w:p>
    <w:p>
      <w:r>
        <w:rPr>
          <w:b w:val="0"/>
          <w:i w:val="0"/>
        </w:rPr>
        <w:t>The follow-up narrative mentions locked 2024 data, new 2022 forecast archives and a sealed 2022 reserve. The upload does not provide a complete admission and exposure ledger for those assets. The live agent must resolve exact start identifiers and forecast/reference windows. It must not assume that everything from one year shares the same status or that “16 new forecasts” means an authorised, untouched test for every new hypothesis. [F1; F9]</w:t>
      </w:r>
    </w:p>
    <w:p>
      <w:pPr>
        <w:pStyle w:val="Heading2"/>
      </w:pPr>
      <w:r>
        <w:rPr>
          <w:b w:val="0"/>
          <w:i w:val="0"/>
        </w:rPr>
        <w:t>12.2 Proposed data roles for the next campaign</w:t>
      </w:r>
    </w:p>
    <w:p>
      <w:r>
        <w:rPr>
          <w:b w:val="0"/>
          <w:i w:val="0"/>
        </w:rPr>
      </w:r>
      <w:r>
        <w:rPr>
          <w:b/>
          <w:i w:val="0"/>
        </w:rPr>
        <w:t>Training and calibration:</w:t>
      </w:r>
      <w:r>
        <w:rPr>
          <w:b w:val="0"/>
          <w:i w:val="0"/>
        </w:rPr>
        <w:t xml:space="preserve"> fit quantization scales, adapters, selector utilities or trigger thresholds. This is where weights and policies may change. Include varied seasons and rain regimes where available.</w:t>
      </w:r>
    </w:p>
    <w:p>
      <w:r>
        <w:rPr>
          <w:b w:val="0"/>
          <w:i w:val="0"/>
        </w:rPr>
      </w:r>
      <w:r>
        <w:rPr>
          <w:b/>
          <w:i w:val="0"/>
        </w:rPr>
        <w:t>Development validation:</w:t>
      </w:r>
      <w:r>
        <w:rPr>
          <w:b w:val="0"/>
          <w:i w:val="0"/>
        </w:rPr>
        <w:t xml:space="preserve"> compare variants and make design choices. It may contain difficult cases deliberately selected for debugging. Once results guide a decision, this cohort is exposed.</w:t>
      </w:r>
    </w:p>
    <w:p>
      <w:r>
        <w:rPr>
          <w:b w:val="0"/>
          <w:i w:val="0"/>
        </w:rPr>
      </w:r>
      <w:r>
        <w:rPr>
          <w:b/>
          <w:i w:val="0"/>
        </w:rPr>
        <w:t>Locked representative test:</w:t>
      </w:r>
      <w:r>
        <w:rPr>
          <w:b w:val="0"/>
          <w:i w:val="0"/>
        </w:rPr>
        <w:t xml:space="preserve"> evaluate a frozen candidate on starts selected without inspecting that candidate's failures. Its purpose is average and regime-stratified performance under the declared sampling population.</w:t>
      </w:r>
    </w:p>
    <w:p>
      <w:r>
        <w:rPr>
          <w:b w:val="0"/>
          <w:i w:val="0"/>
        </w:rPr>
      </w:r>
      <w:r>
        <w:rPr>
          <w:b/>
          <w:i w:val="0"/>
        </w:rPr>
        <w:t>Locked extreme-event stress test:</w:t>
      </w:r>
      <w:r>
        <w:rPr>
          <w:b w:val="0"/>
          <w:i w:val="0"/>
        </w:rPr>
        <w:t xml:space="preserve"> evaluate a frozen candidate on a separately specified set of reference-defined heavy events. Its purpose is tail behaviour. It should be either disjoint from the representative test or explicitly identified as an overlapping subset, never counted as additional independent evidence. These are proposed roles, not a claim that the current project already has all four.</w:t>
      </w:r>
    </w:p>
    <w:p>
      <w:r>
        <w:rPr>
          <w:b w:val="0"/>
          <w:i w:val="0"/>
        </w:rPr>
        <w:t>Extreme-event membership should come from the reference or an external event definition under a predeclared selection rule, not from selecting the candidate's worst-looking forecasts. Such retrospective worst cases are useful diagnostic cases, but not an unbiased test sample. Training and validation should also be separated by event families or non-overlapping forecast windows so that nearby starts from the same storm do not leak across roles.</w:t>
      </w:r>
    </w:p>
    <w:p>
      <w:pPr>
        <w:pStyle w:val="Heading2"/>
      </w:pPr>
      <w:r>
        <w:rPr>
          <w:b w:val="0"/>
          <w:i w:val="0"/>
        </w:rPr>
        <w:t>12.3 Do different methods fail on different extreme events?</w:t>
      </w:r>
    </w:p>
    <w:p>
      <w:r>
        <w:rPr>
          <w:b w:val="0"/>
          <w:i w:val="0"/>
        </w:rPr>
        <w:t>They may. One method might slightly displace a storm, another weaken its peak, and another change its timing. Each error can affect a different threshold or region. These are plausible mechanisms, not observed labels for particular models unless the corresponding maps and analyses support them.</w:t>
      </w:r>
    </w:p>
    <w:p>
      <w:r>
        <w:rPr>
          <w:b w:val="0"/>
          <w:i w:val="0"/>
        </w:rPr>
        <w:t>The existing source supports narrower statements: native-eight-bit penalties vary by cohort; one severe winter case affected remedy rankings; and ordinary amount error and heavy-rain-weighted loss selected different layer policies. It does not contain a complete event-by-method matrix proving that each compression method fails on a distinct class of extremes. [H, “Use the severe failure to choose remedies”; “TQS inspired and rainfall aware allocation”]</w:t>
      </w:r>
    </w:p>
    <w:p>
      <w:r>
        <w:rPr>
          <w:b w:val="0"/>
          <w:i w:val="0"/>
        </w:rPr>
        <w:t>The next report should show rows for starts or event families and columns for methods. Each cell should report paired reference-error change, event transitions and relevant timing/position measures. Add support counts and mark missing or undefined scores. This makes “method A is robust” distinguishable from “method A is good on the heavily represented winter case.”</w:t>
      </w:r>
    </w:p>
    <w:p>
      <w:pPr>
        <w:pStyle w:val="Heading2"/>
      </w:pPr>
      <w:r>
        <w:rPr>
          <w:b w:val="0"/>
          <w:i w:val="0"/>
        </w:rPr>
        <w:t>12.4 A concrete example from the new archive</w:t>
      </w:r>
    </w:p>
    <w:p>
      <w:r>
        <w:rPr>
          <w:b w:val="0"/>
          <w:i w:val="0"/>
        </w:rPr>
        <w:t>Across the six non-calibration starts in J.4 (adaptive two-to-six-query replay), the reference-heavy cell-day counts are 1,225, 266, 82, 0, 36 and 68. Their sum is 1,677, so 31 January accounts for about 73.0% of those counted heavy cell-days. The 11 January start contains none under this metric. This calculation is derived from the attached per-start table and describes these two regions and five daily windows, not global event frequency. [F2]</w:t>
      </w:r>
    </w:p>
    <w:p>
      <w:r>
        <w:rPr>
          <w:b w:val="0"/>
          <w:i w:val="0"/>
        </w:rPr>
        <w:t>An event score of “no introduced misses” on a date with zero reference-heavy support is not evidence of successful heavy-rain detection. A case-balanced ordinary-error mean and pooled heavy-cell counts weight the cohort differently. Both views are useful, but they should not be described as the same objective.</w:t>
      </w:r>
    </w:p>
    <w:p>
      <w:pPr>
        <w:pStyle w:val="Heading2"/>
      </w:pPr>
      <w:r>
        <w:rPr>
          <w:b w:val="0"/>
          <w:i w:val="0"/>
        </w:rPr>
        <w:t>12.5 Decision rules for a defensible test</w:t>
      </w:r>
    </w:p>
    <w:p>
      <w:r>
        <w:rPr>
          <w:b w:val="0"/>
          <w:i w:val="0"/>
        </w:rPr>
        <w:t>Freeze candidate weights, query rules, objective weights, thresholds, normalisers, coverage, precision recipe and score aggregation before opening final outcomes. Freeze primary contrasts and practical non-inferiority margins, or report estimation only when no justified margin exists. The historical 5% global gate and the 25 mm/day research threshold are not automatically the application's risk tolerance.</w:t>
      </w:r>
    </w:p>
    <w:p>
      <w:r>
        <w:rPr>
          <w:b w:val="0"/>
          <w:i w:val="0"/>
        </w:rPr>
        <w:t>Use paired comparisons on common support. Resample whole starts, or whole storm families when starts are dependent, rather than treating all grid cells as independent. Report uncertainty, absolute effects, severe regressions and failure rates. Do not silently remove unstable forecasts. A stress-test failure should prompt a mechanism analysis, not retuning on the test and reusing it as though still sealed. Once it guides a repair, it becomes development evidence for that repair.</w:t>
      </w:r>
    </w:p>
    <w:p>
      <w:bookmarkStart w:id="15" w:name="section_14"/>
      <w:pPr>
        <w:pStyle w:val="Heading1"/>
      </w:pPr>
      <w:r>
        <w:rPr>
          <w:b w:val="0"/>
          <w:i w:val="0"/>
        </w:rPr>
        <w:t>13. Rainfall verification and the dense-baseline problem</w:t>
      </w:r>
      <w:bookmarkEnd w:id="15"/>
    </w:p>
    <w:p>
      <w:r>
        <w:rPr>
          <w:b w:val="0"/>
          <w:i w:val="0"/>
        </w:rPr>
        <w:t>The later ordinary score is the equal mean, for each start, of ten area-weighted daily root-mean-square errors: Central Europe and the US West Coast, at five daily endpoints through 120 hours. The project also reports mean absolute error, signed bias, spatial fractions skill, a stable equitable precipitation score, event contingency counts and native peak timing. These measure different failure modes; undefined event support must remain undefined. [H, “Accumulation reference scores and events”]</w:t>
      </w:r>
    </w:p>
    <w:p>
      <w:r>
        <w:rPr>
          <w:b w:val="0"/>
          <w:i w:val="0"/>
        </w:rPr>
        <w:t>ERA5 (the reanalysis reference) is not direct observed rainfall. Matching the official Aurora implementation checks implementation parity, while reproducing published forecast skill requires the relevant input and verification data contract. Matching IFS (Integrated Forecasting System) analysis inputs was blocked or paused in the historical record. No new IFS-data validation or observed flood verification is established by the follow-up. [H, “What we verify against”]</w:t>
      </w:r>
    </w:p>
    <w:p>
      <w:r>
        <w:rPr>
          <w:b w:val="0"/>
          <w:i w:val="0"/>
        </w:rPr>
        <w:t>A historical output-only correction multiplies each nonnegative six-hour forecast block by 1.7933213440166338 before accumulation. It was fitted on four old 32-bit forecasts; the reference remains unscaled. It does not change the weather history. It can improve detection while increasing false alarms and worsening amount error. It should remain a separately labelled, frozen secondary product rather than silently becoming the new baseline. [H, “Fixed bias correction”]</w:t>
      </w:r>
    </w:p>
    <w:p>
      <w:r>
        <w:rPr>
          <w:b w:val="0"/>
          <w:i w:val="0"/>
        </w:rPr>
        <w:t>On the V9 cohort (eight fresh starts when that campaign ran), dense raw misses/false alarms were 1,361/91; corrected counts were 506/1,182. Count recall increased from 29.88% to 73.93%, while average regional/day root-mean-square error worsened from 1.7755 to 1.8967 mm. The correction therefore demonstrates a threshold trade-off, not a validated heavy-rain calibration solution. [H, “Fixed bias correction”]</w:t>
      </w:r>
    </w:p>
    <w:p>
      <w:r>
        <w:rPr>
          <w:b w:val="0"/>
          <w:i w:val="0"/>
        </w:rPr>
        <w:t>For 48- and 72-hour accumulation products, the history did not silently extend a daily heavy-rain threshold to the longer windows. Their event definitions require explicit justification; changing accumulation width is not merely changing forecast lead. [H, “Accumulation reference scores and events”]</w:t>
      </w:r>
    </w:p>
    <w:p>
      <w:r>
        <w:rPr>
          <w:b w:val="0"/>
          <w:i w:val="0"/>
        </w:rPr>
        <w:t>V10 (rainfall amount, timing and spatial failure analysis) examined threshold margins, heavy-cell amounts and regional volume. Rectangular regional volume is not catchment rainfall, and a count change is not hydrological impact. A next catchment study needs named basin masks, a rainfall-to-runoff model or observed discharge, an explicit decision target and suitable verification data. Those are proposed application validations, not completed results. [H, “Consequential rainfall errors”]</w:t>
      </w:r>
    </w:p>
    <w:p>
      <w:bookmarkStart w:id="16" w:name="section_15"/>
      <w:pPr>
        <w:pStyle w:val="Heading1"/>
      </w:pPr>
      <w:r>
        <w:rPr>
          <w:b w:val="0"/>
          <w:i w:val="0"/>
        </w:rPr>
        <w:t>14. Results that can be compared directly</w:t>
      </w:r>
      <w:bookmarkEnd w:id="16"/>
    </w:p>
    <w:p>
      <w:pPr>
        <w:pStyle w:val="Heading2"/>
      </w:pPr>
      <w:r>
        <w:rPr>
          <w:b w:val="0"/>
          <w:i w:val="0"/>
        </w:rPr>
        <w:t>14.1 Rainfall quality within a common campaign</w:t>
      </w:r>
    </w:p>
    <w:tbl>
      <w:tblPr>
        <w:tblW w:type="auto" w:w="0"/>
        <w:jc w:val="center"/>
        <w:tblLayout w:type="fixed"/>
        <w:tblLook w:firstColumn="1" w:firstRow="1" w:lastColumn="0" w:lastRow="0" w:noHBand="0" w:noVBand="1" w:val="04A0"/>
      </w:tblPr>
      <w:tblGrid>
        <w:gridCol w:w="2705"/>
        <w:gridCol w:w="4153"/>
        <w:gridCol w:w="2801"/>
      </w:tblGrid>
      <w:tr>
        <w:trPr>
          <w:cantSplit/>
          <w:tblHeader/>
        </w:trPr>
        <w:tc>
          <w:tcPr>
            <w:tcW w:type="dxa" w:w="2705"/>
            <w:vAlign w:val="center"/>
            <w:tcMar>
              <w:top w:w="85" w:type="dxa"/>
              <w:left w:w="90" w:type="dxa"/>
              <w:bottom w:w="85" w:type="dxa"/>
              <w:right w:w="90" w:type="dxa"/>
            </w:tcMar>
            <w:shd w:fill="E6EEF3"/>
            <w:tcBorders>
              <w:bottom w:val="single" w:sz="4" w:color="D6E0E6"/>
            </w:tcBorders>
          </w:tcPr>
          <w:p>
            <w:pPr>
              <w:pStyle w:val="TableText"/>
            </w:pPr>
            <w:r>
              <w:rPr>
                <w:b/>
                <w:i w:val="0"/>
                <w:color w:val="15374F"/>
              </w:rPr>
              <w:t>Campaign and support</w:t>
            </w:r>
          </w:p>
        </w:tc>
        <w:tc>
          <w:tcPr>
            <w:tcW w:type="dxa" w:w="4153"/>
            <w:vAlign w:val="center"/>
            <w:tcMar>
              <w:top w:w="85" w:type="dxa"/>
              <w:left w:w="90" w:type="dxa"/>
              <w:bottom w:w="85" w:type="dxa"/>
              <w:right w:w="90" w:type="dxa"/>
            </w:tcMar>
            <w:shd w:fill="E6EEF3"/>
            <w:tcBorders>
              <w:bottom w:val="single" w:sz="4" w:color="D6E0E6"/>
            </w:tcBorders>
          </w:tcPr>
          <w:p>
            <w:pPr>
              <w:pStyle w:val="TableText"/>
            </w:pPr>
            <w:r>
              <w:rPr>
                <w:b/>
                <w:i w:val="0"/>
                <w:color w:val="15374F"/>
              </w:rPr>
              <w:t>Same-support daily error, mm</w:t>
            </w:r>
          </w:p>
        </w:tc>
        <w:tc>
          <w:tcPr>
            <w:tcW w:type="dxa" w:w="2801"/>
            <w:vAlign w:val="center"/>
            <w:tcMar>
              <w:top w:w="85" w:type="dxa"/>
              <w:left w:w="90" w:type="dxa"/>
              <w:bottom w:w="85" w:type="dxa"/>
              <w:right w:w="90" w:type="dxa"/>
            </w:tcMar>
            <w:shd w:fill="E6EEF3"/>
            <w:tcBorders>
              <w:bottom w:val="single" w:sz="4" w:color="D6E0E6"/>
            </w:tcBorders>
          </w:tcPr>
          <w:p>
            <w:pPr>
              <w:pStyle w:val="TableText"/>
            </w:pPr>
            <w:r>
              <w:rPr>
                <w:b/>
                <w:i w:val="0"/>
                <w:color w:val="15374F"/>
              </w:rPr>
              <w:t>Meaning</w:t>
            </w:r>
          </w:p>
        </w:tc>
      </w:tr>
      <w:tr>
        <w:trPr>
          <w:cantSplit/>
        </w:trPr>
        <w:tc>
          <w:tcPr>
            <w:tcW w:type="dxa" w:w="2705"/>
            <w:vAlign w:val="center"/>
            <w:tcMar>
              <w:top w:w="85" w:type="dxa"/>
              <w:left w:w="90" w:type="dxa"/>
              <w:bottom w:w="85" w:type="dxa"/>
              <w:right w:w="90" w:type="dxa"/>
            </w:tcMar>
            <w:shd w:fill="FFFFFF"/>
            <w:tcBorders>
              <w:bottom w:val="single" w:sz="4" w:color="D6E0E6"/>
            </w:tcBorders>
          </w:tcPr>
          <w:p>
            <w:pPr>
              <w:pStyle w:val="TableText"/>
            </w:pPr>
            <w:r>
              <w:rPr>
                <w:b w:val="0"/>
                <w:i w:val="0"/>
              </w:rPr>
              <w:t>V3 (precision/rollout comparison), 8 starts</w:t>
            </w:r>
          </w:p>
        </w:tc>
        <w:tc>
          <w:tcPr>
            <w:tcW w:type="dxa" w:w="4153"/>
            <w:vAlign w:val="center"/>
            <w:tcMar>
              <w:top w:w="85" w:type="dxa"/>
              <w:left w:w="90" w:type="dxa"/>
              <w:bottom w:w="85" w:type="dxa"/>
              <w:right w:w="90" w:type="dxa"/>
            </w:tcMar>
            <w:shd w:fill="FFFFFF"/>
            <w:tcBorders>
              <w:bottom w:val="single" w:sz="4" w:color="D6E0E6"/>
            </w:tcBorders>
          </w:tcPr>
          <w:p>
            <w:pPr>
              <w:pStyle w:val="TableText"/>
            </w:pPr>
            <w:r>
              <w:rPr>
                <w:b w:val="0"/>
                <w:i w:val="0"/>
              </w:rPr>
              <w:t>Dense 1.728214; native eight-bit 1.750184</w:t>
            </w:r>
          </w:p>
        </w:tc>
        <w:tc>
          <w:tcPr>
            <w:tcW w:type="dxa" w:w="2801"/>
            <w:vAlign w:val="center"/>
            <w:tcMar>
              <w:top w:w="85" w:type="dxa"/>
              <w:left w:w="90" w:type="dxa"/>
              <w:bottom w:w="85" w:type="dxa"/>
              <w:right w:w="90" w:type="dxa"/>
            </w:tcMar>
            <w:shd w:fill="FFFFFF"/>
            <w:tcBorders>
              <w:bottom w:val="single" w:sz="4" w:color="D6E0E6"/>
            </w:tcBorders>
          </w:tcPr>
          <w:p>
            <w:pPr>
              <w:pStyle w:val="TableText"/>
            </w:pPr>
            <w:r>
              <w:rPr>
                <w:b w:val="0"/>
                <w:i w:val="0"/>
              </w:rPr>
              <w:t>+0.021970 mm; late-growth interval crossed zero</w:t>
            </w:r>
          </w:p>
        </w:tc>
      </w:tr>
      <w:tr>
        <w:trPr>
          <w:cantSplit/>
        </w:trPr>
        <w:tc>
          <w:tcPr>
            <w:tcW w:type="dxa" w:w="2705"/>
            <w:vAlign w:val="center"/>
            <w:tcMar>
              <w:top w:w="85" w:type="dxa"/>
              <w:left w:w="90" w:type="dxa"/>
              <w:bottom w:w="85" w:type="dxa"/>
              <w:right w:w="90" w:type="dxa"/>
            </w:tcMar>
            <w:shd w:fill="F4F7F9"/>
            <w:tcBorders>
              <w:bottom w:val="single" w:sz="4" w:color="D6E0E6"/>
            </w:tcBorders>
          </w:tcPr>
          <w:p>
            <w:pPr>
              <w:pStyle w:val="TableText"/>
            </w:pPr>
            <w:r>
              <w:rPr>
                <w:b w:val="0"/>
                <w:i w:val="0"/>
              </w:rPr>
              <w:t>V5 (sparse-query confirmation), 8 fresh starts</w:t>
            </w:r>
          </w:p>
        </w:tc>
        <w:tc>
          <w:tcPr>
            <w:tcW w:type="dxa" w:w="4153"/>
            <w:vAlign w:val="center"/>
            <w:tcMar>
              <w:top w:w="85" w:type="dxa"/>
              <w:left w:w="90" w:type="dxa"/>
              <w:bottom w:w="85" w:type="dxa"/>
              <w:right w:w="90" w:type="dxa"/>
            </w:tcMar>
            <w:shd w:fill="F4F7F9"/>
            <w:tcBorders>
              <w:bottom w:val="single" w:sz="4" w:color="D6E0E6"/>
            </w:tcBorders>
          </w:tcPr>
          <w:p>
            <w:pPr>
              <w:pStyle w:val="TableText"/>
            </w:pPr>
            <w:r>
              <w:rPr>
                <w:b w:val="0"/>
                <w:i w:val="0"/>
              </w:rPr>
              <w:t>Dense 2.377905; uniform two-query 2.388944; weighted two-query 2.384730</w:t>
            </w:r>
          </w:p>
        </w:tc>
        <w:tc>
          <w:tcPr>
            <w:tcW w:type="dxa" w:w="2801"/>
            <w:vAlign w:val="center"/>
            <w:tcMar>
              <w:top w:w="85" w:type="dxa"/>
              <w:left w:w="90" w:type="dxa"/>
              <w:bottom w:w="85" w:type="dxa"/>
              <w:right w:w="90" w:type="dxa"/>
            </w:tcMar>
            <w:shd w:fill="F4F7F9"/>
            <w:tcBorders>
              <w:bottom w:val="single" w:sz="4" w:color="D6E0E6"/>
            </w:tcBorders>
          </w:tcPr>
          <w:p>
            <w:pPr>
              <w:pStyle w:val="TableText"/>
            </w:pPr>
            <w:r>
              <w:rPr>
                <w:b w:val="0"/>
                <w:i w:val="0"/>
              </w:rPr>
              <w:t>Small sparse penalty; weighted-rule advantage uncertain</w:t>
            </w:r>
          </w:p>
        </w:tc>
      </w:tr>
      <w:tr>
        <w:trPr>
          <w:cantSplit/>
        </w:trPr>
        <w:tc>
          <w:tcPr>
            <w:tcW w:type="dxa" w:w="2705"/>
            <w:vAlign w:val="center"/>
            <w:tcMar>
              <w:top w:w="85" w:type="dxa"/>
              <w:left w:w="90" w:type="dxa"/>
              <w:bottom w:w="85" w:type="dxa"/>
              <w:right w:w="90" w:type="dxa"/>
            </w:tcMar>
            <w:shd w:fill="FFFFFF"/>
            <w:tcBorders>
              <w:bottom w:val="single" w:sz="4" w:color="D6E0E6"/>
            </w:tcBorders>
          </w:tcPr>
          <w:p>
            <w:pPr>
              <w:pStyle w:val="TableText"/>
            </w:pPr>
            <w:r>
              <w:rPr>
                <w:b w:val="0"/>
                <w:i w:val="0"/>
              </w:rPr>
              <w:t>V9 (fixed-query confirmation), 8 fresh starts</w:t>
            </w:r>
          </w:p>
        </w:tc>
        <w:tc>
          <w:tcPr>
            <w:tcW w:type="dxa" w:w="4153"/>
            <w:vAlign w:val="center"/>
            <w:tcMar>
              <w:top w:w="85" w:type="dxa"/>
              <w:left w:w="90" w:type="dxa"/>
              <w:bottom w:w="85" w:type="dxa"/>
              <w:right w:w="90" w:type="dxa"/>
            </w:tcMar>
            <w:shd w:fill="FFFFFF"/>
            <w:tcBorders>
              <w:bottom w:val="single" w:sz="4" w:color="D6E0E6"/>
            </w:tcBorders>
          </w:tcPr>
          <w:p>
            <w:pPr>
              <w:pStyle w:val="TableText"/>
            </w:pPr>
            <w:r>
              <w:rPr>
                <w:b w:val="0"/>
                <w:i w:val="0"/>
              </w:rPr>
              <w:t>Dense 1.7755; two-query +0.0456; three-query +0.0188</w:t>
            </w:r>
          </w:p>
        </w:tc>
        <w:tc>
          <w:tcPr>
            <w:tcW w:type="dxa" w:w="2801"/>
            <w:vAlign w:val="center"/>
            <w:tcMar>
              <w:top w:w="85" w:type="dxa"/>
              <w:left w:w="90" w:type="dxa"/>
              <w:bottom w:w="85" w:type="dxa"/>
              <w:right w:w="90" w:type="dxa"/>
            </w:tcMar>
            <w:shd w:fill="FFFFFF"/>
            <w:tcBorders>
              <w:bottom w:val="single" w:sz="4" w:color="D6E0E6"/>
            </w:tcBorders>
          </w:tcPr>
          <w:p>
            <w:pPr>
              <w:pStyle w:val="TableText"/>
            </w:pPr>
            <w:r>
              <w:rPr>
                <w:b w:val="0"/>
                <w:i w:val="0"/>
              </w:rPr>
              <w:t>Three queries reduced the approximation penalty at greater cost</w:t>
            </w:r>
          </w:p>
        </w:tc>
      </w:tr>
      <w:tr>
        <w:trPr>
          <w:cantSplit/>
        </w:trPr>
        <w:tc>
          <w:tcPr>
            <w:tcW w:type="dxa" w:w="2705"/>
            <w:vAlign w:val="center"/>
            <w:tcMar>
              <w:top w:w="85" w:type="dxa"/>
              <w:left w:w="90" w:type="dxa"/>
              <w:bottom w:w="85" w:type="dxa"/>
              <w:right w:w="90" w:type="dxa"/>
            </w:tcMar>
            <w:shd w:fill="F4F7F9"/>
            <w:tcBorders>
              <w:bottom w:val="single" w:sz="4" w:color="D6E0E6"/>
            </w:tcBorders>
          </w:tcPr>
          <w:p>
            <w:pPr>
              <w:pStyle w:val="TableText"/>
            </w:pPr>
            <w:r>
              <w:rPr>
                <w:b w:val="0"/>
                <w:i w:val="0"/>
              </w:rPr>
              <w:t>E1 (autonomous precision ladder), 8 development starts</w:t>
            </w:r>
          </w:p>
        </w:tc>
        <w:tc>
          <w:tcPr>
            <w:tcW w:type="dxa" w:w="4153"/>
            <w:vAlign w:val="center"/>
            <w:tcMar>
              <w:top w:w="85" w:type="dxa"/>
              <w:left w:w="90" w:type="dxa"/>
              <w:bottom w:w="85" w:type="dxa"/>
              <w:right w:w="90" w:type="dxa"/>
            </w:tcMar>
            <w:shd w:fill="F4F7F9"/>
            <w:tcBorders>
              <w:bottom w:val="single" w:sz="4" w:color="D6E0E6"/>
            </w:tcBorders>
          </w:tcPr>
          <w:p>
            <w:pPr>
              <w:pStyle w:val="TableText"/>
            </w:pPr>
            <w:r>
              <w:rPr>
                <w:b w:val="0"/>
                <w:i w:val="0"/>
              </w:rPr>
              <w:t>Dense 1.7650; native eight-bit 1.7628; simulated eight-bit 1.7669; six-bit 1.8011; four-bit 2.2759</w:t>
            </w:r>
          </w:p>
        </w:tc>
        <w:tc>
          <w:tcPr>
            <w:tcW w:type="dxa" w:w="2801"/>
            <w:vAlign w:val="center"/>
            <w:tcMar>
              <w:top w:w="85" w:type="dxa"/>
              <w:left w:w="90" w:type="dxa"/>
              <w:bottom w:w="85" w:type="dxa"/>
              <w:right w:w="90" w:type="dxa"/>
            </w:tcMar>
            <w:shd w:fill="F4F7F9"/>
            <w:tcBorders>
              <w:bottom w:val="single" w:sz="4" w:color="D6E0E6"/>
            </w:tcBorders>
          </w:tcPr>
          <w:p>
            <w:pPr>
              <w:pStyle w:val="TableText"/>
            </w:pPr>
            <w:r>
              <w:rPr>
                <w:b w:val="0"/>
                <w:i w:val="0"/>
              </w:rPr>
              <w:t>Aggressive four-bit damage in this development cohort</w:t>
            </w:r>
          </w:p>
        </w:tc>
      </w:tr>
      <w:tr>
        <w:trPr>
          <w:cantSplit/>
        </w:trPr>
        <w:tc>
          <w:tcPr>
            <w:tcW w:type="dxa" w:w="2705"/>
            <w:vAlign w:val="center"/>
            <w:tcMar>
              <w:top w:w="85" w:type="dxa"/>
              <w:left w:w="90" w:type="dxa"/>
              <w:bottom w:w="85" w:type="dxa"/>
              <w:right w:w="90" w:type="dxa"/>
            </w:tcMar>
            <w:shd w:fill="FFFFFF"/>
            <w:tcBorders>
              <w:bottom w:val="single" w:sz="4" w:color="D6E0E6"/>
            </w:tcBorders>
          </w:tcPr>
          <w:p>
            <w:pPr>
              <w:pStyle w:val="TableText"/>
            </w:pPr>
            <w:r>
              <w:rPr>
                <w:b w:val="0"/>
                <w:i w:val="0"/>
              </w:rPr>
              <w:t>E3 (autonomous remedies), 6 internal starts</w:t>
            </w:r>
          </w:p>
        </w:tc>
        <w:tc>
          <w:tcPr>
            <w:tcW w:type="dxa" w:w="4153"/>
            <w:vAlign w:val="center"/>
            <w:tcMar>
              <w:top w:w="85" w:type="dxa"/>
              <w:left w:w="90" w:type="dxa"/>
              <w:bottom w:w="85" w:type="dxa"/>
              <w:right w:w="90" w:type="dxa"/>
            </w:tcMar>
            <w:shd w:fill="FFFFFF"/>
            <w:tcBorders>
              <w:bottom w:val="single" w:sz="4" w:color="D6E0E6"/>
            </w:tcBorders>
          </w:tcPr>
          <w:p>
            <w:pPr>
              <w:pStyle w:val="TableText"/>
            </w:pPr>
            <w:r>
              <w:rPr>
                <w:b w:val="0"/>
                <w:i w:val="0"/>
              </w:rPr>
              <w:t>Dense 1.8938; four-bit 2.4855; long protection 2.1342; static attention 2.2171; dense-state hybrid 1.9254</w:t>
            </w:r>
          </w:p>
        </w:tc>
        <w:tc>
          <w:tcPr>
            <w:tcW w:type="dxa" w:w="2801"/>
            <w:vAlign w:val="center"/>
            <w:tcMar>
              <w:top w:w="85" w:type="dxa"/>
              <w:left w:w="90" w:type="dxa"/>
              <w:bottom w:w="85" w:type="dxa"/>
              <w:right w:w="90" w:type="dxa"/>
            </w:tcMar>
            <w:shd w:fill="FFFFFF"/>
            <w:tcBorders>
              <w:bottom w:val="single" w:sz="4" w:color="D6E0E6"/>
            </w:tcBorders>
          </w:tcPr>
          <w:p>
            <w:pPr>
              <w:pStyle w:val="TableText"/>
            </w:pPr>
            <w:r>
              <w:rPr>
                <w:b w:val="0"/>
                <w:i w:val="0"/>
              </w:rPr>
              <w:t>Different remedy metrics select different winners</w:t>
            </w:r>
          </w:p>
        </w:tc>
      </w:tr>
    </w:tbl>
    <w:p>
      <w:pPr>
        <w:spacing w:after="60" w:before="0" w:line="240" w:lineRule="auto"/>
      </w:pPr>
      <w:r>
        <w:rPr>
          <w:sz w:val="2"/>
        </w:rPr>
      </w:r>
    </w:p>
    <w:p>
      <w:r>
        <w:rPr>
          <w:b w:val="0"/>
          <w:i w:val="0"/>
        </w:rPr>
        <w:t>Each row has its own cohort, construction and reducer. Moving down the table does not show historical model improvement. The native and simulated eight-bit models differ in more than a label or bit width. Eight-start dense means must not replace the six-start dense denominator in the remedy comparison. [H, “Campaign results that can be compared directly”]</w:t>
      </w:r>
    </w:p>
    <w:p>
      <w:pPr>
        <w:pStyle w:val="Heading2"/>
      </w:pPr>
      <w:r>
        <w:rPr>
          <w:b w:val="0"/>
          <w:i w:val="0"/>
        </w:rPr>
        <w:t>14.2 Native resource measurements from the autonomous campaign</w:t>
      </w:r>
    </w:p>
    <w:tbl>
      <w:tblPr>
        <w:tblW w:type="auto" w:w="0"/>
        <w:jc w:val="center"/>
        <w:tblLayout w:type="fixed"/>
        <w:tblLook w:firstColumn="1" w:firstRow="1" w:lastColumn="0" w:lastRow="0" w:noHBand="0" w:noVBand="1" w:val="04A0"/>
      </w:tblPr>
      <w:tblGrid>
        <w:gridCol w:w="4733"/>
        <w:gridCol w:w="1352"/>
        <w:gridCol w:w="1835"/>
        <w:gridCol w:w="1739"/>
      </w:tblGrid>
      <w:tr>
        <w:trPr>
          <w:cantSplit/>
          <w:tblHeader/>
        </w:trPr>
        <w:tc>
          <w:tcPr>
            <w:tcW w:type="dxa" w:w="4733"/>
            <w:vAlign w:val="center"/>
            <w:tcMar>
              <w:top w:w="85" w:type="dxa"/>
              <w:left w:w="90" w:type="dxa"/>
              <w:bottom w:w="85" w:type="dxa"/>
              <w:right w:w="90" w:type="dxa"/>
            </w:tcMar>
            <w:shd w:fill="E6EEF3"/>
            <w:tcBorders>
              <w:bottom w:val="single" w:sz="4" w:color="D6E0E6"/>
            </w:tcBorders>
          </w:tcPr>
          <w:p>
            <w:pPr>
              <w:pStyle w:val="TableText"/>
            </w:pPr>
            <w:r>
              <w:rPr>
                <w:b/>
                <w:i w:val="0"/>
                <w:color w:val="15374F"/>
              </w:rPr>
              <w:t>Product, with reminder</w:t>
            </w:r>
          </w:p>
        </w:tc>
        <w:tc>
          <w:tcPr>
            <w:tcW w:type="dxa" w:w="1352"/>
            <w:vAlign w:val="center"/>
            <w:tcMar>
              <w:top w:w="85" w:type="dxa"/>
              <w:left w:w="90" w:type="dxa"/>
              <w:bottom w:w="85" w:type="dxa"/>
              <w:right w:w="90" w:type="dxa"/>
            </w:tcMar>
            <w:shd w:fill="E6EEF3"/>
            <w:tcBorders>
              <w:bottom w:val="single" w:sz="4" w:color="D6E0E6"/>
            </w:tcBorders>
          </w:tcPr>
          <w:p>
            <w:pPr>
              <w:pStyle w:val="TableText"/>
            </w:pPr>
            <w:r>
              <w:rPr>
                <w:b/>
                <w:i w:val="0"/>
                <w:color w:val="15374F"/>
              </w:rPr>
              <w:t>Seconds</w:t>
            </w:r>
          </w:p>
        </w:tc>
        <w:tc>
          <w:tcPr>
            <w:tcW w:type="dxa" w:w="1835"/>
            <w:vAlign w:val="center"/>
            <w:tcMar>
              <w:top w:w="85" w:type="dxa"/>
              <w:left w:w="90" w:type="dxa"/>
              <w:bottom w:w="85" w:type="dxa"/>
              <w:right w:w="90" w:type="dxa"/>
            </w:tcMar>
            <w:shd w:fill="E6EEF3"/>
            <w:tcBorders>
              <w:bottom w:val="single" w:sz="4" w:color="D6E0E6"/>
            </w:tcBorders>
          </w:tcPr>
          <w:p>
            <w:pPr>
              <w:pStyle w:val="TableText"/>
            </w:pPr>
            <w:r>
              <w:rPr>
                <w:b/>
                <w:i w:val="0"/>
                <w:color w:val="15374F"/>
              </w:rPr>
              <w:t>Parameters/buffers, GiB</w:t>
            </w:r>
          </w:p>
        </w:tc>
        <w:tc>
          <w:tcPr>
            <w:tcW w:type="dxa" w:w="1739"/>
            <w:vAlign w:val="center"/>
            <w:tcMar>
              <w:top w:w="85" w:type="dxa"/>
              <w:left w:w="90" w:type="dxa"/>
              <w:bottom w:w="85" w:type="dxa"/>
              <w:right w:w="90" w:type="dxa"/>
            </w:tcMar>
            <w:shd w:fill="E6EEF3"/>
            <w:tcBorders>
              <w:bottom w:val="single" w:sz="4" w:color="D6E0E6"/>
            </w:tcBorders>
          </w:tcPr>
          <w:p>
            <w:pPr>
              <w:pStyle w:val="TableText"/>
            </w:pPr>
            <w:r>
              <w:rPr>
                <w:b/>
                <w:i w:val="0"/>
                <w:color w:val="15374F"/>
              </w:rPr>
              <w:t>Allocated peak, GiB</w:t>
            </w:r>
          </w:p>
        </w:tc>
      </w:tr>
      <w:tr>
        <w:trPr>
          <w:cantSplit/>
        </w:trPr>
        <w:tc>
          <w:tcPr>
            <w:tcW w:type="dxa" w:w="4733"/>
            <w:vAlign w:val="center"/>
            <w:tcMar>
              <w:top w:w="85" w:type="dxa"/>
              <w:left w:w="90" w:type="dxa"/>
              <w:bottom w:w="85" w:type="dxa"/>
              <w:right w:w="90" w:type="dxa"/>
            </w:tcMar>
            <w:shd w:fill="FFFFFF"/>
            <w:tcBorders>
              <w:bottom w:val="single" w:sz="4" w:color="D6E0E6"/>
            </w:tcBorders>
          </w:tcPr>
          <w:p>
            <w:pPr>
              <w:pStyle w:val="TableText"/>
            </w:pPr>
            <w:r>
              <w:rPr>
                <w:b w:val="0"/>
                <w:i w:val="0"/>
              </w:rPr>
              <w:t>Dense six-query product</w:t>
            </w:r>
          </w:p>
        </w:tc>
        <w:tc>
          <w:tcPr>
            <w:tcW w:type="dxa" w:w="1352"/>
            <w:vAlign w:val="center"/>
            <w:tcMar>
              <w:top w:w="85" w:type="dxa"/>
              <w:left w:w="90" w:type="dxa"/>
              <w:bottom w:w="85" w:type="dxa"/>
              <w:right w:w="90" w:type="dxa"/>
            </w:tcMar>
            <w:shd w:fill="FFFFFF"/>
            <w:tcBorders>
              <w:bottom w:val="single" w:sz="4" w:color="D6E0E6"/>
            </w:tcBorders>
          </w:tcPr>
          <w:p>
            <w:pPr>
              <w:pStyle w:val="TableText"/>
            </w:pPr>
            <w:r>
              <w:rPr>
                <w:b w:val="0"/>
                <w:i w:val="0"/>
              </w:rPr>
              <w:t>126.78</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2.6447</w:t>
            </w:r>
          </w:p>
        </w:tc>
        <w:tc>
          <w:tcPr>
            <w:tcW w:type="dxa" w:w="1739"/>
            <w:vAlign w:val="center"/>
            <w:tcMar>
              <w:top w:w="85" w:type="dxa"/>
              <w:left w:w="90" w:type="dxa"/>
              <w:bottom w:w="85" w:type="dxa"/>
              <w:right w:w="90" w:type="dxa"/>
            </w:tcMar>
            <w:shd w:fill="FFFFFF"/>
            <w:tcBorders>
              <w:bottom w:val="single" w:sz="4" w:color="D6E0E6"/>
            </w:tcBorders>
          </w:tcPr>
          <w:p>
            <w:pPr>
              <w:pStyle w:val="TableText"/>
            </w:pPr>
            <w:r>
              <w:rPr>
                <w:b w:val="0"/>
                <w:i w:val="0"/>
              </w:rPr>
              <w:t>10.444</w:t>
            </w:r>
          </w:p>
        </w:tc>
      </w:tr>
      <w:tr>
        <w:trPr>
          <w:cantSplit/>
        </w:trPr>
        <w:tc>
          <w:tcPr>
            <w:tcW w:type="dxa" w:w="4733"/>
            <w:vAlign w:val="center"/>
            <w:tcMar>
              <w:top w:w="85" w:type="dxa"/>
              <w:left w:w="90" w:type="dxa"/>
              <w:bottom w:w="85" w:type="dxa"/>
              <w:right w:w="90" w:type="dxa"/>
            </w:tcMar>
            <w:shd w:fill="F4F7F9"/>
            <w:tcBorders>
              <w:bottom w:val="single" w:sz="4" w:color="D6E0E6"/>
            </w:tcBorders>
          </w:tcPr>
          <w:p>
            <w:pPr>
              <w:pStyle w:val="TableText"/>
            </w:pPr>
            <w:r>
              <w:rPr>
                <w:b w:val="0"/>
                <w:i w:val="0"/>
              </w:rPr>
              <w:t>Native eight-bit six-query product</w:t>
            </w:r>
          </w:p>
        </w:tc>
        <w:tc>
          <w:tcPr>
            <w:tcW w:type="dxa" w:w="1352"/>
            <w:vAlign w:val="center"/>
            <w:tcMar>
              <w:top w:w="85" w:type="dxa"/>
              <w:left w:w="90" w:type="dxa"/>
              <w:bottom w:w="85" w:type="dxa"/>
              <w:right w:w="90" w:type="dxa"/>
            </w:tcMar>
            <w:shd w:fill="F4F7F9"/>
            <w:tcBorders>
              <w:bottom w:val="single" w:sz="4" w:color="D6E0E6"/>
            </w:tcBorders>
          </w:tcPr>
          <w:p>
            <w:pPr>
              <w:pStyle w:val="TableText"/>
            </w:pPr>
            <w:r>
              <w:rPr>
                <w:b w:val="0"/>
                <w:i w:val="0"/>
              </w:rPr>
              <w:t>104.74</w:t>
            </w:r>
          </w:p>
        </w:tc>
        <w:tc>
          <w:tcPr>
            <w:tcW w:type="dxa" w:w="1835"/>
            <w:vAlign w:val="center"/>
            <w:tcMar>
              <w:top w:w="85" w:type="dxa"/>
              <w:left w:w="90" w:type="dxa"/>
              <w:bottom w:w="85" w:type="dxa"/>
              <w:right w:w="90" w:type="dxa"/>
            </w:tcMar>
            <w:shd w:fill="F4F7F9"/>
            <w:tcBorders>
              <w:bottom w:val="single" w:sz="4" w:color="D6E0E6"/>
            </w:tcBorders>
          </w:tcPr>
          <w:p>
            <w:pPr>
              <w:pStyle w:val="TableText"/>
            </w:pPr>
            <w:r>
              <w:rPr>
                <w:b w:val="0"/>
                <w:i w:val="0"/>
              </w:rPr>
              <w:t>1.6272</w:t>
            </w:r>
          </w:p>
        </w:tc>
        <w:tc>
          <w:tcPr>
            <w:tcW w:type="dxa" w:w="1739"/>
            <w:vAlign w:val="center"/>
            <w:tcMar>
              <w:top w:w="85" w:type="dxa"/>
              <w:left w:w="90" w:type="dxa"/>
              <w:bottom w:w="85" w:type="dxa"/>
              <w:right w:w="90" w:type="dxa"/>
            </w:tcMar>
            <w:shd w:fill="F4F7F9"/>
            <w:tcBorders>
              <w:bottom w:val="single" w:sz="4" w:color="D6E0E6"/>
            </w:tcBorders>
          </w:tcPr>
          <w:p>
            <w:pPr>
              <w:pStyle w:val="TableText"/>
            </w:pPr>
            <w:r>
              <w:rPr>
                <w:b w:val="0"/>
                <w:i w:val="0"/>
              </w:rPr>
              <w:t>9.4377</w:t>
            </w:r>
          </w:p>
        </w:tc>
      </w:tr>
      <w:tr>
        <w:trPr>
          <w:cantSplit/>
        </w:trPr>
        <w:tc>
          <w:tcPr>
            <w:tcW w:type="dxa" w:w="4733"/>
            <w:vAlign w:val="center"/>
            <w:tcMar>
              <w:top w:w="85" w:type="dxa"/>
              <w:left w:w="90" w:type="dxa"/>
              <w:bottom w:w="85" w:type="dxa"/>
              <w:right w:w="90" w:type="dxa"/>
            </w:tcMar>
            <w:shd w:fill="FFFFFF"/>
            <w:tcBorders>
              <w:bottom w:val="single" w:sz="4" w:color="D6E0E6"/>
            </w:tcBorders>
          </w:tcPr>
          <w:p>
            <w:pPr>
              <w:pStyle w:val="TableText"/>
            </w:pPr>
            <w:r>
              <w:rPr>
                <w:b w:val="0"/>
                <w:i w:val="0"/>
              </w:rPr>
              <w:t>Native eight-bit plus rank repair, six queries</w:t>
            </w:r>
          </w:p>
        </w:tc>
        <w:tc>
          <w:tcPr>
            <w:tcW w:type="dxa" w:w="1352"/>
            <w:vAlign w:val="center"/>
            <w:tcMar>
              <w:top w:w="85" w:type="dxa"/>
              <w:left w:w="90" w:type="dxa"/>
              <w:bottom w:w="85" w:type="dxa"/>
              <w:right w:w="90" w:type="dxa"/>
            </w:tcMar>
            <w:shd w:fill="FFFFFF"/>
            <w:tcBorders>
              <w:bottom w:val="single" w:sz="4" w:color="D6E0E6"/>
            </w:tcBorders>
          </w:tcPr>
          <w:p>
            <w:pPr>
              <w:pStyle w:val="TableText"/>
            </w:pPr>
            <w:r>
              <w:rPr>
                <w:b w:val="0"/>
                <w:i w:val="0"/>
              </w:rPr>
              <w:t>106.12</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1.6295</w:t>
            </w:r>
          </w:p>
        </w:tc>
        <w:tc>
          <w:tcPr>
            <w:tcW w:type="dxa" w:w="1739"/>
            <w:vAlign w:val="center"/>
            <w:tcMar>
              <w:top w:w="85" w:type="dxa"/>
              <w:left w:w="90" w:type="dxa"/>
              <w:bottom w:w="85" w:type="dxa"/>
              <w:right w:w="90" w:type="dxa"/>
            </w:tcMar>
            <w:shd w:fill="FFFFFF"/>
            <w:tcBorders>
              <w:bottom w:val="single" w:sz="4" w:color="D6E0E6"/>
            </w:tcBorders>
          </w:tcPr>
          <w:p>
            <w:pPr>
              <w:pStyle w:val="TableText"/>
            </w:pPr>
            <w:r>
              <w:rPr>
                <w:b w:val="0"/>
                <w:i w:val="0"/>
              </w:rPr>
              <w:t>9.4400</w:t>
            </w:r>
          </w:p>
        </w:tc>
      </w:tr>
      <w:tr>
        <w:trPr>
          <w:cantSplit/>
        </w:trPr>
        <w:tc>
          <w:tcPr>
            <w:tcW w:type="dxa" w:w="4733"/>
            <w:vAlign w:val="center"/>
            <w:tcMar>
              <w:top w:w="85" w:type="dxa"/>
              <w:left w:w="90" w:type="dxa"/>
              <w:bottom w:w="85" w:type="dxa"/>
              <w:right w:w="90" w:type="dxa"/>
            </w:tcMar>
            <w:shd w:fill="F4F7F9"/>
            <w:tcBorders>
              <w:bottom w:val="single" w:sz="4" w:color="D6E0E6"/>
            </w:tcBorders>
          </w:tcPr>
          <w:p>
            <w:pPr>
              <w:pStyle w:val="TableText"/>
            </w:pPr>
            <w:r>
              <w:rPr>
                <w:b w:val="0"/>
                <w:i w:val="0"/>
              </w:rPr>
              <w:t>Dense three-query product</w:t>
            </w:r>
          </w:p>
        </w:tc>
        <w:tc>
          <w:tcPr>
            <w:tcW w:type="dxa" w:w="1352"/>
            <w:vAlign w:val="center"/>
            <w:tcMar>
              <w:top w:w="85" w:type="dxa"/>
              <w:left w:w="90" w:type="dxa"/>
              <w:bottom w:w="85" w:type="dxa"/>
              <w:right w:w="90" w:type="dxa"/>
            </w:tcMar>
            <w:shd w:fill="F4F7F9"/>
            <w:tcBorders>
              <w:bottom w:val="single" w:sz="4" w:color="D6E0E6"/>
            </w:tcBorders>
          </w:tcPr>
          <w:p>
            <w:pPr>
              <w:pStyle w:val="TableText"/>
            </w:pPr>
            <w:r>
              <w:rPr>
                <w:b w:val="0"/>
                <w:i w:val="0"/>
              </w:rPr>
              <w:t>71.041</w:t>
            </w:r>
          </w:p>
        </w:tc>
        <w:tc>
          <w:tcPr>
            <w:tcW w:type="dxa" w:w="1835"/>
            <w:vAlign w:val="center"/>
            <w:tcMar>
              <w:top w:w="85" w:type="dxa"/>
              <w:left w:w="90" w:type="dxa"/>
              <w:bottom w:w="85" w:type="dxa"/>
              <w:right w:w="90" w:type="dxa"/>
            </w:tcMar>
            <w:shd w:fill="F4F7F9"/>
            <w:tcBorders>
              <w:bottom w:val="single" w:sz="4" w:color="D6E0E6"/>
            </w:tcBorders>
          </w:tcPr>
          <w:p>
            <w:pPr>
              <w:pStyle w:val="TableText"/>
            </w:pPr>
            <w:r>
              <w:rPr>
                <w:b w:val="0"/>
                <w:i w:val="0"/>
              </w:rPr>
              <w:t>2.6447</w:t>
            </w:r>
          </w:p>
        </w:tc>
        <w:tc>
          <w:tcPr>
            <w:tcW w:type="dxa" w:w="1739"/>
            <w:vAlign w:val="center"/>
            <w:tcMar>
              <w:top w:w="85" w:type="dxa"/>
              <w:left w:w="90" w:type="dxa"/>
              <w:bottom w:w="85" w:type="dxa"/>
              <w:right w:w="90" w:type="dxa"/>
            </w:tcMar>
            <w:shd w:fill="F4F7F9"/>
            <w:tcBorders>
              <w:bottom w:val="single" w:sz="4" w:color="D6E0E6"/>
            </w:tcBorders>
          </w:tcPr>
          <w:p>
            <w:pPr>
              <w:pStyle w:val="TableText"/>
            </w:pPr>
            <w:r>
              <w:rPr>
                <w:b w:val="0"/>
                <w:i w:val="0"/>
              </w:rPr>
              <w:t>10.444</w:t>
            </w:r>
          </w:p>
        </w:tc>
      </w:tr>
      <w:tr>
        <w:trPr>
          <w:cantSplit/>
        </w:trPr>
        <w:tc>
          <w:tcPr>
            <w:tcW w:type="dxa" w:w="4733"/>
            <w:vAlign w:val="center"/>
            <w:tcMar>
              <w:top w:w="85" w:type="dxa"/>
              <w:left w:w="90" w:type="dxa"/>
              <w:bottom w:w="85" w:type="dxa"/>
              <w:right w:w="90" w:type="dxa"/>
            </w:tcMar>
            <w:shd w:fill="FFFFFF"/>
            <w:tcBorders>
              <w:bottom w:val="single" w:sz="4" w:color="D6E0E6"/>
            </w:tcBorders>
          </w:tcPr>
          <w:p>
            <w:pPr>
              <w:pStyle w:val="TableText"/>
            </w:pPr>
            <w:r>
              <w:rPr>
                <w:b w:val="0"/>
                <w:i w:val="0"/>
              </w:rPr>
              <w:t>Native eight-bit plus rank repair, three queries</w:t>
            </w:r>
          </w:p>
        </w:tc>
        <w:tc>
          <w:tcPr>
            <w:tcW w:type="dxa" w:w="1352"/>
            <w:vAlign w:val="center"/>
            <w:tcMar>
              <w:top w:w="85" w:type="dxa"/>
              <w:left w:w="90" w:type="dxa"/>
              <w:bottom w:w="85" w:type="dxa"/>
              <w:right w:w="90" w:type="dxa"/>
            </w:tcMar>
            <w:shd w:fill="FFFFFF"/>
            <w:tcBorders>
              <w:bottom w:val="single" w:sz="4" w:color="D6E0E6"/>
            </w:tcBorders>
          </w:tcPr>
          <w:p>
            <w:pPr>
              <w:pStyle w:val="TableText"/>
            </w:pPr>
            <w:r>
              <w:rPr>
                <w:b w:val="0"/>
                <w:i w:val="0"/>
              </w:rPr>
              <w:t>60.345</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1.6295</w:t>
            </w:r>
          </w:p>
        </w:tc>
        <w:tc>
          <w:tcPr>
            <w:tcW w:type="dxa" w:w="1739"/>
            <w:vAlign w:val="center"/>
            <w:tcMar>
              <w:top w:w="85" w:type="dxa"/>
              <w:left w:w="90" w:type="dxa"/>
              <w:bottom w:w="85" w:type="dxa"/>
              <w:right w:w="90" w:type="dxa"/>
            </w:tcMar>
            <w:shd w:fill="FFFFFF"/>
            <w:tcBorders>
              <w:bottom w:val="single" w:sz="4" w:color="D6E0E6"/>
            </w:tcBorders>
          </w:tcPr>
          <w:p>
            <w:pPr>
              <w:pStyle w:val="TableText"/>
            </w:pPr>
            <w:r>
              <w:rPr>
                <w:b w:val="0"/>
                <w:i w:val="0"/>
              </w:rPr>
              <w:t>9.4400</w:t>
            </w:r>
          </w:p>
        </w:tc>
      </w:tr>
    </w:tbl>
    <w:p>
      <w:pPr>
        <w:spacing w:after="60" w:before="0" w:line="240" w:lineRule="auto"/>
      </w:pPr>
      <w:r>
        <w:rPr>
          <w:sz w:val="2"/>
        </w:rPr>
      </w:r>
    </w:p>
    <w:p>
      <w:r>
        <w:rPr>
          <w:b w:val="0"/>
          <w:i w:val="0"/>
        </w:rPr>
        <w:t>These rows have three clean native repetitions in their reported context. The repaired native-eight-bit three-query product was about 52% faster than the dense six-query product, but it combined arithmetic compression with a different rainfall sampling product. Its sampled process peak was only about 2.3% lower despite approximately 38% smaller parameter/buffer storage. It must be compared with the best qualified exact dense rain-only stack before claiming the remaining deployment advantage. [H, “Native resources in the autonomous campaign”]</w:t>
      </w:r>
    </w:p>
    <w:p>
      <w:r>
        <w:rPr>
          <w:b w:val="0"/>
          <w:i w:val="0"/>
        </w:rPr>
        <w:t>No attached result establishes an aggressively compressed four-bit lifecycle fitting on a smaller graphics card with preserved independent rainfall quality. Hypothetical bit counts and decoded-weight simulations must remain separate from that capacity claim.</w:t>
      </w:r>
    </w:p>
    <w:p>
      <w:bookmarkStart w:id="17" w:name="section_16"/>
      <w:pPr>
        <w:pStyle w:val="Heading1"/>
      </w:pPr>
      <w:r>
        <w:rPr>
          <w:b w:val="0"/>
          <w:i w:val="0"/>
        </w:rPr>
        <w:t>15. The V12 follow-up: what changed, what did not, and what is missing</w:t>
      </w:r>
      <w:bookmarkEnd w:id="17"/>
    </w:p>
    <w:p>
      <w:pPr>
        <w:pStyle w:val="Heading2"/>
      </w:pPr>
      <w:r>
        <w:rPr>
          <w:b w:val="0"/>
          <w:i w:val="0"/>
        </w:rPr>
        <w:t>15.1 J.4 (adaptive rainfall-query escalation): completed archived replay</w:t>
      </w:r>
    </w:p>
    <w:p>
      <w:r>
        <w:rPr>
          <w:b w:val="0"/>
          <w:i w:val="0"/>
        </w:rPr>
        <w:t>The time-unit repair allowed the frozen replay to run. The archive contains its code, freeze file, completed receipt, per-start scores and frontier. It explicitly reports six evaluation starts and zero graphics-processor seconds. The 10 mm magnitude rule is a promising candidate, not an independently selected winner: the archived receipt still says no policy was selected. Choosing it now is a new development decision and should precede an untouched confirmation test. [F2–F4]</w:t>
      </w:r>
    </w:p>
    <w:p>
      <w:r>
        <w:rPr>
          <w:b w:val="0"/>
          <w:i w:val="0"/>
        </w:rPr>
        <w:t xml:space="preserve">Confirm both its forecast trade-off and its actual runtime. An equal-cost control is essential: it used 78 mean queries versus 60 for the three-query rule. A static 80-query schedule or a frozen random-escalation policy can ask whether its advantage comes from </w:t>
      </w:r>
      <w:r>
        <w:rPr>
          <w:b/>
          <w:i w:val="0"/>
        </w:rPr>
        <w:t>where it spends queries</w:t>
      </w:r>
      <w:r>
        <w:rPr>
          <w:b w:val="0"/>
          <w:i w:val="0"/>
        </w:rPr>
        <w:t>, rather than merely spending more. The old six-query benchmark remains the fidelity anchor.</w:t>
      </w:r>
    </w:p>
    <w:p>
      <w:pPr>
        <w:pStyle w:val="Heading2"/>
      </w:pPr>
      <w:r>
        <w:rPr>
          <w:b w:val="0"/>
          <w:i w:val="0"/>
        </w:rPr>
        <w:t>15.2 J.5 (compression variants as an ensemble): completed archived replay</w:t>
      </w:r>
    </w:p>
    <w:p>
      <w:r>
        <w:rPr>
          <w:b w:val="0"/>
          <w:i w:val="0"/>
        </w:rPr>
        <w:t>This probe combines already generated forecasts as multiple ensemble members. The four-member set contains dense, native eight-bit, simulated eight-bit and simulated six-bit forecasts. The five-member sensitivity adds simulated four-bit forecasts. The archive contains eight starts, two regions and five daily leads. [F3; F4]</w:t>
      </w:r>
    </w:p>
    <w:tbl>
      <w:tblPr>
        <w:tblW w:type="auto" w:w="0"/>
        <w:jc w:val="center"/>
        <w:tblLayout w:type="fixed"/>
        <w:tblLook w:firstColumn="1" w:firstRow="1" w:lastColumn="0" w:lastRow="0" w:noHBand="0" w:noVBand="1" w:val="04A0"/>
      </w:tblPr>
      <w:tblGrid>
        <w:gridCol w:w="2898"/>
        <w:gridCol w:w="1932"/>
        <w:gridCol w:w="1835"/>
        <w:gridCol w:w="1449"/>
        <w:gridCol w:w="1545"/>
      </w:tblGrid>
      <w:tr>
        <w:trPr>
          <w:cantSplit/>
          <w:tblHeader/>
        </w:trPr>
        <w:tc>
          <w:tcPr>
            <w:tcW w:type="dxa" w:w="2898"/>
            <w:vAlign w:val="center"/>
            <w:tcMar>
              <w:top w:w="85" w:type="dxa"/>
              <w:left w:w="90" w:type="dxa"/>
              <w:bottom w:w="85" w:type="dxa"/>
              <w:right w:w="90" w:type="dxa"/>
            </w:tcMar>
            <w:shd w:fill="E6EEF3"/>
            <w:tcBorders>
              <w:bottom w:val="single" w:sz="4" w:color="D6E0E6"/>
            </w:tcBorders>
          </w:tcPr>
          <w:p>
            <w:pPr>
              <w:pStyle w:val="TableText"/>
            </w:pPr>
            <w:r>
              <w:rPr>
                <w:b/>
                <w:i w:val="0"/>
                <w:color w:val="15374F"/>
              </w:rPr>
              <w:t>Ensemble, with reminder</w:t>
            </w:r>
          </w:p>
        </w:tc>
        <w:tc>
          <w:tcPr>
            <w:tcW w:type="dxa" w:w="1932"/>
            <w:vAlign w:val="center"/>
            <w:tcMar>
              <w:top w:w="85" w:type="dxa"/>
              <w:left w:w="90" w:type="dxa"/>
              <w:bottom w:w="85" w:type="dxa"/>
              <w:right w:w="90" w:type="dxa"/>
            </w:tcMar>
            <w:shd w:fill="E6EEF3"/>
            <w:tcBorders>
              <w:bottom w:val="single" w:sz="4" w:color="D6E0E6"/>
            </w:tcBorders>
          </w:tcPr>
          <w:p>
            <w:pPr>
              <w:pStyle w:val="TableText"/>
            </w:pPr>
            <w:r>
              <w:rPr>
                <w:b/>
                <w:i w:val="0"/>
                <w:color w:val="15374F"/>
              </w:rPr>
              <w:t>Reported fair probability score, mm</w:t>
            </w:r>
          </w:p>
        </w:tc>
        <w:tc>
          <w:tcPr>
            <w:tcW w:type="dxa" w:w="1835"/>
            <w:vAlign w:val="center"/>
            <w:tcMar>
              <w:top w:w="85" w:type="dxa"/>
              <w:left w:w="90" w:type="dxa"/>
              <w:bottom w:w="85" w:type="dxa"/>
              <w:right w:w="90" w:type="dxa"/>
            </w:tcMar>
            <w:shd w:fill="E6EEF3"/>
            <w:tcBorders>
              <w:bottom w:val="single" w:sz="4" w:color="D6E0E6"/>
            </w:tcBorders>
          </w:tcPr>
          <w:p>
            <w:pPr>
              <w:pStyle w:val="TableText"/>
            </w:pPr>
            <w:r>
              <w:rPr>
                <w:b/>
                <w:i w:val="0"/>
                <w:color w:val="15374F"/>
              </w:rPr>
              <w:t>Dense absolute-error score, mm</w:t>
            </w:r>
          </w:p>
        </w:tc>
        <w:tc>
          <w:tcPr>
            <w:tcW w:type="dxa" w:w="1449"/>
            <w:vAlign w:val="center"/>
            <w:tcMar>
              <w:top w:w="85" w:type="dxa"/>
              <w:left w:w="90" w:type="dxa"/>
              <w:bottom w:w="85" w:type="dxa"/>
              <w:right w:w="90" w:type="dxa"/>
            </w:tcMar>
            <w:shd w:fill="E6EEF3"/>
            <w:tcBorders>
              <w:bottom w:val="single" w:sz="4" w:color="D6E0E6"/>
            </w:tcBorders>
          </w:tcPr>
          <w:p>
            <w:pPr>
              <w:pStyle w:val="TableText"/>
            </w:pPr>
            <w:r>
              <w:rPr>
                <w:b/>
                <w:i w:val="0"/>
                <w:color w:val="15374F"/>
              </w:rPr>
              <w:t>Heavy-rain Brier score</w:t>
            </w:r>
          </w:p>
        </w:tc>
        <w:tc>
          <w:tcPr>
            <w:tcW w:type="dxa" w:w="1545"/>
            <w:vAlign w:val="center"/>
            <w:tcMar>
              <w:top w:w="85" w:type="dxa"/>
              <w:left w:w="90" w:type="dxa"/>
              <w:bottom w:w="85" w:type="dxa"/>
              <w:right w:w="90" w:type="dxa"/>
            </w:tcMar>
            <w:shd w:fill="E6EEF3"/>
            <w:tcBorders>
              <w:bottom w:val="single" w:sz="4" w:color="D6E0E6"/>
            </w:tcBorders>
          </w:tcPr>
          <w:p>
            <w:pPr>
              <w:pStyle w:val="TableText"/>
            </w:pPr>
            <w:r>
              <w:rPr>
                <w:b/>
                <w:i w:val="0"/>
                <w:color w:val="15374F"/>
              </w:rPr>
              <w:t>Mean spread/error ratio</w:t>
            </w:r>
          </w:p>
        </w:tc>
      </w:tr>
      <w:tr>
        <w:trPr>
          <w:cantSplit/>
        </w:trPr>
        <w:tc>
          <w:tcPr>
            <w:tcW w:type="dxa" w:w="2898"/>
            <w:vAlign w:val="center"/>
            <w:tcMar>
              <w:top w:w="85" w:type="dxa"/>
              <w:left w:w="90" w:type="dxa"/>
              <w:bottom w:w="85" w:type="dxa"/>
              <w:right w:w="90" w:type="dxa"/>
            </w:tcMar>
            <w:shd w:fill="FFFFFF"/>
            <w:tcBorders>
              <w:bottom w:val="single" w:sz="4" w:color="D6E0E6"/>
            </w:tcBorders>
          </w:tcPr>
          <w:p>
            <w:pPr>
              <w:pStyle w:val="TableText"/>
            </w:pPr>
            <w:r>
              <w:rPr>
                <w:b w:val="0"/>
                <w:i w:val="0"/>
              </w:rPr>
              <w:t>Four compression variants</w:t>
            </w:r>
          </w:p>
        </w:tc>
        <w:tc>
          <w:tcPr>
            <w:tcW w:type="dxa" w:w="1932"/>
            <w:vAlign w:val="center"/>
            <w:tcMar>
              <w:top w:w="85" w:type="dxa"/>
              <w:left w:w="90" w:type="dxa"/>
              <w:bottom w:w="85" w:type="dxa"/>
              <w:right w:w="90" w:type="dxa"/>
            </w:tcMar>
            <w:shd w:fill="FFFFFF"/>
            <w:tcBorders>
              <w:bottom w:val="single" w:sz="4" w:color="D6E0E6"/>
            </w:tcBorders>
          </w:tcPr>
          <w:p>
            <w:pPr>
              <w:pStyle w:val="TableText"/>
            </w:pPr>
            <w:r>
              <w:rPr>
                <w:b w:val="0"/>
                <w:i w:val="0"/>
              </w:rPr>
              <w:t>0.775127</w:t>
            </w:r>
          </w:p>
        </w:tc>
        <w:tc>
          <w:tcPr>
            <w:tcW w:type="dxa" w:w="1835"/>
            <w:vAlign w:val="center"/>
            <w:tcMar>
              <w:top w:w="85" w:type="dxa"/>
              <w:left w:w="90" w:type="dxa"/>
              <w:bottom w:w="85" w:type="dxa"/>
              <w:right w:w="90" w:type="dxa"/>
            </w:tcMar>
            <w:shd w:fill="FFFFFF"/>
            <w:tcBorders>
              <w:bottom w:val="single" w:sz="4" w:color="D6E0E6"/>
            </w:tcBorders>
          </w:tcPr>
          <w:p>
            <w:pPr>
              <w:pStyle w:val="TableText"/>
            </w:pPr>
            <w:r>
              <w:rPr>
                <w:b w:val="0"/>
                <w:i w:val="0"/>
              </w:rPr>
              <w:t>0.825864</w:t>
            </w:r>
          </w:p>
        </w:tc>
        <w:tc>
          <w:tcPr>
            <w:tcW w:type="dxa" w:w="1449"/>
            <w:vAlign w:val="center"/>
            <w:tcMar>
              <w:top w:w="85" w:type="dxa"/>
              <w:left w:w="90" w:type="dxa"/>
              <w:bottom w:w="85" w:type="dxa"/>
              <w:right w:w="90" w:type="dxa"/>
            </w:tcMar>
            <w:shd w:fill="FFFFFF"/>
            <w:tcBorders>
              <w:bottom w:val="single" w:sz="4" w:color="D6E0E6"/>
            </w:tcBorders>
          </w:tcPr>
          <w:p>
            <w:pPr>
              <w:pStyle w:val="TableText"/>
            </w:pPr>
            <w:r>
              <w:rPr>
                <w:b w:val="0"/>
                <w:i w:val="0"/>
              </w:rPr>
              <w:t>0.005806</w:t>
            </w:r>
          </w:p>
        </w:tc>
        <w:tc>
          <w:tcPr>
            <w:tcW w:type="dxa" w:w="1545"/>
            <w:vAlign w:val="center"/>
            <w:tcMar>
              <w:top w:w="85" w:type="dxa"/>
              <w:left w:w="90" w:type="dxa"/>
              <w:bottom w:w="85" w:type="dxa"/>
              <w:right w:w="90" w:type="dxa"/>
            </w:tcMar>
            <w:shd w:fill="FFFFFF"/>
            <w:tcBorders>
              <w:bottom w:val="single" w:sz="4" w:color="D6E0E6"/>
            </w:tcBorders>
          </w:tcPr>
          <w:p>
            <w:pPr>
              <w:pStyle w:val="TableText"/>
            </w:pPr>
            <w:r>
              <w:rPr>
                <w:b w:val="0"/>
                <w:i w:val="0"/>
              </w:rPr>
              <w:t>0.132104</w:t>
            </w:r>
          </w:p>
        </w:tc>
      </w:tr>
      <w:tr>
        <w:trPr>
          <w:cantSplit/>
        </w:trPr>
        <w:tc>
          <w:tcPr>
            <w:tcW w:type="dxa" w:w="2898"/>
            <w:vAlign w:val="center"/>
            <w:tcMar>
              <w:top w:w="85" w:type="dxa"/>
              <w:left w:w="90" w:type="dxa"/>
              <w:bottom w:w="85" w:type="dxa"/>
              <w:right w:w="90" w:type="dxa"/>
            </w:tcMar>
            <w:shd w:fill="F4F7F9"/>
            <w:tcBorders>
              <w:bottom w:val="single" w:sz="4" w:color="D6E0E6"/>
            </w:tcBorders>
          </w:tcPr>
          <w:p>
            <w:pPr>
              <w:pStyle w:val="TableText"/>
            </w:pPr>
            <w:r>
              <w:rPr>
                <w:b w:val="0"/>
                <w:i w:val="0"/>
              </w:rPr>
              <w:t>Five variants, including aggressive four-bit</w:t>
            </w:r>
          </w:p>
        </w:tc>
        <w:tc>
          <w:tcPr>
            <w:tcW w:type="dxa" w:w="1932"/>
            <w:vAlign w:val="center"/>
            <w:tcMar>
              <w:top w:w="85" w:type="dxa"/>
              <w:left w:w="90" w:type="dxa"/>
              <w:bottom w:w="85" w:type="dxa"/>
              <w:right w:w="90" w:type="dxa"/>
            </w:tcMar>
            <w:shd w:fill="F4F7F9"/>
            <w:tcBorders>
              <w:bottom w:val="single" w:sz="4" w:color="D6E0E6"/>
            </w:tcBorders>
          </w:tcPr>
          <w:p>
            <w:pPr>
              <w:pStyle w:val="TableText"/>
            </w:pPr>
            <w:r>
              <w:rPr>
                <w:b w:val="0"/>
                <w:i w:val="0"/>
              </w:rPr>
              <w:t>0.730858</w:t>
            </w:r>
          </w:p>
        </w:tc>
        <w:tc>
          <w:tcPr>
            <w:tcW w:type="dxa" w:w="1835"/>
            <w:vAlign w:val="center"/>
            <w:tcMar>
              <w:top w:w="85" w:type="dxa"/>
              <w:left w:w="90" w:type="dxa"/>
              <w:bottom w:w="85" w:type="dxa"/>
              <w:right w:w="90" w:type="dxa"/>
            </w:tcMar>
            <w:shd w:fill="F4F7F9"/>
            <w:tcBorders>
              <w:bottom w:val="single" w:sz="4" w:color="D6E0E6"/>
            </w:tcBorders>
          </w:tcPr>
          <w:p>
            <w:pPr>
              <w:pStyle w:val="TableText"/>
            </w:pPr>
            <w:r>
              <w:rPr>
                <w:b w:val="0"/>
                <w:i w:val="0"/>
              </w:rPr>
              <w:t>0.825864</w:t>
            </w:r>
          </w:p>
        </w:tc>
        <w:tc>
          <w:tcPr>
            <w:tcW w:type="dxa" w:w="1449"/>
            <w:vAlign w:val="center"/>
            <w:tcMar>
              <w:top w:w="85" w:type="dxa"/>
              <w:left w:w="90" w:type="dxa"/>
              <w:bottom w:w="85" w:type="dxa"/>
              <w:right w:w="90" w:type="dxa"/>
            </w:tcMar>
            <w:shd w:fill="F4F7F9"/>
            <w:tcBorders>
              <w:bottom w:val="single" w:sz="4" w:color="D6E0E6"/>
            </w:tcBorders>
          </w:tcPr>
          <w:p>
            <w:pPr>
              <w:pStyle w:val="TableText"/>
            </w:pPr>
            <w:r>
              <w:rPr>
                <w:b w:val="0"/>
                <w:i w:val="0"/>
              </w:rPr>
              <w:t>0.005709</w:t>
            </w:r>
          </w:p>
        </w:tc>
        <w:tc>
          <w:tcPr>
            <w:tcW w:type="dxa" w:w="1545"/>
            <w:vAlign w:val="center"/>
            <w:tcMar>
              <w:top w:w="85" w:type="dxa"/>
              <w:left w:w="90" w:type="dxa"/>
              <w:bottom w:w="85" w:type="dxa"/>
              <w:right w:w="90" w:type="dxa"/>
            </w:tcMar>
            <w:shd w:fill="F4F7F9"/>
            <w:tcBorders>
              <w:bottom w:val="single" w:sz="4" w:color="D6E0E6"/>
            </w:tcBorders>
          </w:tcPr>
          <w:p>
            <w:pPr>
              <w:pStyle w:val="TableText"/>
            </w:pPr>
            <w:r>
              <w:rPr>
                <w:b w:val="0"/>
                <w:i w:val="0"/>
              </w:rPr>
              <w:t>0.385825</w:t>
            </w:r>
          </w:p>
        </w:tc>
      </w:tr>
    </w:tbl>
    <w:p>
      <w:pPr>
        <w:spacing w:after="60" w:before="0" w:line="240" w:lineRule="auto"/>
      </w:pPr>
      <w:r>
        <w:rPr>
          <w:sz w:val="2"/>
        </w:rPr>
      </w:r>
    </w:p>
    <w:p>
      <w:r>
        <w:rPr>
          <w:b w:val="0"/>
          <w:i w:val="0"/>
        </w:rPr>
        <w:t>The dense Brier score in the same table is about 0.006003. The probability score is labelled fair CRPS (finite-ensemble corrected continuous ranked probability score) in the code. Lower values are better under the implemented calculation. The table's spread/error quantities are means of row-level ratios, not one pooled global ratio. [F4; calculations from per-lead table]</w:t>
      </w:r>
    </w:p>
    <w:p>
      <w:r>
        <w:rPr>
          <w:b w:val="0"/>
          <w:i w:val="0"/>
        </w:rPr>
        <w:t>The members were much less spread out than the ensemble-mean error. That flags underdispersion in these diagnostics, not a calibrated operational uncertainty model. Their differences may partly counteract dense bias. The simulated members do not save native compute, and using several models has a cost that must be counted.</w:t>
      </w:r>
    </w:p>
    <w:p>
      <w:r>
        <w:rPr>
          <w:b w:val="0"/>
          <w:i w:val="0"/>
        </w:rPr>
      </w:r>
      <w:r>
        <w:rPr>
          <w:b/>
          <w:i w:val="0"/>
        </w:rPr>
        <w:t>Additional methodological caution:</w:t>
      </w:r>
      <w:r>
        <w:rPr>
          <w:b w:val="0"/>
          <w:i w:val="0"/>
        </w:rPr>
        <w:t xml:space="preserve"> the finite-ensemble correction is computed algebraically, but the members are heterogeneous deterministic compression policies, not demonstrated independent draws from one predictive distribution. Report the ordinary empirical probability score as well; do not assume the “fair” label alone validates the forecast probabilities. The equal-size perturbed-initial-condition comparison is still pending in the supplied completed receipt. [F3; methodological interpretation]</w:t>
      </w:r>
    </w:p>
    <w:p>
      <w:pPr>
        <w:pStyle w:val="Heading2"/>
      </w:pPr>
      <w:r>
        <w:rPr>
          <w:b w:val="0"/>
          <w:i w:val="0"/>
        </w:rPr>
        <w:t>15.3 J.2 (physical crop queries): a better diagnosed, still failing probe</w:t>
      </w:r>
    </w:p>
    <w:p>
      <w:r>
        <w:rPr>
          <w:b w:val="0"/>
          <w:i w:val="0"/>
        </w:rPr>
        <w:t>The narrative reports that patch-aligned crops changed the grouping of attention windows, while window-aligned crops restored much of the lost fidelity. The inspected code uses a coarsest lattice of 96 by 192 grid cells, corresponding to 24 by 48 degrees on this grid. It tests a smallest aligned box and an expanded aligned box. The diagnostic uses six saved blocks from two calibration dates on the US West Coast, with cropped intermediate hours 1–5 and the full dense hour-6 update. This is not six independent full forecasts. [F1; F5]</w:t>
      </w:r>
    </w:p>
    <w:p>
      <w:r>
        <w:rPr>
          <w:b w:val="0"/>
          <w:i w:val="0"/>
        </w:rPr>
        <w:t>Reported results: the smallest aligned crop covers about 7.1% of the globe and has block error 0.79 times the three-query comparator's disagreement; the larger crop covers about 28% and gives 0.83 times. The frozen pass threshold was at most 0.5 times, so neither passes. Original unaligned variants were about 6.3–8.4 times worse than that comparator. [F1]</w:t>
      </w:r>
    </w:p>
    <w:p>
      <w:r>
        <w:rPr>
          <w:b w:val="0"/>
          <w:i w:val="0"/>
        </w:rPr>
        <w:t xml:space="preserve">The narrative's five-call eager timings are about 0.44 seconds for the small crop, 1.66 seconds for the larger one and 6.06 seconds for the globe. These are indicative operator-path measurements, not a complete five-day deployed product. The successful diagnostic receipt and row tables cited by the narrative are absent from this archive, so these figures are </w:t>
      </w:r>
      <w:r>
        <w:rPr>
          <w:b/>
          <w:i w:val="0"/>
        </w:rPr>
        <w:t>reported</w:t>
      </w:r>
      <w:r>
        <w:rPr>
          <w:b w:val="0"/>
          <w:i w:val="0"/>
        </w:rPr>
        <w:t>, not independently recalculated here. [F1; archive inventory]</w:t>
      </w:r>
    </w:p>
    <w:p>
      <w:r>
        <w:rPr>
          <w:b w:val="0"/>
          <w:i w:val="0"/>
        </w:rPr>
        <w:t>The full-globe-through-crop identity is explicitly checked in the supplied code at fine lead 1 for each saved block, not as a bitwise assertion for every fine lead. The narrative's “6/6 bit-identical” statement should be read in that check's scope. The test strongly implicates window regrouping, but does not uniquely isolate every boundary or positional effect. [F5]</w:t>
      </w:r>
    </w:p>
    <w:p>
      <w:r>
        <w:rPr>
          <w:b w:val="0"/>
          <w:i w:val="0"/>
        </w:rPr>
        <w:t>Central Europe remains unsupported by this crop implementation because of longitude ordering and the positional representation reported in the follow-up. This is a limitation of the current tested path, not a proof that no future boundary-consistent regional method is possible. Simply wrapping longitudes or increasing margins is not a qualified remedy. [F1; proposed interpretation]</w:t>
      </w:r>
    </w:p>
    <w:p>
      <w:pPr>
        <w:pStyle w:val="Heading2"/>
      </w:pPr>
      <w:r>
        <w:rPr>
          <w:b w:val="0"/>
          <w:i w:val="0"/>
        </w:rPr>
        <w:t>15.4 J.1 (perturbed-initial-condition ensemble): diagnostic reported, rerun incomplete</w:t>
      </w:r>
    </w:p>
    <w:p>
      <w:r>
        <w:rPr>
          <w:b w:val="0"/>
          <w:i w:val="0"/>
        </w:rPr>
        <w:t>The experiment adds seeded small perturbations to initial weather fields and studies a dense forecast ensemble. It is a sensitivity experiment, not a determinism test: its members deliberately have different inputs. The diagnostic separately repeats an unperturbed input as a repeatability control. [F1; F5]</w:t>
      </w:r>
    </w:p>
    <w:p>
      <w:r>
        <w:rPr>
          <w:b w:val="0"/>
          <w:i w:val="0"/>
        </w:rPr>
        <w:t>The reported median first-hour rainfall responses for perturbation sizes 0.0001, 0.001, 0.003, 0.01, 0.03 and 0.1 were about 0.0033, 0.0049, 0.0067, 0.0138, 0.0397 and 0.104 mm. The frozen response rule selected 0.01. The low-dose plateau and repeatable unperturbed outputs are consistent with limited numerical resolution, but the optional full-precision-backbone check failed with a dtype mismatch and was removed. Therefore the proposed rounding mechanism was not conclusively isolated by that additional control. The report's physical interpretation of perturbation size is not a validated observational-error model. [F1; F5; F6]</w:t>
      </w:r>
    </w:p>
    <w:p>
      <w:r>
        <w:rPr>
          <w:b w:val="0"/>
          <w:i w:val="0"/>
        </w:rPr>
        <w:t xml:space="preserve">The first ensemble attempt stopped when another user's graphics job appeared. The archived waiter log then records the retry launching at </w:t>
      </w:r>
      <w:r>
        <w:rPr>
          <w:b/>
          <w:i w:val="0"/>
        </w:rPr>
        <w:t>11:05 UTC on 9 October 2026</w:t>
      </w:r>
      <w:r>
        <w:rPr>
          <w:b w:val="0"/>
          <w:i w:val="0"/>
        </w:rPr>
        <w:t xml:space="preserve">, whereas the earlier narrative still calls it waiting. The retry log shows execution warnings, but no final completion receipt or final ensemble analysis is attached. The defensible status is </w:t>
      </w:r>
      <w:r>
        <w:rPr>
          <w:b/>
          <w:i w:val="0"/>
        </w:rPr>
        <w:t>restarted, final outcome unavailable in this upload</w:t>
      </w:r>
      <w:r>
        <w:rPr>
          <w:b w:val="0"/>
          <w:i w:val="0"/>
        </w:rPr>
        <w:t>. It is not safe to assume the process is currently running or to launch a duplicate. [F6; F7]</w:t>
      </w:r>
    </w:p>
    <w:p>
      <w:r>
        <w:rPr>
          <w:b w:val="0"/>
          <w:i w:val="0"/>
        </w:rPr>
        <w:t>The original rank and spread checks may be reproduced as frozen descriptive diagnostics, but should not certify acceptable rainfall harm. The two regions share a forecast start, rank observations are dependent, and exchangeability is not established merely by perturbing inputs. Passing a spread floor or lying within an ensemble range does not replace reference-error and event validation.</w:t>
      </w:r>
    </w:p>
    <w:p>
      <w:pPr>
        <w:pStyle w:val="Heading2"/>
      </w:pPr>
      <w:r>
        <w:rPr>
          <w:b w:val="0"/>
          <w:i w:val="0"/>
        </w:rPr>
        <w:t>15.5 J.3 (latent interpolation) and E (four-bit residual repair): preserve valid negatives</w:t>
      </w:r>
    </w:p>
    <w:p>
      <w:r>
        <w:rPr>
          <w:b w:val="0"/>
          <w:i w:val="0"/>
        </w:rPr>
        <w:t>The narrative reports a correctly refreshed anchor and exact latent decode identity in 72/72 checks for J.3 (interpolate internal features between queries). The anchored and unanchored variants had error ratios 0.81 and 1.34 relative to the two-query comparator, with a pass rule at most 0.5. This is a genuine reported failure of those tested interpolators, not a pending bug fix. Its denominator differs from the crop probe's three-query denominator, so comparing 0.81 and 0.79 directly would be invalid. [F1]</w:t>
      </w:r>
    </w:p>
    <w:p>
      <w:r>
        <w:rPr>
          <w:b w:val="0"/>
          <w:i w:val="0"/>
        </w:rPr>
        <w:t xml:space="preserve">E (the repaired simulated-four-bit low-rank experiment) also remains a genuine reported negative, as explained in Section 9. The D-family variants (intermediate block-bypass experiments) were mixed compiled/eager and untimed according to the follow-up. </w:t>
      </w:r>
      <w:r>
        <w:rPr>
          <w:rFonts w:ascii="DejaVu Sans Mono" w:hAnsi="DejaVu Sans Mono"/>
          <w:b w:val="0"/>
          <w:i w:val="0"/>
          <w:color w:val="3F5666"/>
          <w:sz w:val="18"/>
        </w:rPr>
        <w:t>skipU25</w:t>
      </w:r>
      <w:r>
        <w:rPr>
          <w:b w:val="0"/>
          <w:i w:val="0"/>
        </w:rPr>
        <w:t xml:space="preserve"> is a recorded candidate identifier, but its exact block list is not supplied here; it must be resolved in the live registry before a confirmation experiment is specified. [F1]</w:t>
      </w:r>
    </w:p>
    <w:p>
      <w:bookmarkStart w:id="18" w:name="section_17"/>
      <w:pPr>
        <w:pStyle w:val="Heading1"/>
      </w:pPr>
      <w:r>
        <w:rPr>
          <w:b w:val="0"/>
          <w:i w:val="0"/>
        </w:rPr>
        <w:t>16. Updated failures and the conclusions they permit</w:t>
      </w:r>
      <w:bookmarkEnd w:id="18"/>
    </w:p>
    <w:p>
      <w:r>
        <w:rPr>
          <w:b w:val="0"/>
          <w:i w:val="0"/>
        </w:rPr>
      </w:r>
      <w:r>
        <w:rPr>
          <w:b/>
          <w:i w:val="0"/>
        </w:rPr>
        <w:t>Normalisation mismatch:</w:t>
      </w:r>
      <w:r>
        <w:rPr>
          <w:b w:val="0"/>
          <w:i w:val="0"/>
        </w:rPr>
        <w:t xml:space="preserve"> an adapter fault was repaired. Preserve the affected-results ledger and correct preprocessing; do not attribute those changes to compression.</w:t>
      </w:r>
    </w:p>
    <w:p>
      <w:r>
        <w:rPr>
          <w:b w:val="0"/>
          <w:i w:val="0"/>
        </w:rPr>
      </w:r>
      <w:r>
        <w:rPr>
          <w:b/>
          <w:i w:val="0"/>
        </w:rPr>
        <w:t>Hash-contaminated hybrid timing:</w:t>
      </w:r>
      <w:r>
        <w:rPr>
          <w:b w:val="0"/>
          <w:i w:val="0"/>
        </w:rPr>
        <w:t xml:space="preserve"> the timing contract was wrong. Remeasure the actual product with diagnostics outside the timer; this does not refute dense state protection.</w:t>
      </w:r>
    </w:p>
    <w:p>
      <w:r>
        <w:rPr>
          <w:b w:val="0"/>
          <w:i w:val="0"/>
        </w:rPr>
      </w:r>
      <w:r>
        <w:rPr>
          <w:b/>
          <w:i w:val="0"/>
        </w:rPr>
        <w:t>Separate-construction precision discrepancies:</w:t>
      </w:r>
      <w:r>
        <w:rPr>
          <w:b w:val="0"/>
          <w:i w:val="0"/>
        </w:rPr>
        <w:t xml:space="preserve"> fields changed across execution contexts. Bind quality to the timed construction and qualify repeatability; do not average unlike recipes.</w:t>
      </w:r>
    </w:p>
    <w:p>
      <w:r>
        <w:rPr>
          <w:b w:val="0"/>
          <w:i w:val="0"/>
        </w:rPr>
      </w:r>
      <w:r>
        <w:rPr>
          <w:b/>
          <w:i w:val="0"/>
        </w:rPr>
        <w:t>Attention scheduling increased memory:</w:t>
      </w:r>
      <w:r>
        <w:rPr>
          <w:b w:val="0"/>
          <w:i w:val="0"/>
        </w:rPr>
        <w:t xml:space="preserve"> the tested operator redesign missed its engineering objective. Preserve it as a measured negative; redesign a specific live tensor owner rather than claiming an unmeasured full-product saving.</w:t>
      </w:r>
    </w:p>
    <w:p>
      <w:r>
        <w:rPr>
          <w:b w:val="0"/>
          <w:i w:val="0"/>
        </w:rPr>
      </w:r>
      <w:r>
        <w:rPr>
          <w:b/>
          <w:i w:val="0"/>
        </w:rPr>
        <w:t>Originally broken four-bit rank repair:</w:t>
      </w:r>
      <w:r>
        <w:rPr>
          <w:b w:val="0"/>
          <w:i w:val="0"/>
        </w:rPr>
        <w:t xml:space="preserve"> construction was subsequently repaired and the rollout worsened. Preserve both stages. Do not keep calling the scientific comparison unrun. [H; F1]</w:t>
      </w:r>
    </w:p>
    <w:p>
      <w:r>
        <w:rPr>
          <w:b w:val="0"/>
          <w:i w:val="0"/>
        </w:rPr>
      </w:r>
      <w:r>
        <w:rPr>
          <w:b/>
          <w:i w:val="0"/>
        </w:rPr>
        <w:t>Timestamp join in adaptive/ensemble scoring:</w:t>
      </w:r>
      <w:r>
        <w:rPr>
          <w:b w:val="0"/>
          <w:i w:val="0"/>
        </w:rPr>
        <w:t xml:space="preserve"> the follow-up fixed nanosecond/microsecond comparison and produced completed replay receipts. This was a metadata bug, not a failed adaptation idea. [F3; F4]</w:t>
      </w:r>
    </w:p>
    <w:p>
      <w:r>
        <w:rPr>
          <w:b w:val="0"/>
          <w:i w:val="0"/>
        </w:rPr>
      </w:r>
      <w:r>
        <w:rPr>
          <w:b/>
          <w:i w:val="0"/>
        </w:rPr>
        <w:t>Window-misaligned physical crops:</w:t>
      </w:r>
      <w:r>
        <w:rPr>
          <w:b w:val="0"/>
          <w:i w:val="0"/>
        </w:rPr>
        <w:t xml:space="preserve"> alignment greatly improved reported error, but the selected aligned candidates still missed the frozen pass threshold. The remaining cause is unresolved. Do not reduce the gate after seeing 0.79. [F1; F5]</w:t>
      </w:r>
    </w:p>
    <w:p>
      <w:r>
        <w:rPr>
          <w:b w:val="0"/>
          <w:i w:val="0"/>
        </w:rPr>
      </w:r>
      <w:r>
        <w:rPr>
          <w:b/>
          <w:i w:val="0"/>
        </w:rPr>
        <w:t>Noise-ensemble interruption:</w:t>
      </w:r>
      <w:r>
        <w:rPr>
          <w:b w:val="0"/>
          <w:i w:val="0"/>
        </w:rPr>
        <w:t xml:space="preserve"> the occupancy guard stopped as designed. The retry launched, but completion is not in the upload. Preserve attempts, reconcile live state and never touch another user's jobs. [F6; F7]</w:t>
      </w:r>
    </w:p>
    <w:p>
      <w:r>
        <w:rPr>
          <w:b w:val="0"/>
          <w:i w:val="0"/>
        </w:rPr>
      </w:r>
      <w:r>
        <w:rPr>
          <w:b/>
          <w:i w:val="0"/>
        </w:rPr>
        <w:t>Independent-data admission:</w:t>
      </w:r>
      <w:r>
        <w:rPr>
          <w:b w:val="0"/>
          <w:i w:val="0"/>
        </w:rPr>
        <w:t xml:space="preserve"> the older campaign admitted zero independent confirmation starts despite spare compute. The newer archive does not provide a complete exposure ledger for the mentioned held-out assets. Secure and freeze the actual evaluation inputs and references before consuming the next campaign's main compute. [H, “Independent evidence exists”; F1]</w:t>
      </w:r>
    </w:p>
    <w:p>
      <w:bookmarkStart w:id="19" w:name="section_18"/>
      <w:pPr>
        <w:pStyle w:val="Heading1"/>
      </w:pPr>
      <w:r>
        <w:rPr>
          <w:b w:val="0"/>
          <w:i w:val="0"/>
        </w:rPr>
        <w:t>17. A creative but testable next roadmap</w:t>
      </w:r>
      <w:bookmarkEnd w:id="19"/>
    </w:p>
    <w:p>
      <w:pPr>
        <w:pStyle w:val="Heading2"/>
      </w:pPr>
      <w:r>
        <w:rPr>
          <w:b w:val="0"/>
          <w:i w:val="0"/>
        </w:rPr>
        <w:t>17.1 Keep the two branches connected without confusing their claims</w:t>
      </w:r>
    </w:p>
    <w:p>
      <w:r>
        <w:rPr>
          <w:b w:val="0"/>
          <w:i w:val="0"/>
        </w:rPr>
      </w:r>
      <w:r>
        <w:rPr>
          <w:b/>
          <w:i w:val="0"/>
        </w:rPr>
        <w:t>Primary branch: compressed free-rollout recovery.</w:t>
      </w:r>
      <w:r>
        <w:rPr>
          <w:b w:val="0"/>
          <w:i w:val="0"/>
        </w:rPr>
        <w:t xml:space="preserve"> The intended deliverable is a model whose own weather updates remain useful at lower measured deployment cost. The decisive comparison is against an equally small, ordinary recovery method under the same native precision and product contract.</w:t>
      </w:r>
    </w:p>
    <w:p>
      <w:r>
        <w:rPr>
          <w:b w:val="0"/>
          <w:i w:val="0"/>
        </w:rPr>
      </w:r>
      <w:r>
        <w:rPr>
          <w:b/>
          <w:i w:val="0"/>
        </w:rPr>
        <w:t>Supporting branch: efficient rainfall production on protected weather history.</w:t>
      </w:r>
      <w:r>
        <w:rPr>
          <w:b w:val="0"/>
          <w:i w:val="0"/>
        </w:rPr>
        <w:t xml:space="preserve"> Exact decoding specialisation, sparse queries and adaptive escalation provide a strong product baseline and reveal how much error remains after state drift is removed. They can succeed independently, but they do not solve aggressive compression of the recurrent weather state.</w:t>
      </w:r>
    </w:p>
    <w:p>
      <w:r>
        <w:rPr>
          <w:b w:val="0"/>
          <w:i w:val="0"/>
        </w:rPr>
        <w:t>A success in either branch is valuable when described accurately. Neither branch should be used to hide a failure in the other.</w:t>
      </w:r>
    </w:p>
    <w:p>
      <w:pPr>
        <w:pStyle w:val="Heading2"/>
      </w:pPr>
      <w:r>
        <w:rPr>
          <w:b w:val="0"/>
          <w:i w:val="0"/>
        </w:rPr>
        <w:t>17.2 Proposed experiment: learn on the histories the compressed model visits</w:t>
      </w:r>
    </w:p>
    <w:p>
      <w:r>
        <w:rPr>
          <w:b w:val="0"/>
          <w:i w:val="0"/>
        </w:rPr>
        <w:t>Use one fixed, small correction architecture and one frozen quantizer. Train a one-step control on clean histories and teacher outputs. Train a matched arm on histories generated by the compressed student, querying the teacher on those same histories. Train a third arm on student histories with an additional, frozen delayed-rainfall-sensitive weighting or short unrolled objective. Match trainable parameters, exposure to data and total training work; report any unavoidable cost differences.</w:t>
      </w:r>
    </w:p>
    <w:p>
      <w:r>
        <w:rPr>
          <w:b w:val="0"/>
          <w:i w:val="0"/>
        </w:rPr>
        <w:t xml:space="preserve">The hypothesis is not “distillation is novel.” It is: </w:t>
      </w:r>
      <w:r>
        <w:rPr>
          <w:b/>
          <w:i w:val="0"/>
        </w:rPr>
        <w:t>a recovery objective focused on error directions that become harmful later improves independent rainfall more than reducing immediate mismatch at the same cost</w:t>
      </w:r>
      <w:r>
        <w:rPr>
          <w:b w:val="0"/>
          <w:i w:val="0"/>
        </w:rPr>
        <w:t>. The repaired rank failure makes that distinction especially relevant. Teacher guidance and dataset aggregation are known ideas; the weather-specific propagation result still has to be demonstrated. [W3; proposed design]</w:t>
      </w:r>
    </w:p>
    <w:p>
      <w:r>
        <w:rPr>
          <w:b w:val="0"/>
          <w:i w:val="0"/>
        </w:rPr>
        <w:t>Start with a bounded feasibility probe. If the gradients, training memory or native deployment path are not viable, record that precisely and use a prespecified small activation-aware reconstruction alternative. A simulated four-bit success is scientific feasibility only until a real packed deployment is measured.</w:t>
      </w:r>
    </w:p>
    <w:p>
      <w:pPr>
        <w:pStyle w:val="Heading2"/>
      </w:pPr>
      <w:r>
        <w:rPr>
          <w:b w:val="0"/>
          <w:i w:val="0"/>
        </w:rPr>
        <w:t>17.3 Proposed experiment: audit what a sparse rainfall trigger cannot see</w:t>
      </w:r>
    </w:p>
    <w:p>
      <w:r>
        <w:rPr>
          <w:b w:val="0"/>
          <w:i w:val="0"/>
        </w:rPr>
        <w:t>The existing magnitude trigger only sees hours 3 and 6. A consequential peak between those hours can be invisible to it. Add a small, fixed exploration budget: randomly selected blocks or a deterministic predeclared schedule receive one sentinel query even when the magnitude trigger stays low. Use its contrast to decide whether to request the remaining hours.</w:t>
      </w:r>
    </w:p>
    <w:p>
      <w:r>
        <w:rPr>
          <w:b w:val="0"/>
          <w:i w:val="0"/>
        </w:rPr>
        <w:t xml:space="preserve">Compare against the existing magnitude-10 rule, a static schedule and random full-block escalation at comparable measured cost. Keep the dense weather update unchanged. The interesting contribution would be </w:t>
      </w:r>
      <w:r>
        <w:rPr>
          <w:b/>
          <w:i w:val="0"/>
        </w:rPr>
        <w:t>better heavy-rain fidelity from detecting blind spots</w:t>
      </w:r>
      <w:r>
        <w:rPr>
          <w:b w:val="0"/>
          <w:i w:val="0"/>
        </w:rPr>
        <w:t>, not merely adding more queries. A truly unseen peak cannot be detected with certainty from two observations alone, so claims should be empirical and support-limited.</w:t>
      </w:r>
    </w:p>
    <w:p>
      <w:pPr>
        <w:pStyle w:val="Heading2"/>
      </w:pPr>
      <w:r>
        <w:rPr>
          <w:b w:val="0"/>
          <w:i w:val="0"/>
        </w:rPr>
        <w:t>17.4 Proposed experiment: exchange boundary information instead of cropping blindly</w:t>
      </w:r>
    </w:p>
    <w:p>
      <w:r>
        <w:rPr>
          <w:b w:val="0"/>
          <w:i w:val="0"/>
        </w:rPr>
        <w:t>The improved aligned crop suggests that respecting the backbone's coordinate and window structure is crucial. Rather than merely adding a larger rectangular margin, test a crop with an explicitly defined boundary context drawn from a dense anchor already computed for the block. A boundary ring or selected global feature context may be cheaper than repeating the entire global backbone on every intermediate query.</w:t>
      </w:r>
    </w:p>
    <w:p>
      <w:r>
        <w:rPr>
          <w:b w:val="0"/>
          <w:i w:val="0"/>
        </w:rPr>
        <w:t>This is an unconventional hypothesis, not a demonstrated exact cache. The crop must preserve absolute coordinates and window phase; an earlier feature may be lead-dependent; refreshing or storing the boundary costs memory and latency. Controls should include aligned crop alone, larger aligned crop, global rain-only decoding and equal-cost sparse queries. The full-globe identity must pass at all relevant fine leads before interpreting remaining regional errors meteorologically.</w:t>
      </w:r>
    </w:p>
    <w:p>
      <w:pPr>
        <w:pStyle w:val="Heading2"/>
      </w:pPr>
      <w:r>
        <w:rPr>
          <w:b w:val="0"/>
          <w:i w:val="0"/>
        </w:rPr>
        <w:t>17.5 Proposed experiment: protect transport directions rather than large residuals</w:t>
      </w:r>
    </w:p>
    <w:p>
      <w:r>
        <w:rPr>
          <w:b w:val="0"/>
          <w:i w:val="0"/>
        </w:rPr>
        <w:t>The wind rescue and the failed plain weight reconstruction motivate a small state correction that targets displacement/transport-sensitive directions. A local flow-conditioned displacement or a low-rank direction-sensitive correction is a candidate, not an established physical model. Compare it with an equal-size generic state correction and a norm-matched random-direction control.</w:t>
      </w:r>
    </w:p>
    <w:p>
      <w:r>
        <w:rPr>
          <w:b w:val="0"/>
          <w:i w:val="0"/>
        </w:rPr>
        <w:t xml:space="preserve">First use bounded diagnostics: joint wind/moisture rescue, early/late pulses, and constrained spatial/time alignment. Reference-informed alignment is an </w:t>
      </w:r>
      <w:r>
        <w:rPr>
          <w:b/>
          <w:i w:val="0"/>
        </w:rPr>
        <w:t>oracle diagnostic</w:t>
      </w:r>
      <w:r>
        <w:rPr>
          <w:b w:val="0"/>
          <w:i w:val="0"/>
        </w:rPr>
        <w:t xml:space="preserve"> and cannot be used as free deployed postprocessing. Learn any deployed correction only from permissible current inputs and training data. Preserve sign, magnitude and consistency checks rather than changing arbitrary state variables until a score looks better.</w:t>
      </w:r>
    </w:p>
    <w:p>
      <w:r>
        <w:rPr>
          <w:b w:val="0"/>
          <w:i w:val="0"/>
        </w:rPr>
        <w:t>The original roadmap also proposed fixed/sensitivity-selected/random intermediate block bypass, reuse of internal features between queries, joint wind-plus-moisture rescue and half/full/reversed direction pulses where the resulting state remains valid. Block bypass changes the active computation graph; internal reuse can introduce lead-dependent approximation error; pulses diagnose response to an injected direction rather than implement a deployable repair. The follow-up does not establish a qualified winning bypass or general feature-cache method. The already tested simple latent interpolators remain reported negatives, rather than being relabelled as unrun proposals. [H, “Proposed creative experiments”; F1]</w:t>
      </w:r>
    </w:p>
    <w:p>
      <w:pPr>
        <w:pStyle w:val="Heading2"/>
      </w:pPr>
      <w:r>
        <w:rPr>
          <w:b w:val="0"/>
          <w:i w:val="0"/>
        </w:rPr>
        <w:t>17.6 What is not yet a novelty claim</w:t>
      </w:r>
    </w:p>
    <w:p>
      <w:r>
        <w:rPr>
          <w:b w:val="0"/>
          <w:i w:val="0"/>
        </w:rPr>
        <w:t>Low-rank factors, activation-aware quantization, teacher-student training, adaptive sampling, feature reuse and ensemble scoring are established building blocks or broad methodological ideas. A fresh label is not a contribution. GPTQ-style compensation and GPTAQ-style asymmetric calibration already address layer-level quantization error; dataset aggregation already addresses learner-induced input shift. Their existing results are not evidence of Aurora rainfall gains. [W1–W3]</w:t>
      </w:r>
    </w:p>
    <w:p>
      <w:r>
        <w:rPr>
          <w:b w:val="0"/>
          <w:i w:val="0"/>
        </w:rPr>
        <w:t>The proposed contribution needs a controlled result: a mechanism-aware policy beats simple equal-cost controls on untouched starts, with a tested native resource advantage, while explaining where and why it helps or fails. A targeted current literature review should accompany any actual novelty claim; this document's limited background check is not an exhaustive novelty clearance.</w:t>
      </w:r>
    </w:p>
    <w:p>
      <w:bookmarkStart w:id="20" w:name="section_19"/>
      <w:pPr>
        <w:pStyle w:val="Heading1"/>
      </w:pPr>
      <w:r>
        <w:rPr>
          <w:b w:val="0"/>
          <w:i w:val="0"/>
        </w:rPr>
        <w:t>18. What the new Claude campaign should do</w:t>
      </w:r>
      <w:bookmarkEnd w:id="20"/>
    </w:p>
    <w:p>
      <w:r>
        <w:rPr>
          <w:b w:val="0"/>
          <w:i w:val="0"/>
        </w:rPr>
        <w:t xml:space="preserve">The accompanying prompt asks the agent to work only inside the verified </w:t>
      </w:r>
      <w:r>
        <w:rPr>
          <w:rFonts w:ascii="DejaVu Sans Mono" w:hAnsi="DejaVu Sans Mono"/>
          <w:b w:val="0"/>
          <w:i w:val="0"/>
          <w:color w:val="3F5666"/>
          <w:sz w:val="18"/>
        </w:rPr>
        <w:t>weather_mod_v1/</w:t>
      </w:r>
      <w:r>
        <w:rPr>
          <w:b w:val="0"/>
          <w:i w:val="0"/>
        </w:rPr>
        <w:t xml:space="preserve"> workspace, preserve older reports and inspect the current job state before launching anything. Internal imports named </w:t>
      </w:r>
      <w:r>
        <w:rPr>
          <w:rFonts w:ascii="DejaVu Sans Mono" w:hAnsi="DejaVu Sans Mono"/>
          <w:b w:val="0"/>
          <w:i w:val="0"/>
          <w:color w:val="3F5666"/>
          <w:sz w:val="18"/>
        </w:rPr>
        <w:t>weather_v1</w:t>
      </w:r>
      <w:r>
        <w:rPr>
          <w:b w:val="0"/>
          <w:i w:val="0"/>
        </w:rPr>
        <w:t xml:space="preserve"> may legitimately remain inside that workspace and must not be renamed merely because the repository directory changed. [F3; F5; F7]</w:t>
      </w:r>
    </w:p>
    <w:p>
      <w:r>
        <w:rPr>
          <w:b w:val="0"/>
          <w:i w:val="0"/>
        </w:rPr>
        <w:t>The new campaign should first recover source and cohort provenance, then establish the best qualified dense baseline. It should implement a live version of the frozen adaptive rule, compare its cost-aware controls, and run a bounded matched recovery study rather than another large unstructured layer sweep. Boundary-consistent regional computation remains a small exploratory branch. Final representative and extreme-event evaluation follows candidate and scorer freeze, not the other way around.</w:t>
      </w:r>
    </w:p>
    <w:p>
      <w:r>
        <w:rPr>
          <w:b w:val="0"/>
          <w:i w:val="0"/>
        </w:rPr>
        <w:t>The autonomy mechanism must live on the compute host, not inside a Visual Studio Code terminal or a chat turn. A persistent, resumable queue should own job dependencies, budgets, retries and analysis. The prompt requires a disconnect-survival test, atomic state, a stop file, resource accounting and explicit evidence before claiming a job completed. Background model-assisted diagnosis is optional and requires separately authorised credentials and spending; the experiment queue must continue without new model calls.</w:t>
      </w:r>
    </w:p>
    <w:p>
      <w:r>
        <w:rPr>
          <w:b w:val="0"/>
          <w:i w:val="0"/>
        </w:rPr>
        <w:t>Systemd user services can run commands independently of an editor, but logout persistence depends on the user manager and lingering configuration. A transient service is not automatically a reboot-resumable queue. The prompt therefore asks the agent to verify the installed service behaviour and permissions, or use the site's existing scheduler, without silently changing administrator settings. Claude's non-interactive command mode is an optional controller mechanism, not a replacement for a durable experiment state machine. [W4–W7]</w:t>
      </w:r>
    </w:p>
    <w:p>
      <w:r>
        <w:rPr>
          <w:b w:val="0"/>
          <w:i w:val="0"/>
        </w:rPr>
      </w:r>
      <w:r>
        <w:rPr>
          <w:b/>
          <w:i w:val="0"/>
        </w:rPr>
        <w:t>Success criterion:</w:t>
      </w:r>
      <w:r>
        <w:rPr>
          <w:b w:val="0"/>
          <w:i w:val="0"/>
        </w:rPr>
        <w:t xml:space="preserve"> demonstrate an independent rainfall benefit or credible non-inferiority under a frozen application-relevant score, together with a measured complete-product resource advantage. A fidelity-only improvement, a simulated-weight result, a diagnostic oracle or a promising development frontier should be reported for what it is, not promoted into a deployment or flood-safety claim.</w:t>
      </w:r>
    </w:p>
    <w:p>
      <w:bookmarkStart w:id="21" w:name="section_20"/>
      <w:pPr>
        <w:pStyle w:val="Heading1"/>
        <w:pageBreakBefore/>
        <w:spacing w:before="0"/>
      </w:pPr>
      <w:r>
        <w:rPr>
          <w:b w:val="0"/>
          <w:i w:val="0"/>
        </w:rPr>
        <w:t>Appendix A. Campaign and policy reminders</w:t>
      </w:r>
      <w:bookmarkEnd w:id="21"/>
    </w:p>
    <w:p>
      <w:pPr>
        <w:pStyle w:val="Heading2"/>
      </w:pPr>
      <w:r>
        <w:rPr>
          <w:b w:val="0"/>
          <w:i w:val="0"/>
        </w:rPr>
        <w:t>A.1 Campaigns and run families</w:t>
      </w:r>
    </w:p>
    <w:p>
      <w:r>
        <w:rPr>
          <w:b w:val="0"/>
          <w:i w:val="0"/>
        </w:rPr>
      </w:r>
      <w:r>
        <w:rPr>
          <w:b/>
          <w:i w:val="0"/>
        </w:rPr>
        <w:t>V2 (earlier paused campaign):</w:t>
      </w:r>
      <w:r>
        <w:rPr>
          <w:b w:val="0"/>
          <w:i w:val="0"/>
        </w:rPr>
        <w:t xml:space="preserve"> paused in the historical status; the supplied material does not fully reconstruct its design.</w:t>
      </w:r>
    </w:p>
    <w:p>
      <w:r>
        <w:rPr>
          <w:b w:val="0"/>
          <w:i w:val="0"/>
        </w:rPr>
      </w:r>
      <w:r>
        <w:rPr>
          <w:b/>
          <w:i w:val="0"/>
        </w:rPr>
        <w:t>V3 (precision and rollout comparison):</w:t>
      </w:r>
      <w:r>
        <w:rPr>
          <w:b w:val="0"/>
          <w:i w:val="0"/>
        </w:rPr>
        <w:t xml:space="preserve"> eight-start comparison with a small native-eight-bit rainfall penalty and inconclusive additional late growth.</w:t>
      </w:r>
    </w:p>
    <w:p>
      <w:r>
        <w:rPr>
          <w:b w:val="0"/>
          <w:i w:val="0"/>
        </w:rPr>
      </w:r>
      <w:r>
        <w:rPr>
          <w:b/>
          <w:i w:val="0"/>
        </w:rPr>
        <w:t>V4 (planned full-block attribution):</w:t>
      </w:r>
      <w:r>
        <w:rPr>
          <w:b w:val="0"/>
          <w:i w:val="0"/>
        </w:rPr>
        <w:t xml:space="preserve"> caller/history and rollout attribution design; unrun in the latest status recorded in the original history.</w:t>
      </w:r>
    </w:p>
    <w:p>
      <w:r>
        <w:rPr>
          <w:b w:val="0"/>
          <w:i w:val="0"/>
        </w:rPr>
      </w:r>
      <w:r>
        <w:rPr>
          <w:b/>
          <w:i w:val="0"/>
        </w:rPr>
        <w:t>V5 (sparse rainfall queries and replay):</w:t>
      </w:r>
      <w:r>
        <w:rPr>
          <w:b w:val="0"/>
          <w:i w:val="0"/>
        </w:rPr>
        <w:t xml:space="preserve"> full versus two-query products, fitted weights, fresh confirmation, replay and storage work.</w:t>
      </w:r>
    </w:p>
    <w:p>
      <w:r>
        <w:rPr>
          <w:b w:val="0"/>
          <w:i w:val="0"/>
        </w:rPr>
      </w:r>
      <w:r>
        <w:rPr>
          <w:b/>
          <w:i w:val="0"/>
        </w:rPr>
        <w:t>V6 (temporal/error controls):</w:t>
      </w:r>
      <w:r>
        <w:rPr>
          <w:b w:val="0"/>
          <w:i w:val="0"/>
        </w:rPr>
        <w:t xml:space="preserve"> linear-trend sampling control, signed reference-error alignment, events and precision frontier.</w:t>
      </w:r>
    </w:p>
    <w:p>
      <w:r>
        <w:rPr>
          <w:b w:val="0"/>
          <w:i w:val="0"/>
        </w:rPr>
      </w:r>
      <w:r>
        <w:rPr>
          <w:b/>
          <w:i w:val="0"/>
        </w:rPr>
        <w:t>V7 (memory ownership and repeatability):</w:t>
      </w:r>
      <w:r>
        <w:rPr>
          <w:b w:val="0"/>
          <w:i w:val="0"/>
        </w:rPr>
        <w:t xml:space="preserve"> fresh constructions, memory owners and process-level reproducibility.</w:t>
      </w:r>
    </w:p>
    <w:p>
      <w:r>
        <w:rPr>
          <w:b w:val="0"/>
          <w:i w:val="0"/>
        </w:rPr>
      </w:r>
      <w:r>
        <w:rPr>
          <w:b/>
          <w:i w:val="0"/>
        </w:rPr>
        <w:t>V8 (decoder row tiling):</w:t>
      </w:r>
      <w:r>
        <w:rPr>
          <w:b w:val="0"/>
          <w:i w:val="0"/>
        </w:rPr>
        <w:t xml:space="preserve"> quarter/eighth feed-forward scheduling and the initial incomplete strict precision qualification.</w:t>
      </w:r>
    </w:p>
    <w:p>
      <w:r>
        <w:rPr>
          <w:b w:val="0"/>
          <w:i w:val="0"/>
        </w:rPr>
      </w:r>
      <w:r>
        <w:rPr>
          <w:b/>
          <w:i w:val="0"/>
        </w:rPr>
        <w:t>V9 (fresh fixed-product confirmation):</w:t>
      </w:r>
      <w:r>
        <w:rPr>
          <w:b w:val="0"/>
          <w:i w:val="0"/>
        </w:rPr>
        <w:t xml:space="preserve"> eight fresh starts, two/three-query products, tiling, strict precision and an adverse attention-memory attempt.</w:t>
      </w:r>
    </w:p>
    <w:p>
      <w:r>
        <w:rPr>
          <w:b w:val="0"/>
          <w:i w:val="0"/>
        </w:rPr>
      </w:r>
      <w:r>
        <w:rPr>
          <w:b/>
          <w:i w:val="0"/>
        </w:rPr>
        <w:t>V10 (regional outputs and failure diagnosis):</w:t>
      </w:r>
      <w:r>
        <w:rPr>
          <w:b w:val="0"/>
          <w:i w:val="0"/>
        </w:rPr>
        <w:t xml:space="preserve"> regional rain-only decoding, amount/timing/volume analysis and repaired history diagnostic.</w:t>
      </w:r>
    </w:p>
    <w:p>
      <w:r>
        <w:rPr>
          <w:b w:val="0"/>
          <w:i w:val="0"/>
        </w:rPr>
      </w:r>
      <w:r>
        <w:rPr>
          <w:b/>
          <w:i w:val="0"/>
        </w:rPr>
        <w:t>V11 (global rain-only decoding):</w:t>
      </w:r>
      <w:r>
        <w:rPr>
          <w:b w:val="0"/>
          <w:i w:val="0"/>
        </w:rPr>
        <w:t xml:space="preserve"> global output specialisation; results remain indirectly supported in the supplied history.</w:t>
      </w:r>
    </w:p>
    <w:p>
      <w:r>
        <w:rPr>
          <w:b w:val="0"/>
          <w:i w:val="0"/>
        </w:rPr>
      </w:r>
      <w:r>
        <w:rPr>
          <w:b/>
          <w:i w:val="0"/>
        </w:rPr>
        <w:t>V12 (protected-state efficiency and diagnostic family):</w:t>
      </w:r>
      <w:r>
        <w:rPr>
          <w:b w:val="0"/>
          <w:i w:val="0"/>
        </w:rPr>
        <w:t xml:space="preserve"> original plan plus later outcomes reported by the follow-up; the full original results package is absent here.</w:t>
      </w:r>
    </w:p>
    <w:p>
      <w:r>
        <w:rPr>
          <w:b w:val="0"/>
          <w:i w:val="0"/>
        </w:rPr>
      </w:r>
      <w:r>
        <w:rPr>
          <w:b/>
          <w:i w:val="0"/>
        </w:rPr>
        <w:t>V12-FU (9 October follow-up):</w:t>
      </w:r>
      <w:r>
        <w:rPr>
          <w:b w:val="0"/>
          <w:i w:val="0"/>
        </w:rPr>
        <w:t xml:space="preserve"> bug diagnosis, timestamp repair, crop and perturbation probes, interrupted/restarted ensemble and completed archived scoring.</w:t>
      </w:r>
    </w:p>
    <w:p>
      <w:r>
        <w:rPr>
          <w:b w:val="0"/>
          <w:i w:val="0"/>
        </w:rPr>
      </w:r>
      <w:r>
        <w:rPr>
          <w:b/>
          <w:i w:val="0"/>
        </w:rPr>
        <w:t>E1 (autonomous eight-start dose ladder):</w:t>
      </w:r>
      <w:r>
        <w:rPr>
          <w:b w:val="0"/>
          <w:i w:val="0"/>
        </w:rPr>
        <w:t xml:space="preserve"> dense, native eight-bit and simulated eight/six/four-bit forecasts.</w:t>
      </w:r>
    </w:p>
    <w:p>
      <w:r>
        <w:rPr>
          <w:b w:val="0"/>
          <w:i w:val="0"/>
        </w:rPr>
      </w:r>
      <w:r>
        <w:rPr>
          <w:b/>
          <w:i w:val="0"/>
        </w:rPr>
        <w:t>E3 (autonomous six-start remedy comparison):</w:t>
      </w:r>
      <w:r>
        <w:rPr>
          <w:b w:val="0"/>
          <w:i w:val="0"/>
        </w:rPr>
        <w:t xml:space="preserve"> selective layer protection and dense-state hybrid comparisons on internal support.</w:t>
      </w:r>
    </w:p>
    <w:p>
      <w:r>
        <w:rPr>
          <w:b w:val="0"/>
          <w:i w:val="0"/>
        </w:rPr>
      </w:r>
      <w:r>
        <w:rPr>
          <w:b/>
          <w:i w:val="0"/>
        </w:rPr>
        <w:t>E (V12 repaired four-bit rank experiment):</w:t>
      </w:r>
      <w:r>
        <w:rPr>
          <w:b w:val="0"/>
          <w:i w:val="0"/>
        </w:rPr>
        <w:t xml:space="preserve"> not the same identifier as the autonomous E1/E3 campaign families; the follow-up reports a valid negative rollout result.</w:t>
      </w:r>
    </w:p>
    <w:p>
      <w:r>
        <w:rPr>
          <w:b w:val="0"/>
          <w:i w:val="0"/>
        </w:rPr>
      </w:r>
      <w:r>
        <w:rPr>
          <w:b/>
          <w:i w:val="0"/>
        </w:rPr>
        <w:t>J.1 (initial-state perturbation ensemble); J.2 (physical crops); J.3 (latent interpolation); J.4 (adaptive query escalation); J.5 (compression ensemble):</w:t>
      </w:r>
      <w:r>
        <w:rPr>
          <w:b w:val="0"/>
          <w:i w:val="0"/>
        </w:rPr>
        <w:t xml:space="preserve"> separate V12 diagnostic questions, with the status distinctions in Section 15.</w:t>
      </w:r>
    </w:p>
    <w:p>
      <w:r>
        <w:rPr>
          <w:b w:val="0"/>
          <w:i w:val="0"/>
        </w:rPr>
      </w:r>
      <w:r>
        <w:rPr>
          <w:b/>
          <w:i w:val="0"/>
        </w:rPr>
        <w:t>FU_DIAG (combined perturbation/crop diagnostic); FU_J1 (first ensemble rerun); FU_J1_R2 (occupancy retry):</w:t>
      </w:r>
      <w:r>
        <w:rPr>
          <w:b w:val="0"/>
          <w:i w:val="0"/>
        </w:rPr>
        <w:t xml:space="preserve"> literal follow-up job identifiers. A launch manifest is not a completion receipt.</w:t>
      </w:r>
    </w:p>
    <w:p>
      <w:r>
        <w:rPr>
          <w:b w:val="0"/>
          <w:i w:val="0"/>
        </w:rPr>
      </w:r>
      <w:r>
        <w:rPr>
          <w:b/>
          <w:i w:val="0"/>
        </w:rPr>
        <w:t>A1 and D4 (unresolved identifiers):</w:t>
      </w:r>
      <w:r>
        <w:rPr>
          <w:b w:val="0"/>
          <w:i w:val="0"/>
        </w:rPr>
        <w:t xml:space="preserve"> the requested examples are not defined in the supplied history or follow-up sources inspected here. They must be resolved from the live campaign registry. D4 must not be guessed to mean four queries, four-bit weights or a fourth diagnostic. The new prompt makes this a required provenance check.</w:t>
      </w:r>
    </w:p>
    <w:p>
      <w:pPr>
        <w:pStyle w:val="Heading2"/>
      </w:pPr>
      <w:r>
        <w:rPr>
          <w:b w:val="0"/>
          <w:i w:val="0"/>
        </w:rPr>
        <w:t>A.2 Policies and controls</w:t>
      </w:r>
    </w:p>
    <w:p>
      <w:r>
        <w:rPr>
          <w:b w:val="0"/>
          <w:i w:val="0"/>
        </w:rPr>
      </w:r>
      <w:r>
        <w:rPr>
          <w:b/>
          <w:i w:val="0"/>
        </w:rPr>
        <w:t>D (dense model); N8 (native eight-bit floating point); S8/S6/S4 (simulated eight/six/four-bit weights decoded to bfloat16):</w:t>
      </w:r>
      <w:r>
        <w:rPr>
          <w:b w:val="0"/>
          <w:i w:val="0"/>
        </w:rPr>
        <w:t xml:space="preserve"> precision arms, not query counts.</w:t>
      </w:r>
    </w:p>
    <w:p>
      <w:r>
        <w:rPr>
          <w:b w:val="0"/>
          <w:i w:val="0"/>
        </w:rPr>
      </w:r>
      <w:r>
        <w:rPr>
          <w:b/>
          <w:i w:val="0"/>
        </w:rPr>
        <w:t>D6/F6 (full six-query products in their local campaigns); D2/T2/A (two-query block reconstruction); T3/B/F3 (three-query products in their local campaigns):</w:t>
      </w:r>
      <w:r>
        <w:rPr>
          <w:b w:val="0"/>
          <w:i w:val="0"/>
        </w:rPr>
        <w:t xml:space="preserve"> query-policy names. F3 is the three-query full-output parent in the regional-specialisation comparison; verify its exact local recipe before merging aliases across campaigns.</w:t>
      </w:r>
    </w:p>
    <w:p>
      <w:r>
        <w:rPr>
          <w:b w:val="0"/>
          <w:i w:val="0"/>
        </w:rPr>
      </w:r>
      <w:r>
        <w:rPr>
          <w:b/>
          <w:i w:val="0"/>
        </w:rPr>
        <w:t>R (weighted two-query sampling); L (linear-trend control):</w:t>
      </w:r>
      <w:r>
        <w:rPr>
          <w:b w:val="0"/>
          <w:i w:val="0"/>
        </w:rPr>
        <w:t xml:space="preserve"> temporal reconstruction rules. </w:t>
      </w:r>
      <w:r>
        <w:rPr>
          <w:b/>
          <w:i w:val="0"/>
        </w:rPr>
        <w:t>R6/R3 (regional decoder products); G6 (global rain-only intermediate decoder):</w:t>
      </w:r>
      <w:r>
        <w:rPr>
          <w:b w:val="0"/>
          <w:i w:val="0"/>
        </w:rPr>
        <w:t xml:space="preserve"> output specialisation, not the weighted sampler R.</w:t>
      </w:r>
    </w:p>
    <w:p>
      <w:r>
        <w:rPr>
          <w:b w:val="0"/>
          <w:i w:val="0"/>
        </w:rPr>
      </w:r>
      <w:r>
        <w:rPr>
          <w:b/>
          <w:i w:val="0"/>
        </w:rPr>
        <w:t>Q2 (native-eight-bit two-query product in the timing discussion):</w:t>
      </w:r>
      <w:r>
        <w:rPr>
          <w:b w:val="0"/>
          <w:i w:val="0"/>
        </w:rPr>
        <w:t xml:space="preserve"> a combined precision and query recipe, not a generic compressed-model label.</w:t>
      </w:r>
    </w:p>
    <w:p>
      <w:r>
        <w:rPr>
          <w:b w:val="0"/>
          <w:i w:val="0"/>
        </w:rPr>
      </w:r>
      <w:r>
        <w:rPr>
          <w:b/>
          <w:i w:val="0"/>
        </w:rPr>
        <w:t>DD/QD/DQ/QQ (caller/history combinations):</w:t>
      </w:r>
      <w:r>
        <w:rPr>
          <w:b w:val="0"/>
          <w:i w:val="0"/>
        </w:rPr>
        <w:t xml:space="preserve"> dense/compressed caller crossed with dense/compressed history. </w:t>
      </w:r>
      <w:r>
        <w:rPr>
          <w:b/>
          <w:i w:val="0"/>
        </w:rPr>
        <w:t>Dd/Ad/Da/Aa:</w:t>
      </w:r>
      <w:r>
        <w:rPr>
          <w:b w:val="0"/>
          <w:i w:val="0"/>
        </w:rPr>
        <w:t xml:space="preserve"> aggressive-compression campaign spelling of that design.</w:t>
      </w:r>
    </w:p>
    <w:p>
      <w:r>
        <w:rPr>
          <w:b w:val="0"/>
          <w:i w:val="0"/>
        </w:rPr>
      </w:r>
      <w:r>
        <w:rPr>
          <w:b/>
          <w:i w:val="0"/>
        </w:rPr>
        <w:t>M_state (dense state-advancing calls); protect_state1 (three protected layers):</w:t>
      </w:r>
      <w:r>
        <w:rPr>
          <w:b w:val="0"/>
          <w:i w:val="0"/>
        </w:rPr>
        <w:t xml:space="preserve"> different interventions despite similar names.</w:t>
      </w:r>
    </w:p>
    <w:p>
      <w:r>
        <w:rPr>
          <w:b w:val="0"/>
          <w:i w:val="0"/>
        </w:rPr>
      </w:r>
      <w:r>
        <w:rPr>
          <w:b/>
          <w:i w:val="0"/>
        </w:rPr>
        <w:t>Long/short/static/random protection:</w:t>
      </w:r>
      <w:r>
        <w:rPr>
          <w:b w:val="0"/>
          <w:i w:val="0"/>
        </w:rPr>
        <w:t xml:space="preserve"> select precision by later task benefit, immediate state benefit, architecture or random allocation, respectively. </w:t>
      </w:r>
      <w:r>
        <w:rPr>
          <w:b/>
          <w:i w:val="0"/>
        </w:rPr>
        <w:t>fc1:</w:t>
      </w:r>
      <w:r>
        <w:rPr>
          <w:b w:val="0"/>
          <w:i w:val="0"/>
        </w:rPr>
        <w:t xml:space="preserve"> first feed-forward projection. </w:t>
      </w:r>
      <w:r>
        <w:rPr>
          <w:b/>
          <w:i w:val="0"/>
        </w:rPr>
        <w:t>QKV+PROJ:</w:t>
      </w:r>
      <w:r>
        <w:rPr>
          <w:b w:val="0"/>
          <w:i w:val="0"/>
        </w:rPr>
        <w:t xml:space="preserve"> attention query/key/value and output projections.</w:t>
      </w:r>
    </w:p>
    <w:p>
      <w:r>
        <w:rPr>
          <w:b w:val="0"/>
          <w:i w:val="0"/>
        </w:rPr>
      </w:r>
      <w:r>
        <w:rPr>
          <w:b/>
          <w:i w:val="0"/>
        </w:rPr>
        <w:t>N8_rank/S4_rank:</w:t>
      </w:r>
      <w:r>
        <w:rPr>
          <w:b w:val="0"/>
          <w:i w:val="0"/>
        </w:rPr>
        <w:t xml:space="preserve"> native-eight-bit/simulated-four-bit bases with low-rank residual correction. The four-bit repaired rollout result is now reported negative.</w:t>
      </w:r>
    </w:p>
    <w:p>
      <w:r>
        <w:rPr>
          <w:b w:val="0"/>
          <w:i w:val="0"/>
        </w:rPr>
      </w:r>
      <w:r>
        <w:rPr>
          <w:b/>
          <w:i w:val="0"/>
        </w:rPr>
        <w:t>Crop controls A/B/C/D0/D1:</w:t>
      </w:r>
      <w:r>
        <w:rPr>
          <w:b w:val="0"/>
          <w:i w:val="0"/>
        </w:rPr>
        <w:t xml:space="preserve"> full globe with wrap, full globe without wrap, original patch-aligned crops, smallest window-aligned crop and expanded window-aligned crop, respectively. These names belong only to the crop diagnostic. D0/D1 are not dense precision settings.</w:t>
      </w:r>
    </w:p>
    <w:p>
      <w:r>
        <w:rPr>
          <w:b w:val="0"/>
          <w:i w:val="0"/>
        </w:rPr>
      </w:r>
      <w:r>
        <w:rPr>
          <w:b/>
          <w:i w:val="0"/>
        </w:rPr>
        <w:t>skipU25 (unresolved block-bypass candidate):</w:t>
      </w:r>
      <w:r>
        <w:rPr>
          <w:b w:val="0"/>
          <w:i w:val="0"/>
        </w:rPr>
        <w:t xml:space="preserve"> a recorded literal name; its exact block mask is not attached. Do not infer a percentage or stage selection without the live registry.</w:t>
      </w:r>
    </w:p>
    <w:p>
      <w:bookmarkStart w:id="22" w:name="section_21"/>
      <w:pPr>
        <w:pStyle w:val="Heading1"/>
        <w:pageBreakBefore/>
        <w:spacing w:before="0"/>
      </w:pPr>
      <w:r>
        <w:rPr>
          <w:b w:val="0"/>
          <w:i w:val="0"/>
        </w:rPr>
        <w:t>Appendix B. Technical terms and abbreviations</w:t>
      </w:r>
      <w:bookmarkEnd w:id="22"/>
    </w:p>
    <w:p>
      <w:r>
        <w:rPr>
          <w:b w:val="0"/>
          <w:i w:val="0"/>
        </w:rPr>
      </w:r>
      <w:r>
        <w:rPr>
          <w:b/>
          <w:i w:val="0"/>
        </w:rPr>
        <w:t>FP32 / FP16 / BF16:</w:t>
      </w:r>
      <w:r>
        <w:rPr>
          <w:b w:val="0"/>
          <w:i w:val="0"/>
        </w:rPr>
        <w:t xml:space="preserve"> 32-bit floating point, 16-bit floating point and bfloat16. The latter two both occupy 16 bits but allocate bits differently. Storage precision, autocast precision and accumulation precision can differ in one model.</w:t>
      </w:r>
    </w:p>
    <w:p>
      <w:r>
        <w:rPr>
          <w:b w:val="0"/>
          <w:i w:val="0"/>
        </w:rPr>
      </w:r>
      <w:r>
        <w:rPr>
          <w:b/>
          <w:i w:val="0"/>
        </w:rPr>
        <w:t>FP8 / INT8 / INT4:</w:t>
      </w:r>
      <w:r>
        <w:rPr>
          <w:b w:val="0"/>
          <w:i w:val="0"/>
        </w:rPr>
        <w:t xml:space="preserve"> eight-bit floating point, eight-bit integer and four-bit integer representations. They are not interchangeable execution recipes. </w:t>
      </w:r>
      <w:r>
        <w:rPr>
          <w:b/>
          <w:i w:val="0"/>
        </w:rPr>
        <w:t>W8A8:</w:t>
      </w:r>
      <w:r>
        <w:rPr>
          <w:b w:val="0"/>
          <w:i w:val="0"/>
        </w:rPr>
        <w:t xml:space="preserve"> eight-bit weight and activation operands. </w:t>
      </w:r>
      <w:r>
        <w:rPr>
          <w:b/>
          <w:i w:val="0"/>
        </w:rPr>
        <w:t>W4/W6/W8:</w:t>
      </w:r>
      <w:r>
        <w:rPr>
          <w:b w:val="0"/>
          <w:i w:val="0"/>
        </w:rPr>
        <w:t xml:space="preserve"> named weight-bit targets, whose simulation or native status must be stated.</w:t>
      </w:r>
    </w:p>
    <w:p>
      <w:r>
        <w:rPr>
          <w:b w:val="0"/>
          <w:i w:val="0"/>
        </w:rPr>
      </w:r>
      <w:r>
        <w:rPr>
          <w:b/>
          <w:i w:val="0"/>
        </w:rPr>
        <w:t>RTN:</w:t>
      </w:r>
      <w:r>
        <w:rPr>
          <w:b w:val="0"/>
          <w:i w:val="0"/>
        </w:rPr>
        <w:t xml:space="preserve"> round-to-nearest quantization. </w:t>
      </w:r>
      <w:r>
        <w:rPr>
          <w:b/>
          <w:i w:val="0"/>
        </w:rPr>
        <w:t>GPTQ:</w:t>
      </w:r>
      <w:r>
        <w:rPr>
          <w:b w:val="0"/>
          <w:i w:val="0"/>
        </w:rPr>
        <w:t xml:space="preserve"> the named second-order weight-reconstruction method. </w:t>
      </w:r>
      <w:r>
        <w:rPr>
          <w:b/>
          <w:i w:val="0"/>
        </w:rPr>
        <w:t>GPTAQ:</w:t>
      </w:r>
      <w:r>
        <w:rPr>
          <w:b w:val="0"/>
          <w:i w:val="0"/>
        </w:rPr>
        <w:t xml:space="preserve"> the named asymmetric-calibration method. These method names are retained without inventing a long-form acronym expansion. </w:t>
      </w:r>
      <w:r>
        <w:rPr>
          <w:b/>
          <w:i w:val="0"/>
        </w:rPr>
        <w:t>TQS:</w:t>
      </w:r>
      <w:r>
        <w:rPr>
          <w:b w:val="0"/>
          <w:i w:val="0"/>
        </w:rPr>
        <w:t xml:space="preserve"> the original history's trajectory-sensitivity-inspired selection label; the exact external title/expansion is not established by the attachments.</w:t>
      </w:r>
    </w:p>
    <w:p>
      <w:r>
        <w:rPr>
          <w:b w:val="0"/>
          <w:i w:val="0"/>
        </w:rPr>
      </w:r>
      <w:r>
        <w:rPr>
          <w:b/>
          <w:i w:val="0"/>
        </w:rPr>
        <w:t>MLP / FFN:</w:t>
      </w:r>
      <w:r>
        <w:rPr>
          <w:b w:val="0"/>
          <w:i w:val="0"/>
        </w:rPr>
        <w:t xml:space="preserve"> multilayer perceptron / feed-forward network, the projection-and-activation block. </w:t>
      </w:r>
      <w:r>
        <w:rPr>
          <w:b/>
          <w:i w:val="0"/>
        </w:rPr>
        <w:t>GELU:</w:t>
      </w:r>
      <w:r>
        <w:rPr>
          <w:b w:val="0"/>
          <w:i w:val="0"/>
        </w:rPr>
        <w:t xml:space="preserve"> Gaussian error linear unit, the activation used in the described decoder block. </w:t>
      </w:r>
      <w:r>
        <w:rPr>
          <w:b/>
          <w:i w:val="0"/>
        </w:rPr>
        <w:t>SDPA:</w:t>
      </w:r>
      <w:r>
        <w:rPr>
          <w:b w:val="0"/>
          <w:i w:val="0"/>
        </w:rPr>
        <w:t xml:space="preserve"> scaled dot-product attention. </w:t>
      </w:r>
      <w:r>
        <w:rPr>
          <w:b/>
          <w:i w:val="0"/>
        </w:rPr>
        <w:t>Swin3D:</w:t>
      </w:r>
      <w:r>
        <w:rPr>
          <w:b w:val="0"/>
          <w:i w:val="0"/>
        </w:rPr>
        <w:t xml:space="preserve"> the windowed three-dimensional transformer backbone family used here.</w:t>
      </w:r>
    </w:p>
    <w:p>
      <w:r>
        <w:rPr>
          <w:b w:val="0"/>
          <w:i w:val="0"/>
        </w:rPr>
      </w:r>
      <w:r>
        <w:rPr>
          <w:b/>
          <w:i w:val="0"/>
        </w:rPr>
        <w:t>SVD:</w:t>
      </w:r>
      <w:r>
        <w:rPr>
          <w:b w:val="0"/>
          <w:i w:val="0"/>
        </w:rPr>
        <w:t xml:space="preserve"> singular value decomposition, used to find low-rank matrix structure. </w:t>
      </w:r>
      <w:r>
        <w:rPr>
          <w:b/>
          <w:i w:val="0"/>
        </w:rPr>
        <w:t>KD:</w:t>
      </w:r>
      <w:r>
        <w:rPr>
          <w:b w:val="0"/>
          <w:i w:val="0"/>
        </w:rPr>
        <w:t xml:space="preserve"> knowledge distillation, training a learner with teacher guidance. </w:t>
      </w:r>
      <w:r>
        <w:rPr>
          <w:b/>
          <w:i w:val="0"/>
        </w:rPr>
        <w:t>QAT:</w:t>
      </w:r>
      <w:r>
        <w:rPr>
          <w:b w:val="0"/>
          <w:i w:val="0"/>
        </w:rPr>
        <w:t xml:space="preserve"> quantization-aware training, training with quantization effects represented in the calculation.</w:t>
      </w:r>
    </w:p>
    <w:p>
      <w:r>
        <w:rPr>
          <w:b w:val="0"/>
          <w:i w:val="0"/>
        </w:rPr>
      </w:r>
      <w:r>
        <w:rPr>
          <w:b/>
          <w:i w:val="0"/>
        </w:rPr>
        <w:t>MSE / RMSE / MAE:</w:t>
      </w:r>
      <w:r>
        <w:rPr>
          <w:b w:val="0"/>
          <w:i w:val="0"/>
        </w:rPr>
        <w:t xml:space="preserve"> mean squared error, its square root, and mean absolute error. </w:t>
      </w:r>
      <w:r>
        <w:rPr>
          <w:b/>
          <w:i w:val="0"/>
        </w:rPr>
        <w:t>FSS:</w:t>
      </w:r>
      <w:r>
        <w:rPr>
          <w:b w:val="0"/>
          <w:i w:val="0"/>
        </w:rPr>
        <w:t xml:space="preserve"> fractions skill score, a neighbourhood-based spatial score. </w:t>
      </w:r>
      <w:r>
        <w:rPr>
          <w:b/>
          <w:i w:val="0"/>
        </w:rPr>
        <w:t>SEEPS:</w:t>
      </w:r>
      <w:r>
        <w:rPr>
          <w:b w:val="0"/>
          <w:i w:val="0"/>
        </w:rPr>
        <w:t xml:space="preserve"> stable equitable error in probability space, a precipitation-category score. The frozen implementation controls exact project variants and denominators.</w:t>
      </w:r>
    </w:p>
    <w:p>
      <w:r>
        <w:rPr>
          <w:b w:val="0"/>
          <w:i w:val="0"/>
        </w:rPr>
      </w:r>
      <w:r>
        <w:rPr>
          <w:b/>
          <w:i w:val="0"/>
        </w:rPr>
        <w:t>CRPS:</w:t>
      </w:r>
      <w:r>
        <w:rPr>
          <w:b w:val="0"/>
          <w:i w:val="0"/>
        </w:rPr>
        <w:t xml:space="preserve"> continuous ranked probability score, a distributional forecast score. </w:t>
      </w:r>
      <w:r>
        <w:rPr>
          <w:b/>
          <w:i w:val="0"/>
        </w:rPr>
        <w:t>Brier score:</w:t>
      </w:r>
      <w:r>
        <w:rPr>
          <w:b w:val="0"/>
          <w:i w:val="0"/>
        </w:rPr>
        <w:t xml:space="preserve"> squared error of a predicted event probability. </w:t>
      </w:r>
      <w:r>
        <w:rPr>
          <w:b/>
          <w:i w:val="0"/>
        </w:rPr>
        <w:t>Spread/error ratio:</w:t>
      </w:r>
      <w:r>
        <w:rPr>
          <w:b w:val="0"/>
          <w:i w:val="0"/>
        </w:rPr>
        <w:t xml:space="preserve"> ensemble dispersion compared with ensemble-mean error under the specified aggregation; it is not by itself proof of calibrated probabilities.</w:t>
      </w:r>
    </w:p>
    <w:p>
      <w:r>
        <w:rPr>
          <w:b w:val="0"/>
          <w:i w:val="0"/>
        </w:rPr>
      </w:r>
      <w:r>
        <w:rPr>
          <w:b/>
          <w:i w:val="0"/>
        </w:rPr>
        <w:t>ERA5:</w:t>
      </w:r>
      <w:r>
        <w:rPr>
          <w:b w:val="0"/>
          <w:i w:val="0"/>
        </w:rPr>
        <w:t xml:space="preserve"> the project's reanalysis reference. </w:t>
      </w:r>
      <w:r>
        <w:rPr>
          <w:b/>
          <w:i w:val="0"/>
        </w:rPr>
        <w:t>IFS:</w:t>
      </w:r>
      <w:r>
        <w:rPr>
          <w:b w:val="0"/>
          <w:i w:val="0"/>
        </w:rPr>
        <w:t xml:space="preserve"> Integrated Forecasting System. </w:t>
      </w:r>
      <w:r>
        <w:rPr>
          <w:b/>
          <w:i w:val="0"/>
        </w:rPr>
        <w:t>GT:</w:t>
      </w:r>
      <w:r>
        <w:rPr>
          <w:b w:val="0"/>
          <w:i w:val="0"/>
        </w:rPr>
        <w:t xml:space="preserve"> ground truth, a label that should not obscure that ERA5 is a reanalysis rather than direct rainfall observation. </w:t>
      </w:r>
      <w:r>
        <w:rPr>
          <w:b/>
          <w:i w:val="0"/>
        </w:rPr>
        <w:t>Z500 / T850:</w:t>
      </w:r>
      <w:r>
        <w:rPr>
          <w:b w:val="0"/>
          <w:i w:val="0"/>
        </w:rPr>
        <w:t xml:space="preserve"> geopotential at 500 hPa / temperature at 850 hPa; verify field conventions in the scorer.</w:t>
      </w:r>
    </w:p>
    <w:p>
      <w:r>
        <w:rPr>
          <w:b w:val="0"/>
          <w:i w:val="0"/>
        </w:rPr>
      </w:r>
      <w:r>
        <w:rPr>
          <w:b/>
          <w:i w:val="0"/>
        </w:rPr>
        <w:t>GPU / CPU:</w:t>
      </w:r>
      <w:r>
        <w:rPr>
          <w:b w:val="0"/>
          <w:i w:val="0"/>
        </w:rPr>
        <w:t xml:space="preserve"> graphics processing unit / central processing unit. </w:t>
      </w:r>
      <w:r>
        <w:rPr>
          <w:b/>
          <w:i w:val="0"/>
        </w:rPr>
        <w:t>CUDA:</w:t>
      </w:r>
      <w:r>
        <w:rPr>
          <w:b w:val="0"/>
          <w:i w:val="0"/>
        </w:rPr>
        <w:t xml:space="preserve"> the graphics-compute software environment used in the recorded experiments. </w:t>
      </w:r>
      <w:r>
        <w:rPr>
          <w:b/>
          <w:i w:val="0"/>
        </w:rPr>
        <w:t>FLOPs / MACs:</w:t>
      </w:r>
      <w:r>
        <w:rPr>
          <w:b w:val="0"/>
          <w:i w:val="0"/>
        </w:rPr>
        <w:t xml:space="preserve"> floating-point operation counts / multiply-accumulate counts. Logical counts, actual kernel work and wall-clock latency are distinct. </w:t>
      </w:r>
      <w:r>
        <w:rPr>
          <w:b/>
          <w:i w:val="0"/>
        </w:rPr>
        <w:t>GiB / MiB:</w:t>
      </w:r>
      <w:r>
        <w:rPr>
          <w:b w:val="0"/>
          <w:i w:val="0"/>
        </w:rPr>
        <w:t xml:space="preserve"> binary gigabytes / megabytes. </w:t>
      </w:r>
      <w:r>
        <w:rPr>
          <w:b/>
          <w:i w:val="0"/>
        </w:rPr>
        <w:t>mm / h:</w:t>
      </w:r>
      <w:r>
        <w:rPr>
          <w:b w:val="0"/>
          <w:i w:val="0"/>
        </w:rPr>
        <w:t xml:space="preserve"> millimetres / hours. </w:t>
      </w:r>
      <w:r>
        <w:rPr>
          <w:b/>
          <w:i w:val="0"/>
        </w:rPr>
        <w:t>UTC:</w:t>
      </w:r>
      <w:r>
        <w:rPr>
          <w:b w:val="0"/>
          <w:i w:val="0"/>
        </w:rPr>
        <w:t xml:space="preserve"> Coordinated Universal Time.</w:t>
      </w:r>
    </w:p>
    <w:p>
      <w:r>
        <w:rPr>
          <w:b w:val="0"/>
          <w:i w:val="0"/>
        </w:rPr>
      </w:r>
      <w:r>
        <w:rPr>
          <w:b/>
          <w:i w:val="0"/>
        </w:rPr>
        <w:t>A/A test:</w:t>
      </w:r>
      <w:r>
        <w:rPr>
          <w:b w:val="0"/>
          <w:i w:val="0"/>
        </w:rPr>
        <w:t xml:space="preserve"> repeat the same method as its own control. </w:t>
      </w:r>
      <w:r>
        <w:rPr>
          <w:b/>
          <w:i w:val="0"/>
        </w:rPr>
        <w:t>Oracle:</w:t>
      </w:r>
      <w:r>
        <w:rPr>
          <w:b w:val="0"/>
          <w:i w:val="0"/>
        </w:rPr>
        <w:t xml:space="preserve"> an intervention using information that would not be available at the stated deployment cost. </w:t>
      </w:r>
      <w:r>
        <w:rPr>
          <w:b/>
          <w:i w:val="0"/>
        </w:rPr>
        <w:t>Warmup:</w:t>
      </w:r>
      <w:r>
        <w:rPr>
          <w:b w:val="0"/>
          <w:i w:val="0"/>
        </w:rPr>
        <w:t xml:space="preserve"> preliminary execution to populate and qualify runtime state. </w:t>
      </w:r>
      <w:r>
        <w:rPr>
          <w:b/>
          <w:i w:val="0"/>
        </w:rPr>
        <w:t>Native deployment:</w:t>
      </w:r>
      <w:r>
        <w:rPr>
          <w:b w:val="0"/>
          <w:i w:val="0"/>
        </w:rPr>
        <w:t xml:space="preserve"> the representation and kernels actually used at inference, not merely simulated numeric values.</w:t>
      </w:r>
    </w:p>
    <w:p>
      <w:bookmarkStart w:id="23" w:name="section_22"/>
      <w:pPr>
        <w:pStyle w:val="Heading1"/>
        <w:pageBreakBefore/>
        <w:spacing w:before="0"/>
      </w:pPr>
      <w:r>
        <w:rPr>
          <w:b w:val="0"/>
          <w:i w:val="0"/>
        </w:rPr>
        <w:t>Appendix C. Source register and audit notes</w:t>
      </w:r>
      <w:bookmarkEnd w:id="23"/>
    </w:p>
    <w:p>
      <w:pPr>
        <w:pStyle w:val="Heading2"/>
      </w:pPr>
      <w:r>
        <w:rPr>
          <w:b w:val="0"/>
          <w:i w:val="0"/>
        </w:rPr>
        <w:t>C.1 Sources directly supplied for this revision</w:t>
      </w:r>
    </w:p>
    <w:p>
      <w:r>
        <w:rPr>
          <w:b w:val="0"/>
          <w:i w:val="0"/>
        </w:rPr>
      </w:r>
      <w:r>
        <w:rPr>
          <w:b/>
          <w:i w:val="0"/>
        </w:rPr>
        <w:t>[H] Uploaded history:</w:t>
      </w:r>
      <w:r>
        <w:rPr>
          <w:b w:val="0"/>
          <w:i w:val="0"/>
        </w:rPr>
        <w:t xml:space="preserve"> </w:t>
      </w:r>
      <w:r>
        <w:rPr>
          <w:rFonts w:ascii="DejaVu Sans Mono" w:hAnsi="DejaVu Sans Mono"/>
          <w:b w:val="0"/>
          <w:i w:val="0"/>
          <w:color w:val="3F5666"/>
          <w:sz w:val="18"/>
        </w:rPr>
        <w:t>weather_project_history_and_roadmap(1).docx</w:t>
      </w:r>
      <w:r>
        <w:rPr>
          <w:b w:val="0"/>
          <w:i w:val="0"/>
        </w:rPr>
        <w:t>, research record through 8 October 2026. This is the source for historical numerical results unless another identifier is shown. Its original source register is reproduced below for traceability, not as a claim that each underlying file was independently inspected here.</w:t>
      </w:r>
    </w:p>
    <w:p>
      <w:r>
        <w:rPr>
          <w:b w:val="0"/>
          <w:i w:val="0"/>
        </w:rPr>
      </w:r>
      <w:r>
        <w:rPr>
          <w:b/>
          <w:i w:val="0"/>
        </w:rPr>
        <w:t>[F1] Follow-up narratives:</w:t>
      </w:r>
      <w:r>
        <w:rPr>
          <w:b w:val="0"/>
          <w:i w:val="0"/>
        </w:rPr>
        <w:t xml:space="preserve"> </w:t>
      </w:r>
      <w:r>
        <w:rPr>
          <w:rFonts w:ascii="DejaVu Sans Mono" w:hAnsi="DejaVu Sans Mono"/>
          <w:b w:val="0"/>
          <w:i w:val="0"/>
          <w:color w:val="3F5666"/>
          <w:sz w:val="18"/>
        </w:rPr>
        <w:t>v12_followup_2026-10-09/README.md</w:t>
      </w:r>
      <w:r>
        <w:rPr>
          <w:b w:val="0"/>
          <w:i w:val="0"/>
        </w:rPr>
        <w:t xml:space="preserve"> and </w:t>
      </w:r>
      <w:r>
        <w:rPr>
          <w:rFonts w:ascii="DejaVu Sans Mono" w:hAnsi="DejaVu Sans Mono"/>
          <w:b w:val="0"/>
          <w:i w:val="0"/>
          <w:color w:val="3F5666"/>
          <w:sz w:val="18"/>
        </w:rPr>
        <w:t>RESULTS.md</w:t>
      </w:r>
      <w:r>
        <w:rPr>
          <w:b w:val="0"/>
          <w:i w:val="0"/>
        </w:rPr>
        <w:t>. Read for preregistered rules, reported outcomes, repaired-four-bit and latent-interpolation status, and diagnostic limitations.</w:t>
      </w:r>
    </w:p>
    <w:p>
      <w:r>
        <w:rPr>
          <w:b w:val="0"/>
          <w:i w:val="0"/>
        </w:rPr>
      </w:r>
      <w:r>
        <w:rPr>
          <w:b/>
          <w:i w:val="0"/>
        </w:rPr>
        <w:t>[F2] Adaptive tables:</w:t>
      </w:r>
      <w:r>
        <w:rPr>
          <w:b w:val="0"/>
          <w:i w:val="0"/>
        </w:rPr>
        <w:t xml:space="preserve"> </w:t>
      </w:r>
      <w:r>
        <w:rPr>
          <w:rFonts w:ascii="DejaVu Sans Mono" w:hAnsi="DejaVu Sans Mono"/>
          <w:b w:val="0"/>
          <w:i w:val="0"/>
          <w:color w:val="3F5666"/>
          <w:sz w:val="18"/>
        </w:rPr>
        <w:t>J45/J4_FRONTIER.csv</w:t>
      </w:r>
      <w:r>
        <w:rPr>
          <w:b w:val="0"/>
          <w:i w:val="0"/>
        </w:rPr>
        <w:t xml:space="preserve"> and </w:t>
      </w:r>
      <w:r>
        <w:rPr>
          <w:rFonts w:ascii="DejaVu Sans Mono" w:hAnsi="DejaVu Sans Mono"/>
          <w:b w:val="0"/>
          <w:i w:val="0"/>
          <w:color w:val="3F5666"/>
          <w:sz w:val="18"/>
        </w:rPr>
        <w:t>J45/J4_PER_START.csv</w:t>
      </w:r>
      <w:r>
        <w:rPr>
          <w:b w:val="0"/>
          <w:i w:val="0"/>
        </w:rPr>
        <w:t>. Directly inspected and recomputed for six-start means, event transitions, cost heterogeneity and heavy-event support.</w:t>
      </w:r>
    </w:p>
    <w:p>
      <w:r>
        <w:rPr>
          <w:b w:val="0"/>
          <w:i w:val="0"/>
        </w:rPr>
      </w:r>
      <w:r>
        <w:rPr>
          <w:b/>
          <w:i w:val="0"/>
        </w:rPr>
        <w:t>[F3] Adaptive/ensemble implementation:</w:t>
      </w:r>
      <w:r>
        <w:rPr>
          <w:b w:val="0"/>
          <w:i w:val="0"/>
        </w:rPr>
        <w:t xml:space="preserve"> </w:t>
      </w:r>
      <w:r>
        <w:rPr>
          <w:rFonts w:ascii="DejaVu Sans Mono" w:hAnsi="DejaVu Sans Mono"/>
          <w:b w:val="0"/>
          <w:i w:val="0"/>
          <w:color w:val="3F5666"/>
          <w:sz w:val="18"/>
        </w:rPr>
        <w:t>fu_j45.py</w:t>
      </w:r>
      <w:r>
        <w:rPr>
          <w:b w:val="0"/>
          <w:i w:val="0"/>
        </w:rPr>
        <w:t xml:space="preserve">, especially </w:t>
      </w:r>
      <w:r>
        <w:rPr>
          <w:rFonts w:ascii="DejaVu Sans Mono" w:hAnsi="DejaVu Sans Mono"/>
          <w:b w:val="0"/>
          <w:i w:val="0"/>
          <w:color w:val="3F5666"/>
          <w:sz w:val="18"/>
        </w:rPr>
        <w:t>native_product</w:t>
      </w:r>
      <w:r>
        <w:rPr>
          <w:b w:val="0"/>
          <w:i w:val="0"/>
        </w:rPr>
        <w:t xml:space="preserve">, </w:t>
      </w:r>
      <w:r>
        <w:rPr>
          <w:rFonts w:ascii="DejaVu Sans Mono" w:hAnsi="DejaVu Sans Mono"/>
          <w:b w:val="0"/>
          <w:i w:val="0"/>
          <w:color w:val="3F5666"/>
          <w:sz w:val="18"/>
        </w:rPr>
        <w:t>trigger</w:t>
      </w:r>
      <w:r>
        <w:rPr>
          <w:b w:val="0"/>
          <w:i w:val="0"/>
        </w:rPr>
        <w:t xml:space="preserve">, </w:t>
      </w:r>
      <w:r>
        <w:rPr>
          <w:rFonts w:ascii="DejaVu Sans Mono" w:hAnsi="DejaVu Sans Mono"/>
          <w:b w:val="0"/>
          <w:i w:val="0"/>
          <w:color w:val="3F5666"/>
          <w:sz w:val="18"/>
        </w:rPr>
        <w:t>fair_crps</w:t>
      </w:r>
      <w:r>
        <w:rPr>
          <w:b w:val="0"/>
          <w:i w:val="0"/>
        </w:rPr>
        <w:t>, endpoint joins and reducers. Confirms a block-level trigger over either regional halo and native sequential accumulation.</w:t>
      </w:r>
    </w:p>
    <w:p>
      <w:r>
        <w:rPr>
          <w:b w:val="0"/>
          <w:i w:val="0"/>
        </w:rPr>
      </w:r>
      <w:r>
        <w:rPr>
          <w:b/>
          <w:i w:val="0"/>
        </w:rPr>
        <w:t>[F4] Ensemble and completion:</w:t>
      </w:r>
      <w:r>
        <w:rPr>
          <w:b w:val="0"/>
          <w:i w:val="0"/>
        </w:rPr>
        <w:t xml:space="preserve"> </w:t>
      </w:r>
      <w:r>
        <w:rPr>
          <w:rFonts w:ascii="DejaVu Sans Mono" w:hAnsi="DejaVu Sans Mono"/>
          <w:b w:val="0"/>
          <w:i w:val="0"/>
          <w:color w:val="3F5666"/>
          <w:sz w:val="18"/>
        </w:rPr>
        <w:t>J45/J5_PER_LEAD.csv</w:t>
      </w:r>
      <w:r>
        <w:rPr>
          <w:b w:val="0"/>
          <w:i w:val="0"/>
        </w:rPr>
        <w:t xml:space="preserve">, </w:t>
      </w:r>
      <w:r>
        <w:rPr>
          <w:rFonts w:ascii="DejaVu Sans Mono" w:hAnsi="DejaVu Sans Mono"/>
          <w:b w:val="0"/>
          <w:i w:val="0"/>
          <w:color w:val="3F5666"/>
          <w:sz w:val="18"/>
        </w:rPr>
        <w:t>J45/J45_FREEZE.json</w:t>
      </w:r>
      <w:r>
        <w:rPr>
          <w:b w:val="0"/>
          <w:i w:val="0"/>
        </w:rPr>
        <w:t xml:space="preserve">, </w:t>
      </w:r>
      <w:r>
        <w:rPr>
          <w:rFonts w:ascii="DejaVu Sans Mono" w:hAnsi="DejaVu Sans Mono"/>
          <w:b w:val="0"/>
          <w:i w:val="0"/>
          <w:color w:val="3F5666"/>
          <w:sz w:val="18"/>
        </w:rPr>
        <w:t>J45/J45_RESULT.json</w:t>
      </w:r>
      <w:r>
        <w:rPr>
          <w:b w:val="0"/>
          <w:i w:val="0"/>
        </w:rPr>
        <w:t>. Completed archived replay; eight ensemble starts, six adaptive evaluation starts, no selected policy, equal-size noise baseline pending.</w:t>
      </w:r>
    </w:p>
    <w:p>
      <w:r>
        <w:rPr>
          <w:b w:val="0"/>
          <w:i w:val="0"/>
        </w:rPr>
      </w:r>
      <w:r>
        <w:rPr>
          <w:b/>
          <w:i w:val="0"/>
        </w:rPr>
        <w:t>[F5] Diagnostic implementation:</w:t>
      </w:r>
      <w:r>
        <w:rPr>
          <w:b w:val="0"/>
          <w:i w:val="0"/>
        </w:rPr>
        <w:t xml:space="preserve"> </w:t>
      </w:r>
      <w:r>
        <w:rPr>
          <w:rFonts w:ascii="DejaVu Sans Mono" w:hAnsi="DejaVu Sans Mono"/>
          <w:b w:val="0"/>
          <w:i w:val="0"/>
          <w:color w:val="3F5666"/>
          <w:sz w:val="18"/>
        </w:rPr>
        <w:t>fu_diag.py</w:t>
      </w:r>
      <w:r>
        <w:rPr>
          <w:b w:val="0"/>
          <w:i w:val="0"/>
        </w:rPr>
        <w:t xml:space="preserve">. Confirms perturbation-response rule, crop lattice, saved-block support, eager timing scope and the fine-lead-1 identity assertion. The successful </w:t>
      </w:r>
      <w:r>
        <w:rPr>
          <w:rFonts w:ascii="DejaVu Sans Mono" w:hAnsi="DejaVu Sans Mono"/>
          <w:b w:val="0"/>
          <w:i w:val="0"/>
          <w:color w:val="3F5666"/>
          <w:sz w:val="18"/>
        </w:rPr>
        <w:t>gpu/FU_DIAG/DIAG_RESULT.json</w:t>
      </w:r>
      <w:r>
        <w:rPr>
          <w:b w:val="0"/>
          <w:i w:val="0"/>
        </w:rPr>
        <w:t xml:space="preserve">, </w:t>
      </w:r>
      <w:r>
        <w:rPr>
          <w:rFonts w:ascii="DejaVu Sans Mono" w:hAnsi="DejaVu Sans Mono"/>
          <w:b w:val="0"/>
          <w:i w:val="0"/>
          <w:color w:val="3F5666"/>
          <w:sz w:val="18"/>
        </w:rPr>
        <w:t>J1_SWEEP.json</w:t>
      </w:r>
      <w:r>
        <w:rPr>
          <w:b w:val="0"/>
          <w:i w:val="0"/>
        </w:rPr>
        <w:t xml:space="preserve"> and </w:t>
      </w:r>
      <w:r>
        <w:rPr>
          <w:rFonts w:ascii="DejaVu Sans Mono" w:hAnsi="DejaVu Sans Mono"/>
          <w:b w:val="0"/>
          <w:i w:val="0"/>
          <w:color w:val="3F5666"/>
          <w:sz w:val="18"/>
        </w:rPr>
        <w:t>J2_CROPS.json</w:t>
      </w:r>
      <w:r>
        <w:rPr>
          <w:b w:val="0"/>
          <w:i w:val="0"/>
        </w:rPr>
        <w:t xml:space="preserve"> cited in the narrative are not present in the upload.</w:t>
      </w:r>
    </w:p>
    <w:p>
      <w:r>
        <w:rPr>
          <w:b w:val="0"/>
          <w:i w:val="0"/>
        </w:rPr>
      </w:r>
      <w:r>
        <w:rPr>
          <w:b/>
          <w:i w:val="0"/>
        </w:rPr>
        <w:t>[F6] Failure ledger:</w:t>
      </w:r>
      <w:r>
        <w:rPr>
          <w:b w:val="0"/>
          <w:i w:val="0"/>
        </w:rPr>
        <w:t xml:space="preserve"> </w:t>
      </w:r>
      <w:r>
        <w:rPr>
          <w:rFonts w:ascii="DejaVu Sans Mono" w:hAnsi="DejaVu Sans Mono"/>
          <w:b w:val="0"/>
          <w:i w:val="0"/>
          <w:color w:val="3F5666"/>
          <w:sz w:val="18"/>
        </w:rPr>
        <w:t>failed_attempts/FAILURES.json</w:t>
      </w:r>
      <w:r>
        <w:rPr>
          <w:b w:val="0"/>
          <w:i w:val="0"/>
        </w:rPr>
        <w:t>, retained failed diagnostic result and logs. Confirms cache namespace failure, removed full-precision-backbone test and interrupted ensemble.</w:t>
      </w:r>
    </w:p>
    <w:p>
      <w:r>
        <w:rPr>
          <w:b w:val="0"/>
          <w:i w:val="0"/>
        </w:rPr>
      </w:r>
      <w:r>
        <w:rPr>
          <w:b/>
          <w:i w:val="0"/>
        </w:rPr>
        <w:t>[F7] Retry and execution logs:</w:t>
      </w:r>
      <w:r>
        <w:rPr>
          <w:b w:val="0"/>
          <w:i w:val="0"/>
        </w:rPr>
        <w:t xml:space="preserve"> </w:t>
      </w:r>
      <w:r>
        <w:rPr>
          <w:rFonts w:ascii="DejaVu Sans Mono" w:hAnsi="DejaVu Sans Mono"/>
          <w:b w:val="0"/>
          <w:i w:val="0"/>
          <w:color w:val="3F5666"/>
          <w:sz w:val="18"/>
        </w:rPr>
        <w:t>wait_and_run_j1.log</w:t>
      </w:r>
      <w:r>
        <w:rPr>
          <w:b w:val="0"/>
          <w:i w:val="0"/>
        </w:rPr>
        <w:t xml:space="preserve">, </w:t>
      </w:r>
      <w:r>
        <w:rPr>
          <w:rFonts w:ascii="DejaVu Sans Mono" w:hAnsi="DejaVu Sans Mono"/>
          <w:b w:val="0"/>
          <w:i w:val="0"/>
          <w:color w:val="3F5666"/>
          <w:sz w:val="18"/>
        </w:rPr>
        <w:t>FU_J1_R2.log</w:t>
      </w:r>
      <w:r>
        <w:rPr>
          <w:b w:val="0"/>
          <w:i w:val="0"/>
        </w:rPr>
        <w:t xml:space="preserve">, retry launch/worker manifests and </w:t>
      </w:r>
      <w:r>
        <w:rPr>
          <w:rFonts w:ascii="DejaVu Sans Mono" w:hAnsi="DejaVu Sans Mono"/>
          <w:b w:val="0"/>
          <w:i w:val="0"/>
          <w:color w:val="3F5666"/>
          <w:sz w:val="18"/>
        </w:rPr>
        <w:t>FU_J1.log</w:t>
      </w:r>
      <w:r>
        <w:rPr>
          <w:b w:val="0"/>
          <w:i w:val="0"/>
        </w:rPr>
        <w:t>. Retry launch at 11:05 UTC is recorded; no final successful retry output or analysis receipt is attached.</w:t>
      </w:r>
    </w:p>
    <w:p>
      <w:r>
        <w:rPr>
          <w:b w:val="0"/>
          <w:i w:val="0"/>
        </w:rPr>
      </w:r>
      <w:r>
        <w:rPr>
          <w:b/>
          <w:i w:val="0"/>
        </w:rPr>
        <w:t>[F8] Scheduling implementation:</w:t>
      </w:r>
      <w:r>
        <w:rPr>
          <w:b w:val="0"/>
          <w:i w:val="0"/>
        </w:rPr>
        <w:t xml:space="preserve"> </w:t>
      </w:r>
      <w:r>
        <w:rPr>
          <w:rFonts w:ascii="DejaVu Sans Mono" w:hAnsi="DejaVu Sans Mono"/>
          <w:b w:val="0"/>
          <w:i w:val="0"/>
          <w:color w:val="3F5666"/>
          <w:sz w:val="18"/>
        </w:rPr>
        <w:t>launch.py</w:t>
      </w:r>
      <w:r>
        <w:rPr>
          <w:b w:val="0"/>
          <w:i w:val="0"/>
        </w:rPr>
        <w:t xml:space="preserve">, </w:t>
      </w:r>
      <w:r>
        <w:rPr>
          <w:rFonts w:ascii="DejaVu Sans Mono" w:hAnsi="DejaVu Sans Mono"/>
          <w:b w:val="0"/>
          <w:i w:val="0"/>
          <w:color w:val="3F5666"/>
          <w:sz w:val="18"/>
        </w:rPr>
        <w:t>wait_and_run_j1.sh</w:t>
      </w:r>
      <w:r>
        <w:rPr>
          <w:b w:val="0"/>
          <w:i w:val="0"/>
        </w:rPr>
        <w:t xml:space="preserve">, </w:t>
      </w:r>
      <w:r>
        <w:rPr>
          <w:rFonts w:ascii="DejaVu Sans Mono" w:hAnsi="DejaVu Sans Mono"/>
          <w:b w:val="0"/>
          <w:i w:val="0"/>
          <w:color w:val="3F5666"/>
          <w:sz w:val="18"/>
        </w:rPr>
        <w:t>followup_worker.py</w:t>
      </w:r>
      <w:r>
        <w:rPr>
          <w:b w:val="0"/>
          <w:i w:val="0"/>
        </w:rPr>
        <w:t>. Shows service launching, resource guards and finite retries. The waiter counts two idle observations five minutes apart, which does not by itself prove ten continuous idle minutes; the new prompt requires elapsed-time-based idle admission and failure-safe device checks.</w:t>
      </w:r>
    </w:p>
    <w:p>
      <w:r>
        <w:rPr>
          <w:b w:val="0"/>
          <w:i w:val="0"/>
        </w:rPr>
      </w:r>
      <w:r>
        <w:rPr>
          <w:b/>
          <w:i w:val="0"/>
        </w:rPr>
        <w:t>[F9] Ensemble runners:</w:t>
      </w:r>
      <w:r>
        <w:rPr>
          <w:b w:val="0"/>
          <w:i w:val="0"/>
        </w:rPr>
        <w:t xml:space="preserve"> </w:t>
      </w:r>
      <w:r>
        <w:rPr>
          <w:rFonts w:ascii="DejaVu Sans Mono" w:hAnsi="DejaVu Sans Mono"/>
          <w:b w:val="0"/>
          <w:i w:val="0"/>
          <w:color w:val="3F5666"/>
          <w:sz w:val="18"/>
        </w:rPr>
        <w:t>fu_j1.py</w:t>
      </w:r>
      <w:r>
        <w:rPr>
          <w:b w:val="0"/>
          <w:i w:val="0"/>
        </w:rPr>
        <w:t xml:space="preserve">, </w:t>
      </w:r>
      <w:r>
        <w:rPr>
          <w:rFonts w:ascii="DejaVu Sans Mono" w:hAnsi="DejaVu Sans Mono"/>
          <w:b w:val="0"/>
          <w:i w:val="0"/>
          <w:color w:val="3F5666"/>
          <w:sz w:val="18"/>
        </w:rPr>
        <w:t>fu_analysis.py</w:t>
      </w:r>
      <w:r>
        <w:rPr>
          <w:b w:val="0"/>
          <w:i w:val="0"/>
        </w:rPr>
        <w:t xml:space="preserve"> and copied worker manifests. These import original repository modules and reference archives not bundled here. Their presence is not evidence that the full live repository or completed outputs are included.</w:t>
      </w:r>
    </w:p>
    <w:p>
      <w:pPr>
        <w:pStyle w:val="Heading2"/>
      </w:pPr>
      <w:r>
        <w:rPr>
          <w:b w:val="0"/>
          <w:i w:val="0"/>
        </w:rPr>
        <w:t>C.2 The original history's underlying source register</w:t>
      </w:r>
    </w:p>
    <w:p>
      <w:r>
        <w:rPr>
          <w:b w:val="0"/>
          <w:i w:val="0"/>
        </w:rPr>
        <w:t xml:space="preserve">Original S1: </w:t>
      </w:r>
      <w:r>
        <w:rPr>
          <w:rFonts w:ascii="DejaVu Sans Mono" w:hAnsi="DejaVu Sans Mono"/>
          <w:b w:val="0"/>
          <w:i w:val="0"/>
          <w:color w:val="3F5666"/>
          <w:sz w:val="18"/>
        </w:rPr>
        <w:t>upload/README.md</w:t>
      </w:r>
      <w:r>
        <w:rPr>
          <w:b w:val="0"/>
          <w:i w:val="0"/>
        </w:rPr>
        <w:t>, 2 October project review of early precision, pruning, protection, students and faults.</w:t>
      </w:r>
    </w:p>
    <w:p>
      <w:r>
        <w:rPr>
          <w:b w:val="0"/>
          <w:i w:val="0"/>
        </w:rPr>
        <w:t xml:space="preserve">Original S2: </w:t>
      </w:r>
      <w:r>
        <w:rPr>
          <w:rFonts w:ascii="DejaVu Sans Mono" w:hAnsi="DejaVu Sans Mono"/>
          <w:b w:val="0"/>
          <w:i w:val="0"/>
          <w:color w:val="3F5666"/>
          <w:sz w:val="18"/>
        </w:rPr>
        <w:t>upload/README(1).md</w:t>
      </w:r>
      <w:r>
        <w:rPr>
          <w:b w:val="0"/>
          <w:i w:val="0"/>
        </w:rPr>
        <w:t xml:space="preserve">, V5 sparse-query report. Original S3: </w:t>
      </w:r>
      <w:r>
        <w:rPr>
          <w:rFonts w:ascii="DejaVu Sans Mono" w:hAnsi="DejaVu Sans Mono"/>
          <w:b w:val="0"/>
          <w:i w:val="0"/>
          <w:color w:val="3F5666"/>
          <w:sz w:val="18"/>
        </w:rPr>
        <w:t>upload/README(2).md</w:t>
      </w:r>
      <w:r>
        <w:rPr>
          <w:b w:val="0"/>
          <w:i w:val="0"/>
        </w:rPr>
        <w:t xml:space="preserve">, V6 temporal/error controls. Original S4: </w:t>
      </w:r>
      <w:r>
        <w:rPr>
          <w:rFonts w:ascii="DejaVu Sans Mono" w:hAnsi="DejaVu Sans Mono"/>
          <w:b w:val="0"/>
          <w:i w:val="0"/>
          <w:color w:val="3F5666"/>
          <w:sz w:val="18"/>
        </w:rPr>
        <w:t>v7_report/README.md</w:t>
      </w:r>
      <w:r>
        <w:rPr>
          <w:b w:val="0"/>
          <w:i w:val="0"/>
        </w:rPr>
        <w:t xml:space="preserve">, V7 memory/repeatability. Original S5: </w:t>
      </w:r>
      <w:r>
        <w:rPr>
          <w:rFonts w:ascii="DejaVu Sans Mono" w:hAnsi="DejaVu Sans Mono"/>
          <w:b w:val="0"/>
          <w:i w:val="0"/>
          <w:color w:val="3F5666"/>
          <w:sz w:val="18"/>
        </w:rPr>
        <w:t>upload/README(3).md</w:t>
      </w:r>
      <w:r>
        <w:rPr>
          <w:b w:val="0"/>
          <w:i w:val="0"/>
        </w:rPr>
        <w:t xml:space="preserve">, V8 tiling. Original S6: </w:t>
      </w:r>
      <w:r>
        <w:rPr>
          <w:rFonts w:ascii="DejaVu Sans Mono" w:hAnsi="DejaVu Sans Mono"/>
          <w:b w:val="0"/>
          <w:i w:val="0"/>
          <w:color w:val="3F5666"/>
          <w:sz w:val="18"/>
        </w:rPr>
        <w:t>upload/README(4).md</w:t>
      </w:r>
      <w:r>
        <w:rPr>
          <w:b w:val="0"/>
          <w:i w:val="0"/>
        </w:rPr>
        <w:t>, V9 fresh confirmation.</w:t>
      </w:r>
    </w:p>
    <w:p>
      <w:r>
        <w:rPr>
          <w:b w:val="0"/>
          <w:i w:val="0"/>
        </w:rPr>
        <w:t xml:space="preserve">Original S7: </w:t>
      </w:r>
      <w:r>
        <w:rPr>
          <w:rFonts w:ascii="DejaVu Sans Mono" w:hAnsi="DejaVu Sans Mono"/>
          <w:b w:val="0"/>
          <w:i w:val="0"/>
          <w:color w:val="3F5666"/>
          <w:sz w:val="18"/>
        </w:rPr>
        <w:t>campaign_review/README.md</w:t>
      </w:r>
      <w:r>
        <w:rPr>
          <w:b w:val="0"/>
          <w:i w:val="0"/>
        </w:rPr>
        <w:t xml:space="preserve">, autonomous compression campaign. Original S8: </w:t>
      </w:r>
      <w:r>
        <w:rPr>
          <w:rFonts w:ascii="DejaVu Sans Mono" w:hAnsi="DejaVu Sans Mono"/>
          <w:b w:val="0"/>
          <w:i w:val="0"/>
          <w:color w:val="3F5666"/>
          <w:sz w:val="18"/>
        </w:rPr>
        <w:t>upload/README(5).md</w:t>
      </w:r>
      <w:r>
        <w:rPr>
          <w:b w:val="0"/>
          <w:i w:val="0"/>
        </w:rPr>
        <w:t xml:space="preserve">, V10 regional outputs and diagnosis. Original S9: </w:t>
      </w:r>
      <w:r>
        <w:rPr>
          <w:rFonts w:ascii="DejaVu Sans Mono" w:hAnsi="DejaVu Sans Mono"/>
          <w:b w:val="0"/>
          <w:i w:val="0"/>
          <w:color w:val="3F5666"/>
          <w:sz w:val="18"/>
        </w:rPr>
        <w:t>weather_frontier_v11/v11_prompt.md</w:t>
      </w:r>
      <w:r>
        <w:rPr>
          <w:b w:val="0"/>
          <w:i w:val="0"/>
        </w:rPr>
        <w:t>, V11 design rather than a results receipt.</w:t>
      </w:r>
    </w:p>
    <w:p>
      <w:r>
        <w:rPr>
          <w:b w:val="0"/>
          <w:i w:val="0"/>
        </w:rPr>
        <w:t xml:space="preserve">Original S10: </w:t>
      </w:r>
      <w:r>
        <w:rPr>
          <w:rFonts w:ascii="DejaVu Sans Mono" w:hAnsi="DejaVu Sans Mono"/>
          <w:b w:val="0"/>
          <w:i w:val="0"/>
          <w:color w:val="3F5666"/>
          <w:sz w:val="18"/>
        </w:rPr>
        <w:t>weather_rollout_research/autonomous_compression_rollout_recipe.md</w:t>
      </w:r>
      <w:r>
        <w:rPr>
          <w:b w:val="0"/>
          <w:i w:val="0"/>
        </w:rPr>
        <w:t xml:space="preserve">, autonomous design. Original S11: </w:t>
      </w:r>
      <w:r>
        <w:rPr>
          <w:rFonts w:ascii="DejaVu Sans Mono" w:hAnsi="DejaVu Sans Mono"/>
          <w:b w:val="0"/>
          <w:i w:val="0"/>
          <w:color w:val="3F5666"/>
          <w:sz w:val="18"/>
        </w:rPr>
        <w:t>upload/codex_era5_rollout_attribution_v4(2).md</w:t>
      </w:r>
      <w:r>
        <w:rPr>
          <w:b w:val="0"/>
          <w:i w:val="0"/>
        </w:rPr>
        <w:t xml:space="preserve">, V4 design with completed V3 summary. Original S12: </w:t>
      </w:r>
      <w:r>
        <w:rPr>
          <w:rFonts w:ascii="DejaVu Sans Mono" w:hAnsi="DejaVu Sans Mono"/>
          <w:b w:val="0"/>
          <w:i w:val="0"/>
          <w:color w:val="3F5666"/>
          <w:sz w:val="18"/>
        </w:rPr>
        <w:t>upload/v12_codex_combined.md</w:t>
      </w:r>
      <w:r>
        <w:rPr>
          <w:b w:val="0"/>
          <w:i w:val="0"/>
        </w:rPr>
        <w:t>, V12 plan and indirect V11 results.</w:t>
      </w:r>
    </w:p>
    <w:p>
      <w:r>
        <w:rPr>
          <w:b w:val="0"/>
          <w:i w:val="0"/>
        </w:rPr>
        <w:t xml:space="preserve">Original S13: </w:t>
      </w:r>
      <w:r>
        <w:rPr>
          <w:rFonts w:ascii="DejaVu Sans Mono" w:hAnsi="DejaVu Sans Mono"/>
          <w:b w:val="0"/>
          <w:i w:val="0"/>
          <w:color w:val="3F5666"/>
          <w:sz w:val="18"/>
        </w:rPr>
        <w:t>weather_rollout_followup/prompt.md</w:t>
      </w:r>
      <w:r>
        <w:rPr>
          <w:b w:val="0"/>
          <w:i w:val="0"/>
        </w:rPr>
        <w:t xml:space="preserve">, earlier recovery follow-up design. Original S14: </w:t>
      </w:r>
      <w:r>
        <w:rPr>
          <w:rFonts w:ascii="DejaVu Sans Mono" w:hAnsi="DejaVu Sans Mono"/>
          <w:b w:val="0"/>
          <w:i w:val="0"/>
          <w:color w:val="3F5666"/>
          <w:sz w:val="18"/>
        </w:rPr>
        <w:t>campaign_review/QUANTIZATION_TOPOLOGY_FREEZE.json</w:t>
      </w:r>
      <w:r>
        <w:rPr>
          <w:b w:val="0"/>
          <w:i w:val="0"/>
        </w:rPr>
        <w:t xml:space="preserve">, 192-module topology record. Original S15: </w:t>
      </w:r>
      <w:r>
        <w:rPr>
          <w:rFonts w:ascii="DejaVu Sans Mono" w:hAnsi="DejaVu Sans Mono"/>
          <w:b w:val="0"/>
          <w:i w:val="0"/>
          <w:color w:val="3F5666"/>
          <w:sz w:val="18"/>
        </w:rPr>
        <w:t>campaign_review/FAILURE_INDEX.json</w:t>
      </w:r>
      <w:r>
        <w:rPr>
          <w:b w:val="0"/>
          <w:i w:val="0"/>
        </w:rPr>
        <w:t>, old blocked-cohort and four-bit construction failures.</w:t>
      </w:r>
    </w:p>
    <w:p>
      <w:r>
        <w:rPr>
          <w:b w:val="0"/>
          <w:i w:val="0"/>
        </w:rPr>
        <w:t xml:space="preserve">Original S16: </w:t>
      </w:r>
      <w:r>
        <w:rPr>
          <w:rFonts w:ascii="DejaVu Sans Mono" w:hAnsi="DejaVu Sans Mono"/>
          <w:b w:val="0"/>
          <w:i w:val="0"/>
          <w:color w:val="3F5666"/>
          <w:sz w:val="18"/>
        </w:rPr>
        <w:t>upload/kd_quantization_report.docx</w:t>
      </w:r>
      <w:r>
        <w:rPr>
          <w:b w:val="0"/>
          <w:i w:val="0"/>
        </w:rPr>
        <w:t xml:space="preserve">, separate-project literature inspiration, not weather results. Original S17: </w:t>
      </w:r>
      <w:r>
        <w:rPr>
          <w:rFonts w:ascii="DejaVu Sans Mono" w:hAnsi="DejaVu Sans Mono"/>
          <w:b w:val="0"/>
          <w:i w:val="0"/>
          <w:color w:val="3F5666"/>
          <w:sz w:val="18"/>
        </w:rPr>
        <w:t>campaign_review/E1_PER_START.csv</w:t>
      </w:r>
      <w:r>
        <w:rPr>
          <w:b w:val="0"/>
          <w:i w:val="0"/>
        </w:rPr>
        <w:t xml:space="preserve">, the per-start ladder used to obtain six-start denominators. Original S18: </w:t>
      </w:r>
      <w:r>
        <w:rPr>
          <w:rFonts w:ascii="DejaVu Sans Mono" w:hAnsi="DejaVu Sans Mono"/>
          <w:b w:val="0"/>
          <w:i w:val="0"/>
          <w:color w:val="3F5666"/>
          <w:sz w:val="18"/>
        </w:rPr>
        <w:t>campaign_review/scorer_freeze.json</w:t>
      </w:r>
      <w:r>
        <w:rPr>
          <w:b w:val="0"/>
          <w:i w:val="0"/>
        </w:rPr>
        <w:t>, task objective and analysis family.</w:t>
      </w:r>
    </w:p>
    <w:p>
      <w:pPr>
        <w:pStyle w:val="Heading2"/>
      </w:pPr>
      <w:r>
        <w:rPr>
          <w:b w:val="0"/>
          <w:i w:val="0"/>
        </w:rPr>
        <w:t>C.3 External background consulted, not project evidence</w:t>
      </w:r>
    </w:p>
    <w:p>
      <w:r>
        <w:rPr>
          <w:b w:val="0"/>
          <w:i w:val="0"/>
        </w:rPr>
      </w:r>
      <w:r>
        <w:rPr>
          <w:b/>
          <w:i w:val="0"/>
        </w:rPr>
        <w:t>[W1] Frantar et al., “GPTQ: Accurate Post-Training Quantization for Generative Pre-trained Transformers,” ICLR 2023; arXiv:2210.17323.</w:t>
      </w:r>
      <w:r>
        <w:rPr>
          <w:b w:val="0"/>
          <w:i w:val="0"/>
        </w:rPr>
        <w:t xml:space="preserve"> Used only to explain the general second-order reconstruction method.</w:t>
      </w:r>
    </w:p>
    <w:p>
      <w:r>
        <w:rPr>
          <w:b w:val="0"/>
          <w:i w:val="0"/>
        </w:rPr>
      </w:r>
      <w:r>
        <w:rPr>
          <w:b/>
          <w:i w:val="0"/>
        </w:rPr>
        <w:t>[W2] “Efficient Finetuning-Free Quantization for Asymmetric Calibration,” arXiv:2504.02692.</w:t>
      </w:r>
      <w:r>
        <w:rPr>
          <w:b w:val="0"/>
          <w:i w:val="0"/>
        </w:rPr>
        <w:t xml:space="preserve"> Used only for the general GPTAQ asymmetric-calibration idea. No language-model recovery percentage is transferred into weather expectations.</w:t>
      </w:r>
    </w:p>
    <w:p>
      <w:r>
        <w:rPr>
          <w:b w:val="0"/>
          <w:i w:val="0"/>
        </w:rPr>
      </w:r>
      <w:r>
        <w:rPr>
          <w:b/>
          <w:i w:val="0"/>
        </w:rPr>
        <w:t>[W3] Ross, Gordon and Bagnell, “A Reduction of Imitation Learning and Structured Prediction to No-Regret Online Learning,” AISTATS 2011, PMLR 15:627–635.</w:t>
      </w:r>
      <w:r>
        <w:rPr>
          <w:b w:val="0"/>
          <w:i w:val="0"/>
        </w:rPr>
        <w:t xml:space="preserve"> Background for teaching on learner-visited states, not proof of a weather-training result.</w:t>
      </w:r>
    </w:p>
    <w:p>
      <w:r>
        <w:rPr>
          <w:b w:val="0"/>
          <w:i w:val="0"/>
        </w:rPr>
      </w:r>
      <w:r>
        <w:rPr>
          <w:b/>
          <w:i w:val="0"/>
        </w:rPr>
        <w:t>[W4] systemd-run manual, freedesktop.org. [W5] loginctl manual, freedesktop.org.</w:t>
      </w:r>
      <w:r>
        <w:rPr>
          <w:b w:val="0"/>
          <w:i w:val="0"/>
        </w:rPr>
        <w:t xml:space="preserve"> Background for service-managed execution and user lingering. The installed host version and actual permissions remain authoritative.</w:t>
      </w:r>
    </w:p>
    <w:p>
      <w:r>
        <w:rPr>
          <w:b w:val="0"/>
          <w:i w:val="0"/>
        </w:rPr>
      </w:r>
      <w:r>
        <w:rPr>
          <w:b/>
          <w:i w:val="0"/>
        </w:rPr>
        <w:t>[W6] Claude Code official documentation, “Run Claude Code programmatically.” [W7] Claude Code official documentation, “CLI reference.”</w:t>
      </w:r>
      <w:r>
        <w:rPr>
          <w:b w:val="0"/>
          <w:i w:val="0"/>
        </w:rPr>
        <w:t xml:space="preserve"> Consulted 9 October 2026 for non-interactive execution, permissions and finite limits. The prompt requires feature detection of the installed command-line version and does not invent a model identifier for “Opus 5.5.”</w:t>
      </w:r>
    </w:p>
    <w:p>
      <w:r>
        <w:rPr>
          <w:b w:val="0"/>
          <w:i w:val="0"/>
        </w:rPr>
      </w:r>
      <w:r>
        <w:rPr>
          <w:b/>
          <w:i w:val="0"/>
        </w:rPr>
        <w:t>Final boundary:</w:t>
      </w:r>
      <w:r>
        <w:rPr>
          <w:b w:val="0"/>
          <w:i w:val="0"/>
        </w:rPr>
        <w:t xml:space="preserve"> this revised history explains and audits the supplied evidence. It does not certify the live job state, execute new Aurora forecasts, unlock held-out data or establish a new scientific method's effectiveness.</w:t>
      </w:r>
    </w:p>
    <w:sectPr w:rsidR="00FC693F" w:rsidRPr="0006063C" w:rsidSect="00034616">
      <w:headerReference w:type="default" r:id="rId9"/>
      <w:footerReference w:type="default" r:id="rId10"/>
      <w:footerReference w:type="first" r:id="rId11"/>
      <w:pgSz w:w="11905" w:h="16838"/>
      <w:pgMar w:top="1037" w:right="1123"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47584"/>
        <w:sz w:val="16"/>
      </w:rPr>
      <w:t xml:space="preserve">9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color w:val="647584"/>
        <w:sz w:val="16"/>
      </w:rPr>
      <w:t>Weather_modelling  •  Source-grounded revision and next-experiment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CAD6DE"/>
      </w:pBdr>
    </w:pPr>
    <w:r>
      <w:rPr>
        <w:rFonts w:ascii="Lato" w:hAnsi="Lato"/>
        <w:color w:val="647584"/>
        <w:sz w:val="16"/>
      </w:rPr>
      <w:t>WEATHER MODELLING  /  EXPLAINED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2" w:lineRule="auto"/>
    </w:pPr>
    <w:rPr>
      <w:rFonts w:ascii="Lato" w:hAnsi="Lato" w:eastAsia="Lato"/>
      <w:color w:val="1B26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80"/>
      <w:outlineLvl w:val="0"/>
    </w:pPr>
    <w:rPr>
      <w:rFonts w:asciiTheme="majorHAnsi" w:eastAsiaTheme="majorEastAsia" w:hAnsiTheme="majorHAnsi" w:cstheme="majorBidi" w:ascii="Lato" w:hAnsi="Lato" w:eastAsia="Lato"/>
      <w:b/>
      <w:bCs/>
      <w:color w:val="15374F"/>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ato" w:hAnsi="Lato" w:eastAsia="Lato"/>
      <w:b/>
      <w:bCs/>
      <w:color w:val="15374F"/>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Lato" w:hAnsi="Lato" w:eastAsia="Lato"/>
      <w:b/>
      <w:bCs/>
      <w:color w:val="1537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Lato" w:hAnsi="Lato" w:eastAsia="Lato"/>
      <w:b/>
      <w:color w:val="15374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pPr>
    <w:rPr>
      <w:rFonts w:asciiTheme="majorHAnsi" w:eastAsiaTheme="majorEastAsia" w:hAnsiTheme="majorHAnsi" w:cstheme="majorBidi" w:ascii="Lato" w:hAnsi="Lato" w:eastAsia="Lato"/>
      <w:i/>
      <w:iCs/>
      <w:color w:val="5167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eastAsia="Lato"/>
      <w:color w:val="1B263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color w:val="1B263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pPr>
    <w:rPr>
      <w:rFonts w:ascii="DejaVu Sans Mono" w:hAnsi="DejaVu Sans Mono"/>
      <w:sz w:val="18"/>
    </w:rPr>
  </w:style>
  <w:style w:type="paragraph" w:customStyle="1" w:styleId="ContentsEntry">
    <w:name w:val="Contents Entry"/>
    <w:pPr>
      <w:spacing w:after="140" w:line="247" w:lineRule="auto"/>
    </w:pPr>
    <w:rPr>
      <w:rFonts w:ascii="Lato" w:hAnsi="Lato"/>
      <w:sz w:val="21"/>
    </w:rPr>
  </w:style>
  <w:style w:type="paragraph" w:customStyle="1" w:styleId="TableText">
    <w:name w:val="Table Text"/>
    <w:pPr>
      <w:spacing w:line="247" w:lineRule="auto" w:after="60" w:before="20"/>
    </w:pPr>
    <w:rPr>
      <w:rFonts w:ascii="Lato" w:hAnsi="Lat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modelling project history and research roadmap — explained revision</dc:title>
  <dc:subject>Source-grounded project history, V12 follow-up audit, and next research decisions</dc:subject>
  <dc:creator>Weather_modelling research project</dc:creator>
  <cp:keywords>Aurora, rainfall, compression, rollout, quantization, validation, research roadmap</cp:keywords>
  <dc:description>Revised from the supplied history and 9 October follow-up archive. No new weather experiments executed in preparing this document.</dc:description>
  <cp:lastModifiedBy/>
  <cp:revision>1</cp:revision>
  <dcterms:created xsi:type="dcterms:W3CDTF">2013-12-23T23:15:00Z</dcterms:created>
  <dcterms:modified xsi:type="dcterms:W3CDTF">2013-12-23T23:15:00Z</dcterms:modified>
  <cp:category/>
</cp:coreProperties>
</file>