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480" w:line="240" w:lineRule="auto"/>
        <w:rPr>
          <w:rFonts w:ascii="Calibri" w:cs="Calibri" w:eastAsia="Calibri" w:hAnsi="Calibri"/>
          <w:b w:val="1"/>
          <w:color w:val="345a8a"/>
          <w:sz w:val="32"/>
          <w:szCs w:val="32"/>
        </w:rPr>
      </w:pPr>
      <w:bookmarkStart w:colFirst="0" w:colLast="0" w:name="_chshlrilbzb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5a8a"/>
          <w:sz w:val="32"/>
          <w:szCs w:val="32"/>
          <w:rtl w:val="0"/>
        </w:rPr>
        <w:t xml:space="preserve">Improved Salmon and Trout Egg Counter Weekly Progress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Report date: 1/23/2022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Last Week (hours spent)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Review (Team met for 4 hours together)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for clarification questions on deliverables and descriptions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with Curt at Jensortor to look at the old designs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Started the Project Proposal 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Obtained the ESP32 Cams 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 (4 hours)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Started working on the project proposal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Looked at Segmentation Tutorials (Likely overkill)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Reviewed STM32 User Manual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to receive STM32 MCU board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Plan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Draft and Weigh various counting mechanisms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Maybe try and take our first picture with the camera (cat required)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 on the report first, then Hello world on the STM board if time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Hello world on the STM board 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Finish Initial Product Designs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Gantt Chart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 my assigned section of the Project Proposal  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Hello World on the STM Board 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Investigate equivalent camera options for ESP32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Blocks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Deciding on the specific counting mechanism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couple project report sections (i.e. IP and stakeholders)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Block diagram understanding 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