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3966" w14:textId="3133EB33" w:rsidR="00132AB9" w:rsidRDefault="00B143E4" w:rsidP="0011486F">
      <w:pPr>
        <w:pStyle w:val="Title"/>
        <w:numPr>
          <w:ilvl w:val="0"/>
          <w:numId w:val="0"/>
        </w:numPr>
        <w:ind w:left="432"/>
      </w:pPr>
      <w:r>
        <w:t>Exploring the 20</w:t>
      </w:r>
      <w:r w:rsidR="0024661A">
        <w:t>09</w:t>
      </w:r>
      <w:r>
        <w:t xml:space="preserve"> </w:t>
      </w:r>
      <w:proofErr w:type="spellStart"/>
      <w:r>
        <w:t>AuSSA</w:t>
      </w:r>
      <w:proofErr w:type="spellEnd"/>
      <w:r>
        <w:t xml:space="preserve"> Data</w:t>
      </w:r>
    </w:p>
    <w:p w14:paraId="1FE801EF" w14:textId="77777777" w:rsidR="00574B7B" w:rsidRDefault="00B143E4" w:rsidP="00574B7B">
      <w:pPr>
        <w:ind w:firstLine="360"/>
      </w:pPr>
      <w:r>
        <w:t xml:space="preserve">The </w:t>
      </w:r>
      <w:r w:rsidR="0024661A">
        <w:t>7</w:t>
      </w:r>
      <w:r w:rsidR="0024661A" w:rsidRPr="0024661A">
        <w:rPr>
          <w:vertAlign w:val="superscript"/>
        </w:rPr>
        <w:t>th</w:t>
      </w:r>
      <w:r w:rsidR="0024661A">
        <w:t xml:space="preserve"> </w:t>
      </w:r>
      <w:r>
        <w:t>workshop introduces the 20</w:t>
      </w:r>
      <w:bookmarkStart w:id="0" w:name="_GoBack"/>
      <w:bookmarkEnd w:id="0"/>
      <w:r w:rsidR="0024661A">
        <w:t>09</w:t>
      </w:r>
      <w:r>
        <w:t xml:space="preserve"> Australian Survey of Social Attitudes (</w:t>
      </w:r>
      <w:proofErr w:type="spellStart"/>
      <w:r>
        <w:t>AuSSA</w:t>
      </w:r>
      <w:proofErr w:type="spellEnd"/>
      <w:r>
        <w:t xml:space="preserve">). </w:t>
      </w:r>
      <w:r w:rsidR="00E95929" w:rsidRPr="00E95929">
        <w:t xml:space="preserve">The </w:t>
      </w:r>
      <w:r w:rsidR="00D36492">
        <w:t xml:space="preserve">module </w:t>
      </w:r>
      <w:r w:rsidR="00E95929" w:rsidRPr="00E95929">
        <w:t>t</w:t>
      </w:r>
      <w:r w:rsidR="00D36492">
        <w:t>opic</w:t>
      </w:r>
      <w:r w:rsidR="00E95929" w:rsidRPr="00E95929">
        <w:t xml:space="preserve"> for 20</w:t>
      </w:r>
      <w:r w:rsidR="0024661A">
        <w:t>09</w:t>
      </w:r>
      <w:r w:rsidR="00E95929" w:rsidRPr="00E95929">
        <w:t xml:space="preserve"> </w:t>
      </w:r>
      <w:r w:rsidR="00E95929">
        <w:t>was “</w:t>
      </w:r>
      <w:r w:rsidR="0024661A">
        <w:rPr>
          <w:rFonts w:hint="eastAsia"/>
        </w:rPr>
        <w:t>s</w:t>
      </w:r>
      <w:r w:rsidR="0024661A">
        <w:t>ocial inequality</w:t>
      </w:r>
      <w:r w:rsidR="00E95929">
        <w:t xml:space="preserve">”. </w:t>
      </w:r>
      <w:r w:rsidR="00D36492" w:rsidRPr="00BB6333">
        <w:rPr>
          <w:noProof/>
        </w:rPr>
        <w:t>This</w:t>
      </w:r>
      <w:r w:rsidR="00D36492">
        <w:t xml:space="preserve"> is the most recent ISSP data on this topic, which was surveyed four times in 198</w:t>
      </w:r>
      <w:r w:rsidR="0024661A">
        <w:t>7</w:t>
      </w:r>
      <w:r w:rsidR="00D36492">
        <w:t>, 199</w:t>
      </w:r>
      <w:r w:rsidR="0024661A">
        <w:t>2</w:t>
      </w:r>
      <w:r w:rsidR="00D36492">
        <w:t xml:space="preserve">, </w:t>
      </w:r>
      <w:r w:rsidR="0024661A">
        <w:t>1999</w:t>
      </w:r>
      <w:r w:rsidR="00574B7B">
        <w:t xml:space="preserve"> and 2009</w:t>
      </w:r>
      <w:r w:rsidR="00D36492">
        <w:t>.</w:t>
      </w:r>
      <w:r w:rsidR="00574B7B">
        <w:t xml:space="preserve"> </w:t>
      </w:r>
    </w:p>
    <w:p w14:paraId="2DAB4DFE" w14:textId="7B1BE503" w:rsidR="00D85EB1" w:rsidRDefault="00B703FD" w:rsidP="00574B7B">
      <w:pPr>
        <w:ind w:firstLine="360"/>
      </w:pPr>
      <w:r>
        <w:t xml:space="preserve">The dataset is </w:t>
      </w:r>
      <w:r w:rsidR="00E95929">
        <w:t>extracted from</w:t>
      </w:r>
      <w:r>
        <w:t xml:space="preserve"> the 20</w:t>
      </w:r>
      <w:r w:rsidR="0024661A">
        <w:t>09</w:t>
      </w:r>
      <w:r>
        <w:t xml:space="preserve"> ISS</w:t>
      </w:r>
      <w:r w:rsidR="00E95929">
        <w:t xml:space="preserve">P </w:t>
      </w:r>
      <w:r w:rsidR="00D36492">
        <w:t>data but</w:t>
      </w:r>
      <w:r w:rsidR="00E95929">
        <w:t xml:space="preserve"> includes only Australian respondents.</w:t>
      </w:r>
      <w:r w:rsidR="00D36492">
        <w:t xml:space="preserve"> </w:t>
      </w:r>
      <w:r w:rsidR="00D85EB1">
        <w:t>Th</w:t>
      </w:r>
      <w:r w:rsidR="00D36492">
        <w:t>is</w:t>
      </w:r>
      <w:r w:rsidR="00D85EB1">
        <w:t xml:space="preserve"> 20</w:t>
      </w:r>
      <w:r w:rsidR="0024661A">
        <w:t>09</w:t>
      </w:r>
      <w:r w:rsidR="00D36492">
        <w:t xml:space="preserve"> </w:t>
      </w:r>
      <w:proofErr w:type="spellStart"/>
      <w:r w:rsidR="00D85EB1">
        <w:t>Au</w:t>
      </w:r>
      <w:r w:rsidR="00203CC2">
        <w:t>SSA</w:t>
      </w:r>
      <w:proofErr w:type="spellEnd"/>
      <w:r w:rsidR="00D85EB1">
        <w:t xml:space="preserve"> is one of the </w:t>
      </w:r>
      <w:r w:rsidR="00574B7B">
        <w:t xml:space="preserve">three </w:t>
      </w:r>
      <w:r w:rsidR="00D85EB1">
        <w:t>datasets</w:t>
      </w:r>
      <w:r w:rsidR="00203CC2">
        <w:t xml:space="preserve"> that you </w:t>
      </w:r>
      <w:r w:rsidR="00216583">
        <w:t>can</w:t>
      </w:r>
      <w:r w:rsidR="00203CC2">
        <w:t xml:space="preserve"> use for </w:t>
      </w:r>
      <w:r w:rsidR="00216583">
        <w:t>your</w:t>
      </w:r>
      <w:r w:rsidR="00203CC2">
        <w:t xml:space="preserve"> final research project. </w:t>
      </w:r>
      <w:r w:rsidR="00574B7B">
        <w:t xml:space="preserve">To </w:t>
      </w:r>
      <w:r w:rsidR="0060365D">
        <w:t>know more about the 20</w:t>
      </w:r>
      <w:r w:rsidR="00574B7B">
        <w:t>09</w:t>
      </w:r>
      <w:r w:rsidR="0060365D">
        <w:t xml:space="preserve"> </w:t>
      </w:r>
      <w:proofErr w:type="spellStart"/>
      <w:r w:rsidR="0060365D">
        <w:t>AuSSA</w:t>
      </w:r>
      <w:proofErr w:type="spellEnd"/>
      <w:r w:rsidR="0060365D">
        <w:t xml:space="preserve">, visit </w:t>
      </w:r>
      <w:hyperlink r:id="rId8" w:history="1">
        <w:r w:rsidR="0024661A" w:rsidRPr="0024661A">
          <w:rPr>
            <w:rStyle w:val="Hyperlink"/>
          </w:rPr>
          <w:t>https://dataverse.ada.edu.au/dataset.xhtml?persistentId=doi:10.4225/87/IH68HQ</w:t>
        </w:r>
      </w:hyperlink>
      <w:r w:rsidR="0060365D">
        <w:t>.</w:t>
      </w:r>
    </w:p>
    <w:p w14:paraId="2D3B3853" w14:textId="476E7772" w:rsidR="0024661A" w:rsidRDefault="0024661A" w:rsidP="00D36492">
      <w:pPr>
        <w:ind w:firstLine="360"/>
      </w:pPr>
      <w:r>
        <w:t xml:space="preserve">Download the dataset from the course iLearn page. Find “2009 </w:t>
      </w:r>
      <w:proofErr w:type="spellStart"/>
      <w:r>
        <w:t>AuSSA</w:t>
      </w:r>
      <w:proofErr w:type="spellEnd"/>
      <w:r>
        <w:t xml:space="preserve"> SPSS Data File” under the tab of Datasets.</w:t>
      </w:r>
      <w:r w:rsidR="001B3D2F">
        <w:t xml:space="preserve"> Also, look at “A Simple Codebook of the 2009 </w:t>
      </w:r>
      <w:proofErr w:type="spellStart"/>
      <w:r w:rsidR="001B3D2F">
        <w:t>AuSSA</w:t>
      </w:r>
      <w:proofErr w:type="spellEnd"/>
      <w:r w:rsidR="001B3D2F">
        <w:t xml:space="preserve">” </w:t>
      </w:r>
      <w:r w:rsidR="001B3D2F">
        <w:rPr>
          <w:rFonts w:hint="eastAsia"/>
        </w:rPr>
        <w:t>a</w:t>
      </w:r>
      <w:r w:rsidR="001B3D2F">
        <w:t xml:space="preserve">nd “A Detailed Codebook of the 2009 </w:t>
      </w:r>
      <w:proofErr w:type="spellStart"/>
      <w:r w:rsidR="001B3D2F">
        <w:t>AuSSA</w:t>
      </w:r>
      <w:proofErr w:type="spellEnd"/>
      <w:r w:rsidR="001B3D2F">
        <w:t>” which provide useful information on variables and their values.</w:t>
      </w:r>
    </w:p>
    <w:p w14:paraId="73E93437" w14:textId="77777777" w:rsidR="001B3D2F" w:rsidRDefault="001B3D2F" w:rsidP="00D36492">
      <w:pPr>
        <w:ind w:firstLine="360"/>
      </w:pPr>
    </w:p>
    <w:p w14:paraId="0B1A98EB" w14:textId="3324A572" w:rsidR="00E908C0" w:rsidRPr="00F506C5" w:rsidRDefault="00C51D8D" w:rsidP="00B143E4">
      <w:pPr>
        <w:rPr>
          <w:b/>
          <w:sz w:val="32"/>
        </w:rPr>
      </w:pPr>
      <w:r w:rsidRPr="00F506C5">
        <w:rPr>
          <w:b/>
          <w:sz w:val="32"/>
        </w:rPr>
        <w:t>Workshop Activities</w:t>
      </w:r>
    </w:p>
    <w:p w14:paraId="67B7ECB1" w14:textId="7C513B4B" w:rsidR="00B17D26" w:rsidRDefault="003136AC" w:rsidP="00031A55">
      <w:r>
        <w:t xml:space="preserve">As this week’s workshop focuses on guidelines for your final data analysis report, we don’t have any new demonstration of SPSS commands. </w:t>
      </w:r>
      <w:r w:rsidRPr="00BB6333">
        <w:rPr>
          <w:noProof/>
        </w:rPr>
        <w:t>Instead</w:t>
      </w:r>
      <w:r w:rsidR="00BB6333">
        <w:rPr>
          <w:noProof/>
        </w:rPr>
        <w:t>,</w:t>
      </w:r>
      <w:r>
        <w:t xml:space="preserve"> we revisit some critical SPSS skills we learned in previous weeks, which now you should feel confident and comfortable in </w:t>
      </w:r>
      <w:r w:rsidR="00B17D26">
        <w:t xml:space="preserve">employing. </w:t>
      </w:r>
    </w:p>
    <w:p w14:paraId="122CBA72" w14:textId="50373C7F" w:rsidR="001B3D2F" w:rsidRDefault="00B17D26" w:rsidP="00031A55">
      <w:r>
        <w:t>Therefore, this 7</w:t>
      </w:r>
      <w:r w:rsidRPr="00B17D26">
        <w:rPr>
          <w:vertAlign w:val="superscript"/>
        </w:rPr>
        <w:t>th</w:t>
      </w:r>
      <w:r>
        <w:t xml:space="preserve"> workshop guide has only workshop activities. Open the dataset of </w:t>
      </w:r>
      <w:r w:rsidR="001B3D2F">
        <w:t xml:space="preserve">2009 </w:t>
      </w:r>
      <w:proofErr w:type="spellStart"/>
      <w:r w:rsidR="001B3D2F">
        <w:t>AuSSA</w:t>
      </w:r>
      <w:proofErr w:type="spellEnd"/>
      <w:r w:rsidR="001B3D2F">
        <w:t xml:space="preserve"> data</w:t>
      </w:r>
      <w:r>
        <w:t xml:space="preserve"> and</w:t>
      </w:r>
      <w:r w:rsidR="003136AC">
        <w:t xml:space="preserve"> </w:t>
      </w:r>
      <w:r w:rsidR="001B3D2F">
        <w:t>answer the following questions</w:t>
      </w:r>
      <w:r>
        <w:t xml:space="preserve">: </w:t>
      </w:r>
    </w:p>
    <w:p w14:paraId="2FBEA44D" w14:textId="77777777" w:rsidR="001856A4" w:rsidRDefault="001856A4" w:rsidP="00031A55"/>
    <w:p w14:paraId="7F6CEBF8" w14:textId="652D8785" w:rsidR="001B3D2F" w:rsidRDefault="001B3D2F" w:rsidP="000050B9">
      <w:r>
        <w:t xml:space="preserve">Q1. </w:t>
      </w:r>
      <w:r w:rsidR="00C5781F">
        <w:t>In a</w:t>
      </w:r>
      <w:r w:rsidR="001856A4">
        <w:t>n open</w:t>
      </w:r>
      <w:r w:rsidR="00C5781F">
        <w:t xml:space="preserve"> society</w:t>
      </w:r>
      <w:r w:rsidR="001856A4">
        <w:t>,</w:t>
      </w:r>
      <w:r w:rsidR="00C5781F">
        <w:t xml:space="preserve"> top positions </w:t>
      </w:r>
      <w:r w:rsidR="00B17D26">
        <w:t>are allowed</w:t>
      </w:r>
      <w:r w:rsidR="001856A4">
        <w:t xml:space="preserve"> </w:t>
      </w:r>
      <w:r w:rsidR="00C5781F">
        <w:t>for anyone who aims to achieve them</w:t>
      </w:r>
      <w:r w:rsidR="001856A4">
        <w:t>, and thus</w:t>
      </w:r>
      <w:r w:rsidR="00C5781F">
        <w:t xml:space="preserve"> individual talent, motivation and efforts</w:t>
      </w:r>
      <w:r w:rsidR="000050B9">
        <w:t xml:space="preserve"> should determine outcomes and accomplishments rather than family background or status. Let’s look at </w:t>
      </w:r>
      <w:r w:rsidR="00B17D26">
        <w:t xml:space="preserve">how </w:t>
      </w:r>
      <w:r w:rsidR="000050B9">
        <w:t xml:space="preserve">Australians’ view </w:t>
      </w:r>
      <w:r w:rsidR="00B17D26">
        <w:t xml:space="preserve">about the openness of social stratification </w:t>
      </w:r>
      <w:r w:rsidR="000050B9">
        <w:t xml:space="preserve">using two variables: </w:t>
      </w:r>
      <w:r w:rsidR="000050B9" w:rsidRPr="00BB6333">
        <w:rPr>
          <w:rFonts w:hint="eastAsia"/>
          <w:i/>
          <w:noProof/>
        </w:rPr>
        <w:t>opwlth</w:t>
      </w:r>
      <w:r w:rsidR="000050B9">
        <w:rPr>
          <w:rFonts w:hint="eastAsia"/>
        </w:rPr>
        <w:t xml:space="preserve"> </w:t>
      </w:r>
      <w:r w:rsidR="000050B9">
        <w:t xml:space="preserve">and </w:t>
      </w:r>
      <w:r w:rsidR="000050B9" w:rsidRPr="00BB6333">
        <w:rPr>
          <w:i/>
          <w:noProof/>
        </w:rPr>
        <w:t>ophrdwrk</w:t>
      </w:r>
      <w:r w:rsidR="000050B9">
        <w:t xml:space="preserve">. </w:t>
      </w:r>
      <w:r w:rsidR="003F563A">
        <w:t xml:space="preserve">The first variable, </w:t>
      </w:r>
      <w:r w:rsidR="000050B9" w:rsidRPr="00BB6333">
        <w:rPr>
          <w:i/>
          <w:noProof/>
        </w:rPr>
        <w:t>opwlth</w:t>
      </w:r>
      <w:r w:rsidR="003F563A">
        <w:rPr>
          <w:i/>
        </w:rPr>
        <w:t>,</w:t>
      </w:r>
      <w:r w:rsidR="003F563A">
        <w:t xml:space="preserve"> asks respondents the importance of coming from a wealthy family for getting ahead</w:t>
      </w:r>
      <w:r w:rsidR="000050B9">
        <w:t>.</w:t>
      </w:r>
      <w:r w:rsidR="003F563A">
        <w:t xml:space="preserve"> </w:t>
      </w:r>
      <w:r w:rsidR="003F563A">
        <w:lastRenderedPageBreak/>
        <w:t>The next</w:t>
      </w:r>
      <w:r w:rsidR="000050B9">
        <w:t xml:space="preserve"> </w:t>
      </w:r>
      <w:r w:rsidR="000050B9" w:rsidRPr="00BB6333">
        <w:rPr>
          <w:i/>
          <w:noProof/>
        </w:rPr>
        <w:t>ophrdwrk</w:t>
      </w:r>
      <w:r w:rsidR="003F563A">
        <w:rPr>
          <w:i/>
        </w:rPr>
        <w:t xml:space="preserve"> </w:t>
      </w:r>
      <w:r w:rsidR="003F563A">
        <w:t xml:space="preserve">variable asks respondents the importance of hard work for getting ahead. There are five responses: </w:t>
      </w:r>
      <w:r w:rsidR="000050B9">
        <w:t xml:space="preserve">essential (=1), very important (=2), </w:t>
      </w:r>
      <w:proofErr w:type="gramStart"/>
      <w:r w:rsidR="000050B9">
        <w:t>fairly important</w:t>
      </w:r>
      <w:proofErr w:type="gramEnd"/>
      <w:r w:rsidR="000050B9">
        <w:t xml:space="preserve"> (=3), not very important (=4) and not important at all (=5). </w:t>
      </w:r>
      <w:r w:rsidR="000050B9" w:rsidRPr="00C72156">
        <w:rPr>
          <w:b/>
          <w:u w:val="single"/>
        </w:rPr>
        <w:t>Make frequency tables</w:t>
      </w:r>
      <w:r w:rsidR="003F563A">
        <w:rPr>
          <w:b/>
          <w:u w:val="single"/>
        </w:rPr>
        <w:t xml:space="preserve"> and graphs</w:t>
      </w:r>
      <w:r w:rsidR="000050B9" w:rsidRPr="00C72156">
        <w:rPr>
          <w:b/>
          <w:u w:val="single"/>
        </w:rPr>
        <w:t xml:space="preserve"> of both variables using the </w:t>
      </w:r>
      <w:r w:rsidR="000050B9" w:rsidRPr="00C72156">
        <w:rPr>
          <w:b/>
          <w:i/>
          <w:u w:val="single"/>
        </w:rPr>
        <w:t>Frequencies</w:t>
      </w:r>
      <w:r w:rsidR="000050B9" w:rsidRPr="00C72156">
        <w:rPr>
          <w:b/>
          <w:u w:val="single"/>
        </w:rPr>
        <w:t xml:space="preserve"> command</w:t>
      </w:r>
      <w:r w:rsidR="000050B9" w:rsidRPr="001856A4">
        <w:rPr>
          <w:b/>
        </w:rPr>
        <w:t>.</w:t>
      </w:r>
      <w:r w:rsidR="001856A4">
        <w:t xml:space="preserve"> Based on the tables</w:t>
      </w:r>
      <w:r w:rsidR="003F563A">
        <w:t xml:space="preserve"> and graphs</w:t>
      </w:r>
      <w:r w:rsidR="001856A4">
        <w:t xml:space="preserve">, </w:t>
      </w:r>
      <w:r w:rsidR="001856A4" w:rsidRPr="00C72156">
        <w:rPr>
          <w:b/>
          <w:u w:val="single"/>
        </w:rPr>
        <w:t xml:space="preserve">do you think Australians view Australian society as an open society? </w:t>
      </w:r>
      <w:r w:rsidR="003F563A">
        <w:rPr>
          <w:b/>
          <w:u w:val="single"/>
        </w:rPr>
        <w:t>B</w:t>
      </w:r>
      <w:r w:rsidR="001856A4" w:rsidRPr="00C72156">
        <w:rPr>
          <w:b/>
          <w:u w:val="single"/>
        </w:rPr>
        <w:t>riefly justify your conclusion</w:t>
      </w:r>
      <w:r w:rsidR="001856A4">
        <w:t>.</w:t>
      </w:r>
    </w:p>
    <w:p w14:paraId="7F3C8E84" w14:textId="77777777" w:rsidR="00B17D26" w:rsidRDefault="00B17D26" w:rsidP="000050B9"/>
    <w:p w14:paraId="424A844E" w14:textId="248F9A70" w:rsidR="00C72156" w:rsidRDefault="00C72156" w:rsidP="000050B9">
      <w:pPr>
        <w:rPr>
          <w:b/>
          <w:u w:val="single"/>
        </w:rPr>
      </w:pPr>
      <w:r>
        <w:t>Q2.</w:t>
      </w:r>
      <w:r w:rsidR="003F563A">
        <w:t xml:space="preserve"> Now we examine class identification of respondents. First, </w:t>
      </w:r>
      <w:r w:rsidR="003F563A">
        <w:rPr>
          <w:b/>
          <w:u w:val="single"/>
        </w:rPr>
        <w:t>m</w:t>
      </w:r>
      <w:r w:rsidRPr="00637319">
        <w:rPr>
          <w:b/>
          <w:u w:val="single"/>
        </w:rPr>
        <w:t>ake a frequency table of social class</w:t>
      </w:r>
      <w:r w:rsidR="003F563A">
        <w:rPr>
          <w:b/>
          <w:u w:val="single"/>
        </w:rPr>
        <w:t xml:space="preserve"> </w:t>
      </w:r>
      <w:r w:rsidRPr="00637319">
        <w:rPr>
          <w:b/>
          <w:u w:val="single"/>
        </w:rPr>
        <w:t>(</w:t>
      </w:r>
      <w:r w:rsidR="003F563A">
        <w:rPr>
          <w:b/>
          <w:u w:val="single"/>
        </w:rPr>
        <w:t xml:space="preserve">the variable name is </w:t>
      </w:r>
      <w:r w:rsidRPr="00637319">
        <w:rPr>
          <w:b/>
          <w:i/>
          <w:u w:val="single"/>
        </w:rPr>
        <w:t>class</w:t>
      </w:r>
      <w:r w:rsidRPr="00637319">
        <w:rPr>
          <w:b/>
          <w:u w:val="single"/>
        </w:rPr>
        <w:t>)</w:t>
      </w:r>
      <w:r w:rsidR="00DB00B4">
        <w:rPr>
          <w:b/>
          <w:u w:val="single"/>
        </w:rPr>
        <w:t xml:space="preserve"> and </w:t>
      </w:r>
      <w:r w:rsidR="006C35F3" w:rsidRPr="00BB6333">
        <w:rPr>
          <w:b/>
          <w:color w:val="000000" w:themeColor="text1"/>
          <w:u w:val="single"/>
        </w:rPr>
        <w:t xml:space="preserve">report </w:t>
      </w:r>
      <w:r w:rsidR="00DB00B4" w:rsidRPr="00BB6333">
        <w:rPr>
          <w:b/>
          <w:color w:val="000000" w:themeColor="text1"/>
          <w:u w:val="single"/>
        </w:rPr>
        <w:t xml:space="preserve">class categories </w:t>
      </w:r>
      <w:r w:rsidR="006C35F3" w:rsidRPr="00BB6333">
        <w:rPr>
          <w:b/>
          <w:color w:val="000000" w:themeColor="text1"/>
          <w:u w:val="single"/>
        </w:rPr>
        <w:t>having</w:t>
      </w:r>
      <w:r w:rsidR="00DB00B4" w:rsidRPr="00BB6333">
        <w:rPr>
          <w:b/>
          <w:color w:val="000000" w:themeColor="text1"/>
          <w:u w:val="single"/>
        </w:rPr>
        <w:t xml:space="preserve"> the highest and the lowest frequency. Do you think there is a good distribution for all categories? Why or why not?</w:t>
      </w:r>
      <w:r w:rsidRPr="00BB6333">
        <w:rPr>
          <w:color w:val="000000" w:themeColor="text1"/>
        </w:rPr>
        <w:t xml:space="preserve"> </w:t>
      </w:r>
      <w:r>
        <w:t>Then, make a new class variable (</w:t>
      </w:r>
      <w:proofErr w:type="spellStart"/>
      <w:r w:rsidRPr="00BB6333">
        <w:rPr>
          <w:i/>
          <w:noProof/>
        </w:rPr>
        <w:t>newclass</w:t>
      </w:r>
      <w:proofErr w:type="spellEnd"/>
      <w:r>
        <w:t xml:space="preserve">) </w:t>
      </w:r>
      <w:r w:rsidR="00DB00B4">
        <w:t xml:space="preserve">by recoding the original </w:t>
      </w:r>
      <w:r w:rsidR="00DB00B4" w:rsidRPr="00DB00B4">
        <w:rPr>
          <w:i/>
        </w:rPr>
        <w:t>class</w:t>
      </w:r>
      <w:r w:rsidR="00DB00B4">
        <w:t xml:space="preserve"> </w:t>
      </w:r>
      <w:r>
        <w:t>variable</w:t>
      </w:r>
      <w:r w:rsidR="00DB00B4">
        <w:t xml:space="preserve"> based on the rec</w:t>
      </w:r>
      <w:r>
        <w:t xml:space="preserve">oding scheme in </w:t>
      </w:r>
      <w:r w:rsidR="003543D4">
        <w:fldChar w:fldCharType="begin"/>
      </w:r>
      <w:r w:rsidR="003543D4">
        <w:instrText xml:space="preserve"> REF _Ref525833659 \h </w:instrText>
      </w:r>
      <w:r w:rsidR="003543D4">
        <w:fldChar w:fldCharType="separate"/>
      </w:r>
      <w:r w:rsidR="00BB7710">
        <w:t xml:space="preserve">&lt;Table </w:t>
      </w:r>
      <w:r w:rsidR="00BB7710">
        <w:rPr>
          <w:noProof/>
        </w:rPr>
        <w:t>1</w:t>
      </w:r>
      <w:r w:rsidR="00BB7710">
        <w:t>&gt; Coding Scheme of a New Class Variable</w:t>
      </w:r>
      <w:r w:rsidR="003543D4">
        <w:fldChar w:fldCharType="end"/>
      </w:r>
      <w:r>
        <w:t>.</w:t>
      </w:r>
      <w:r w:rsidR="00BB6333">
        <w:t xml:space="preserve"> Use the command of </w:t>
      </w:r>
      <w:r w:rsidR="00BB6333" w:rsidRPr="00BB6333">
        <w:rPr>
          <w:i/>
        </w:rPr>
        <w:t>Recode into Different Variables</w:t>
      </w:r>
      <w:r w:rsidR="00BB6333">
        <w:t>.</w:t>
      </w:r>
      <w:r w:rsidR="003543D4">
        <w:t xml:space="preserve"> </w:t>
      </w:r>
      <w:r w:rsidR="003543D4" w:rsidRPr="00637319">
        <w:rPr>
          <w:b/>
          <w:u w:val="single"/>
        </w:rPr>
        <w:t xml:space="preserve">Make a frequency table of </w:t>
      </w:r>
      <w:r w:rsidR="003543D4" w:rsidRPr="00BB6333">
        <w:rPr>
          <w:b/>
          <w:i/>
          <w:noProof/>
          <w:u w:val="single"/>
        </w:rPr>
        <w:t>newclas</w:t>
      </w:r>
      <w:r w:rsidR="006C35F3" w:rsidRPr="006C35F3">
        <w:rPr>
          <w:b/>
          <w:i/>
          <w:u w:val="single"/>
        </w:rPr>
        <w:t xml:space="preserve"> </w:t>
      </w:r>
      <w:r w:rsidR="006C35F3" w:rsidRPr="006C35F3">
        <w:rPr>
          <w:u w:val="single"/>
        </w:rPr>
        <w:t xml:space="preserve">and </w:t>
      </w:r>
      <w:r w:rsidR="006C35F3" w:rsidRPr="006C35F3">
        <w:rPr>
          <w:b/>
          <w:u w:val="single"/>
        </w:rPr>
        <w:t>r</w:t>
      </w:r>
      <w:r w:rsidR="006C35F3">
        <w:rPr>
          <w:b/>
          <w:u w:val="single"/>
        </w:rPr>
        <w:t xml:space="preserve">eport the class category with </w:t>
      </w:r>
      <w:r w:rsidR="003543D4" w:rsidRPr="00637319">
        <w:rPr>
          <w:b/>
          <w:u w:val="single"/>
        </w:rPr>
        <w:t xml:space="preserve">the </w:t>
      </w:r>
      <w:r w:rsidR="006C35F3">
        <w:rPr>
          <w:b/>
          <w:u w:val="single"/>
        </w:rPr>
        <w:t>lowest</w:t>
      </w:r>
      <w:r w:rsidR="003543D4" w:rsidRPr="00637319">
        <w:rPr>
          <w:b/>
          <w:u w:val="single"/>
        </w:rPr>
        <w:t xml:space="preserve"> frequency in </w:t>
      </w:r>
      <w:r w:rsidR="003543D4" w:rsidRPr="00BB6333">
        <w:rPr>
          <w:b/>
          <w:i/>
          <w:noProof/>
          <w:u w:val="single"/>
        </w:rPr>
        <w:t>newclass</w:t>
      </w:r>
      <w:r w:rsidR="006C35F3">
        <w:rPr>
          <w:b/>
          <w:i/>
          <w:u w:val="single"/>
        </w:rPr>
        <w:t xml:space="preserve"> </w:t>
      </w:r>
      <w:r w:rsidR="006C35F3" w:rsidRPr="006C35F3">
        <w:rPr>
          <w:b/>
          <w:u w:val="single"/>
        </w:rPr>
        <w:t>and its percentage</w:t>
      </w:r>
      <w:r w:rsidR="006C35F3">
        <w:rPr>
          <w:b/>
          <w:u w:val="single"/>
        </w:rPr>
        <w:t xml:space="preserve">. </w:t>
      </w:r>
    </w:p>
    <w:p w14:paraId="0C517700" w14:textId="77777777" w:rsidR="006C35F3" w:rsidRDefault="006C35F3" w:rsidP="000050B9"/>
    <w:p w14:paraId="3649A01F" w14:textId="619933D7" w:rsidR="001B3D2F" w:rsidRDefault="003543D4" w:rsidP="003543D4">
      <w:pPr>
        <w:pStyle w:val="Figure"/>
      </w:pPr>
      <w:bookmarkStart w:id="1" w:name="_Ref525833659"/>
      <w:r>
        <w:t xml:space="preserve">&lt;Table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B7710">
        <w:t>1</w:t>
      </w:r>
      <w:r>
        <w:fldChar w:fldCharType="end"/>
      </w:r>
      <w:r>
        <w:t>&gt; Coding Scheme of a New Class Variable</w:t>
      </w:r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577"/>
        <w:gridCol w:w="1560"/>
        <w:gridCol w:w="3367"/>
      </w:tblGrid>
      <w:tr w:rsidR="00E3729F" w:rsidRPr="00B36A46" w14:paraId="3D35A827" w14:textId="77777777" w:rsidTr="003543D4">
        <w:tc>
          <w:tcPr>
            <w:tcW w:w="4927" w:type="dxa"/>
            <w:gridSpan w:val="2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60797056" w14:textId="28E1A7EA" w:rsidR="00E3729F" w:rsidRPr="00B36A46" w:rsidRDefault="00E3729F" w:rsidP="006E3A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B36A46">
              <w:rPr>
                <w:b/>
              </w:rPr>
              <w:t>lass</w:t>
            </w:r>
          </w:p>
        </w:tc>
        <w:tc>
          <w:tcPr>
            <w:tcW w:w="4927" w:type="dxa"/>
            <w:gridSpan w:val="2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DD771CE" w14:textId="09173F9C" w:rsidR="00E3729F" w:rsidRPr="00B36A46" w:rsidRDefault="003543D4" w:rsidP="006E3A0C">
            <w:pPr>
              <w:pStyle w:val="NoSpacing"/>
              <w:jc w:val="center"/>
              <w:rPr>
                <w:b/>
              </w:rPr>
            </w:pPr>
            <w:r w:rsidRPr="00BB6333">
              <w:rPr>
                <w:b/>
                <w:noProof/>
              </w:rPr>
              <w:t>N</w:t>
            </w:r>
            <w:r w:rsidR="00E3729F" w:rsidRPr="00BB6333">
              <w:rPr>
                <w:b/>
                <w:noProof/>
              </w:rPr>
              <w:t>ewclass</w:t>
            </w:r>
          </w:p>
        </w:tc>
      </w:tr>
      <w:tr w:rsidR="00E3729F" w:rsidRPr="00B36A46" w14:paraId="1B0BCEAE" w14:textId="40163B14" w:rsidTr="003543D4">
        <w:tc>
          <w:tcPr>
            <w:tcW w:w="1350" w:type="dxa"/>
            <w:tcBorders>
              <w:top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5EDA70E" w14:textId="3D15E0E2" w:rsidR="00E3729F" w:rsidRDefault="00E3729F" w:rsidP="006E3A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B0C4607" w14:textId="0B61237C" w:rsidR="00E3729F" w:rsidRDefault="00E3729F" w:rsidP="006E3A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labels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92E94B5" w14:textId="289AF64F" w:rsidR="00E3729F" w:rsidRPr="00B36A46" w:rsidRDefault="00E3729F" w:rsidP="006E3A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FE54196" w14:textId="217BAC60" w:rsidR="00E3729F" w:rsidRPr="00B36A46" w:rsidRDefault="003543D4" w:rsidP="006E3A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="00E3729F">
              <w:rPr>
                <w:b/>
              </w:rPr>
              <w:t>abels</w:t>
            </w:r>
          </w:p>
        </w:tc>
      </w:tr>
      <w:tr w:rsidR="00E3729F" w14:paraId="00CCD018" w14:textId="672BA84F" w:rsidTr="00E3729F">
        <w:tc>
          <w:tcPr>
            <w:tcW w:w="1350" w:type="dxa"/>
            <w:tcBorders>
              <w:top w:val="single" w:sz="12" w:space="0" w:color="auto"/>
            </w:tcBorders>
            <w:vAlign w:val="center"/>
          </w:tcPr>
          <w:p w14:paraId="4E80C279" w14:textId="069C6048" w:rsidR="00E3729F" w:rsidRDefault="00E3729F" w:rsidP="00E3729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77" w:type="dxa"/>
            <w:tcBorders>
              <w:top w:val="single" w:sz="12" w:space="0" w:color="auto"/>
            </w:tcBorders>
            <w:vAlign w:val="center"/>
          </w:tcPr>
          <w:p w14:paraId="6F6E97D6" w14:textId="775A522D" w:rsidR="00E3729F" w:rsidRDefault="00E3729F" w:rsidP="006E3A0C">
            <w:pPr>
              <w:pStyle w:val="NoSpacing"/>
              <w:jc w:val="center"/>
            </w:pPr>
            <w:r>
              <w:t>Lower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14:paraId="3CB181C9" w14:textId="4E3F83EA" w:rsidR="00E3729F" w:rsidRDefault="00E3729F" w:rsidP="00E3729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367" w:type="dxa"/>
            <w:vMerge w:val="restart"/>
            <w:tcBorders>
              <w:top w:val="single" w:sz="12" w:space="0" w:color="auto"/>
            </w:tcBorders>
            <w:vAlign w:val="center"/>
          </w:tcPr>
          <w:p w14:paraId="10E4CCFF" w14:textId="6FB43F60" w:rsidR="00E3729F" w:rsidRDefault="00E3729F" w:rsidP="006E3A0C">
            <w:pPr>
              <w:pStyle w:val="NoSpacing"/>
              <w:jc w:val="center"/>
            </w:pPr>
            <w:r>
              <w:t>Lower</w:t>
            </w:r>
          </w:p>
        </w:tc>
      </w:tr>
      <w:tr w:rsidR="00E3729F" w14:paraId="77A134BF" w14:textId="582CCD24" w:rsidTr="00E3729F">
        <w:tc>
          <w:tcPr>
            <w:tcW w:w="1350" w:type="dxa"/>
            <w:vAlign w:val="center"/>
          </w:tcPr>
          <w:p w14:paraId="4C57D48D" w14:textId="38265AC9" w:rsidR="00E3729F" w:rsidRDefault="00E3729F" w:rsidP="00E3729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77" w:type="dxa"/>
            <w:vAlign w:val="center"/>
          </w:tcPr>
          <w:p w14:paraId="4909B143" w14:textId="659FB93D" w:rsidR="00E3729F" w:rsidRDefault="00E3729F" w:rsidP="006E3A0C">
            <w:pPr>
              <w:pStyle w:val="NoSpacing"/>
              <w:jc w:val="center"/>
            </w:pPr>
            <w:r>
              <w:t>Working</w:t>
            </w:r>
          </w:p>
        </w:tc>
        <w:tc>
          <w:tcPr>
            <w:tcW w:w="1560" w:type="dxa"/>
            <w:vMerge/>
            <w:vAlign w:val="center"/>
          </w:tcPr>
          <w:p w14:paraId="60820907" w14:textId="6509EE59" w:rsidR="00E3729F" w:rsidRDefault="00E3729F" w:rsidP="006E3A0C">
            <w:pPr>
              <w:pStyle w:val="NoSpacing"/>
              <w:jc w:val="center"/>
            </w:pPr>
          </w:p>
        </w:tc>
        <w:tc>
          <w:tcPr>
            <w:tcW w:w="3367" w:type="dxa"/>
            <w:vMerge/>
            <w:vAlign w:val="center"/>
          </w:tcPr>
          <w:p w14:paraId="49C6B572" w14:textId="77777777" w:rsidR="00E3729F" w:rsidRDefault="00E3729F" w:rsidP="006E3A0C">
            <w:pPr>
              <w:pStyle w:val="NoSpacing"/>
              <w:jc w:val="center"/>
            </w:pPr>
          </w:p>
        </w:tc>
      </w:tr>
      <w:tr w:rsidR="00E3729F" w14:paraId="0C43ADCF" w14:textId="5738881F" w:rsidTr="00E3729F">
        <w:tc>
          <w:tcPr>
            <w:tcW w:w="1350" w:type="dxa"/>
            <w:vAlign w:val="center"/>
          </w:tcPr>
          <w:p w14:paraId="7E71701B" w14:textId="3275A670" w:rsidR="00E3729F" w:rsidRDefault="00E3729F" w:rsidP="00E3729F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77" w:type="dxa"/>
            <w:vAlign w:val="center"/>
          </w:tcPr>
          <w:p w14:paraId="4F655A88" w14:textId="33A00AB1" w:rsidR="00E3729F" w:rsidRDefault="00E3729F" w:rsidP="006E3A0C">
            <w:pPr>
              <w:pStyle w:val="NoSpacing"/>
              <w:jc w:val="center"/>
            </w:pPr>
            <w:r>
              <w:t>Lower middle</w:t>
            </w:r>
          </w:p>
        </w:tc>
        <w:tc>
          <w:tcPr>
            <w:tcW w:w="1560" w:type="dxa"/>
            <w:vMerge/>
            <w:vAlign w:val="center"/>
          </w:tcPr>
          <w:p w14:paraId="60E6AB3A" w14:textId="650D6EED" w:rsidR="00E3729F" w:rsidRDefault="00E3729F" w:rsidP="006E3A0C">
            <w:pPr>
              <w:pStyle w:val="NoSpacing"/>
              <w:jc w:val="center"/>
            </w:pPr>
          </w:p>
        </w:tc>
        <w:tc>
          <w:tcPr>
            <w:tcW w:w="3367" w:type="dxa"/>
            <w:vMerge/>
            <w:vAlign w:val="center"/>
          </w:tcPr>
          <w:p w14:paraId="2ECAE741" w14:textId="77777777" w:rsidR="00E3729F" w:rsidRDefault="00E3729F" w:rsidP="006E3A0C">
            <w:pPr>
              <w:pStyle w:val="NoSpacing"/>
              <w:jc w:val="center"/>
            </w:pPr>
          </w:p>
        </w:tc>
      </w:tr>
      <w:tr w:rsidR="00E3729F" w14:paraId="12C8DFB3" w14:textId="6F6385F6" w:rsidTr="00E3729F">
        <w:tc>
          <w:tcPr>
            <w:tcW w:w="1350" w:type="dxa"/>
            <w:vAlign w:val="center"/>
          </w:tcPr>
          <w:p w14:paraId="1B6F9A98" w14:textId="667EF339" w:rsidR="00E3729F" w:rsidRDefault="00E3729F" w:rsidP="00E3729F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77" w:type="dxa"/>
            <w:vAlign w:val="center"/>
          </w:tcPr>
          <w:p w14:paraId="2A4378E4" w14:textId="786A8B92" w:rsidR="00E3729F" w:rsidRDefault="00E3729F" w:rsidP="006E3A0C">
            <w:pPr>
              <w:pStyle w:val="NoSpacing"/>
              <w:jc w:val="center"/>
            </w:pPr>
            <w:r>
              <w:t>Middle</w:t>
            </w:r>
          </w:p>
        </w:tc>
        <w:tc>
          <w:tcPr>
            <w:tcW w:w="1560" w:type="dxa"/>
            <w:vAlign w:val="center"/>
          </w:tcPr>
          <w:p w14:paraId="238A7C22" w14:textId="75B47A0D" w:rsidR="00E3729F" w:rsidRDefault="00E3729F" w:rsidP="00E3729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367" w:type="dxa"/>
            <w:vAlign w:val="center"/>
          </w:tcPr>
          <w:p w14:paraId="581719F7" w14:textId="40B42793" w:rsidR="00E3729F" w:rsidRDefault="00E3729F" w:rsidP="006E3A0C">
            <w:pPr>
              <w:pStyle w:val="NoSpacing"/>
              <w:jc w:val="center"/>
            </w:pPr>
            <w:r>
              <w:t>Middle</w:t>
            </w:r>
          </w:p>
        </w:tc>
      </w:tr>
      <w:tr w:rsidR="00E3729F" w14:paraId="4ABFF808" w14:textId="5FC2FB19" w:rsidTr="00E3729F">
        <w:tc>
          <w:tcPr>
            <w:tcW w:w="1350" w:type="dxa"/>
            <w:vAlign w:val="center"/>
          </w:tcPr>
          <w:p w14:paraId="3F3A841C" w14:textId="2F45B80F" w:rsidR="00E3729F" w:rsidRDefault="00E3729F" w:rsidP="00E3729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577" w:type="dxa"/>
            <w:vAlign w:val="center"/>
          </w:tcPr>
          <w:p w14:paraId="2B2A5C08" w14:textId="52EF4C6C" w:rsidR="00E3729F" w:rsidRDefault="00E3729F" w:rsidP="006E3A0C">
            <w:pPr>
              <w:pStyle w:val="NoSpacing"/>
              <w:jc w:val="center"/>
            </w:pPr>
            <w:r>
              <w:t>Upper middle</w:t>
            </w:r>
          </w:p>
        </w:tc>
        <w:tc>
          <w:tcPr>
            <w:tcW w:w="1560" w:type="dxa"/>
            <w:vMerge w:val="restart"/>
            <w:vAlign w:val="center"/>
          </w:tcPr>
          <w:p w14:paraId="42EAF4D9" w14:textId="27BB40F5" w:rsidR="00E3729F" w:rsidRDefault="00E3729F" w:rsidP="006E3A0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367" w:type="dxa"/>
            <w:vMerge w:val="restart"/>
            <w:vAlign w:val="center"/>
          </w:tcPr>
          <w:p w14:paraId="5627C7EC" w14:textId="7F8F2C9B" w:rsidR="00E3729F" w:rsidRDefault="00E3729F" w:rsidP="006E3A0C">
            <w:pPr>
              <w:pStyle w:val="NoSpacing"/>
              <w:jc w:val="center"/>
            </w:pPr>
            <w:r>
              <w:t>Upper</w:t>
            </w:r>
          </w:p>
        </w:tc>
      </w:tr>
      <w:tr w:rsidR="00E3729F" w14:paraId="3D732C2B" w14:textId="25695A91" w:rsidTr="00E3729F">
        <w:tc>
          <w:tcPr>
            <w:tcW w:w="1350" w:type="dxa"/>
            <w:vAlign w:val="center"/>
          </w:tcPr>
          <w:p w14:paraId="419B2485" w14:textId="20B2F5F0" w:rsidR="00E3729F" w:rsidRDefault="00E3729F" w:rsidP="00E3729F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577" w:type="dxa"/>
            <w:vAlign w:val="center"/>
          </w:tcPr>
          <w:p w14:paraId="31A85778" w14:textId="35819914" w:rsidR="00E3729F" w:rsidRDefault="00E3729F" w:rsidP="006E3A0C">
            <w:pPr>
              <w:pStyle w:val="NoSpacing"/>
              <w:jc w:val="center"/>
            </w:pPr>
            <w:r>
              <w:t>Upper</w:t>
            </w:r>
          </w:p>
        </w:tc>
        <w:tc>
          <w:tcPr>
            <w:tcW w:w="1560" w:type="dxa"/>
            <w:vMerge/>
            <w:vAlign w:val="center"/>
          </w:tcPr>
          <w:p w14:paraId="77D4E572" w14:textId="7903EA47" w:rsidR="00E3729F" w:rsidRDefault="00E3729F" w:rsidP="00E3729F">
            <w:pPr>
              <w:pStyle w:val="NoSpacing"/>
              <w:jc w:val="center"/>
            </w:pPr>
          </w:p>
        </w:tc>
        <w:tc>
          <w:tcPr>
            <w:tcW w:w="3367" w:type="dxa"/>
            <w:vMerge/>
            <w:vAlign w:val="center"/>
          </w:tcPr>
          <w:p w14:paraId="55C42E29" w14:textId="4973EE70" w:rsidR="00E3729F" w:rsidRDefault="00E3729F" w:rsidP="006E3A0C">
            <w:pPr>
              <w:pStyle w:val="NoSpacing"/>
              <w:jc w:val="center"/>
            </w:pPr>
          </w:p>
        </w:tc>
      </w:tr>
    </w:tbl>
    <w:p w14:paraId="6FAF9064" w14:textId="3D43427E" w:rsidR="00E3729F" w:rsidRDefault="00E3729F" w:rsidP="00031A55"/>
    <w:p w14:paraId="585AA07B" w14:textId="418CDAD2" w:rsidR="00E3729F" w:rsidRDefault="003543D4" w:rsidP="00031A55">
      <w:r>
        <w:t xml:space="preserve">Q3. Investigate whether people </w:t>
      </w:r>
      <w:r w:rsidR="006C35F3">
        <w:t xml:space="preserve">with </w:t>
      </w:r>
      <w:r>
        <w:t xml:space="preserve">different class </w:t>
      </w:r>
      <w:r w:rsidR="006C35F3">
        <w:t>identification</w:t>
      </w:r>
      <w:r>
        <w:t xml:space="preserve"> would </w:t>
      </w:r>
      <w:r w:rsidR="006C35F3">
        <w:t xml:space="preserve">have </w:t>
      </w:r>
      <w:r w:rsidR="00BB6333">
        <w:t xml:space="preserve">a </w:t>
      </w:r>
      <w:r w:rsidR="006C35F3" w:rsidRPr="00BB6333">
        <w:rPr>
          <w:noProof/>
        </w:rPr>
        <w:t>different</w:t>
      </w:r>
      <w:r w:rsidR="006C35F3">
        <w:t xml:space="preserve"> view about the openness of</w:t>
      </w:r>
      <w:r>
        <w:t xml:space="preserve"> Australian society</w:t>
      </w:r>
      <w:r w:rsidR="006C35F3">
        <w:t>.</w:t>
      </w:r>
      <w:r>
        <w:t xml:space="preserve"> </w:t>
      </w:r>
      <w:r w:rsidRPr="00637319">
        <w:rPr>
          <w:b/>
          <w:u w:val="single"/>
        </w:rPr>
        <w:t xml:space="preserve">Compare the distribution of </w:t>
      </w:r>
      <w:r w:rsidRPr="00BB6333">
        <w:rPr>
          <w:b/>
          <w:i/>
          <w:noProof/>
          <w:u w:val="single"/>
        </w:rPr>
        <w:t>opwlth</w:t>
      </w:r>
      <w:r w:rsidRPr="00637319">
        <w:rPr>
          <w:b/>
          <w:u w:val="single"/>
        </w:rPr>
        <w:t xml:space="preserve"> and </w:t>
      </w:r>
      <w:r w:rsidRPr="00BB6333">
        <w:rPr>
          <w:b/>
          <w:i/>
          <w:noProof/>
          <w:u w:val="single"/>
        </w:rPr>
        <w:t>ophrdwrk</w:t>
      </w:r>
      <w:r w:rsidRPr="00637319">
        <w:rPr>
          <w:b/>
          <w:u w:val="single"/>
        </w:rPr>
        <w:t xml:space="preserve"> by </w:t>
      </w:r>
      <w:r w:rsidRPr="00BB6333">
        <w:rPr>
          <w:b/>
          <w:i/>
          <w:noProof/>
          <w:u w:val="single"/>
        </w:rPr>
        <w:t>newclass</w:t>
      </w:r>
      <w:r>
        <w:t xml:space="preserve"> using the </w:t>
      </w:r>
      <w:r w:rsidRPr="003543D4">
        <w:rPr>
          <w:i/>
        </w:rPr>
        <w:t>Explore</w:t>
      </w:r>
      <w:r>
        <w:t xml:space="preserve"> command. </w:t>
      </w:r>
      <w:r w:rsidRPr="00637319">
        <w:rPr>
          <w:b/>
          <w:u w:val="single"/>
        </w:rPr>
        <w:t xml:space="preserve">Describe </w:t>
      </w:r>
      <w:r w:rsidR="006C35F3">
        <w:rPr>
          <w:b/>
          <w:u w:val="single"/>
        </w:rPr>
        <w:t xml:space="preserve">how social class affects </w:t>
      </w:r>
      <w:r w:rsidR="00637319" w:rsidRPr="00637319">
        <w:rPr>
          <w:b/>
          <w:u w:val="single"/>
        </w:rPr>
        <w:t>the view of Australian society. And briefly explain why</w:t>
      </w:r>
      <w:r w:rsidR="00637319">
        <w:rPr>
          <w:b/>
          <w:u w:val="single"/>
        </w:rPr>
        <w:t>.</w:t>
      </w:r>
    </w:p>
    <w:p w14:paraId="618B38C4" w14:textId="77777777" w:rsidR="001B3D2F" w:rsidRDefault="001B3D2F" w:rsidP="00031A55"/>
    <w:sectPr w:rsidR="001B3D2F" w:rsidSect="00CD3079">
      <w:headerReference w:type="default" r:id="rId9"/>
      <w:footerReference w:type="default" r:id="rId10"/>
      <w:pgSz w:w="11906" w:h="16838" w:code="9"/>
      <w:pgMar w:top="1701" w:right="1021" w:bottom="1440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31CF" w14:textId="77777777" w:rsidR="00B464ED" w:rsidRDefault="00B464ED" w:rsidP="00CB16B4">
      <w:r>
        <w:separator/>
      </w:r>
    </w:p>
  </w:endnote>
  <w:endnote w:type="continuationSeparator" w:id="0">
    <w:p w14:paraId="157E9545" w14:textId="77777777" w:rsidR="00B464ED" w:rsidRDefault="00B464ED" w:rsidP="00CB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012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FB3EB" w14:textId="74DDEF05" w:rsidR="00E908C0" w:rsidRDefault="00E908C0" w:rsidP="00E96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86B2" w14:textId="77777777" w:rsidR="00B464ED" w:rsidRDefault="00B464ED" w:rsidP="00CB16B4">
      <w:r>
        <w:separator/>
      </w:r>
    </w:p>
  </w:footnote>
  <w:footnote w:type="continuationSeparator" w:id="0">
    <w:p w14:paraId="05AB2FD7" w14:textId="77777777" w:rsidR="00B464ED" w:rsidRDefault="00B464ED" w:rsidP="00CB1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3282" w14:textId="6A49826C" w:rsidR="00E908C0" w:rsidRPr="003777DE" w:rsidRDefault="00E908C0" w:rsidP="00CD3079">
    <w:pPr>
      <w:pStyle w:val="Header"/>
      <w:jc w:val="right"/>
    </w:pPr>
    <w:r w:rsidRPr="003777DE">
      <w:t xml:space="preserve">Workshop </w:t>
    </w:r>
    <w:r w:rsidR="0024661A">
      <w:t>7</w:t>
    </w:r>
  </w:p>
  <w:p w14:paraId="6AD3B527" w14:textId="0FC20269" w:rsidR="00E908C0" w:rsidRPr="003777DE" w:rsidRDefault="00E908C0" w:rsidP="00CD3079">
    <w:pPr>
      <w:pStyle w:val="Header"/>
      <w:jc w:val="right"/>
    </w:pPr>
    <w:r w:rsidRPr="003777DE">
      <w:t>SSCI202 Survey Research in the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C9B"/>
    <w:multiLevelType w:val="hybridMultilevel"/>
    <w:tmpl w:val="F41C5628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5DA"/>
    <w:multiLevelType w:val="hybridMultilevel"/>
    <w:tmpl w:val="BF406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54A4"/>
    <w:multiLevelType w:val="hybridMultilevel"/>
    <w:tmpl w:val="3A5AF134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E13C8"/>
    <w:multiLevelType w:val="hybridMultilevel"/>
    <w:tmpl w:val="340E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4CFA"/>
    <w:multiLevelType w:val="hybridMultilevel"/>
    <w:tmpl w:val="BBCAAA8C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C62D1"/>
    <w:multiLevelType w:val="hybridMultilevel"/>
    <w:tmpl w:val="6242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A0A19"/>
    <w:multiLevelType w:val="hybridMultilevel"/>
    <w:tmpl w:val="290860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F43DC"/>
    <w:multiLevelType w:val="hybridMultilevel"/>
    <w:tmpl w:val="39C0E6E8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671DF"/>
    <w:multiLevelType w:val="hybridMultilevel"/>
    <w:tmpl w:val="F6269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34558"/>
    <w:multiLevelType w:val="hybridMultilevel"/>
    <w:tmpl w:val="BFE081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50CF9"/>
    <w:multiLevelType w:val="hybridMultilevel"/>
    <w:tmpl w:val="BD341D3E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82D78"/>
    <w:multiLevelType w:val="hybridMultilevel"/>
    <w:tmpl w:val="983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97D75"/>
    <w:multiLevelType w:val="hybridMultilevel"/>
    <w:tmpl w:val="AEACA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F7372"/>
    <w:multiLevelType w:val="multilevel"/>
    <w:tmpl w:val="B4B63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917C91"/>
    <w:multiLevelType w:val="hybridMultilevel"/>
    <w:tmpl w:val="16D65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144C9"/>
    <w:multiLevelType w:val="hybridMultilevel"/>
    <w:tmpl w:val="081C8B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13"/>
  </w:num>
  <w:num w:numId="14">
    <w:abstractNumId w:val="1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BwIzEzNTMzMzCyNDSyUdpeDU4uLM/DyQAstaAKzhx7osAAAA"/>
  </w:docVars>
  <w:rsids>
    <w:rsidRoot w:val="00AD053F"/>
    <w:rsid w:val="000050B9"/>
    <w:rsid w:val="00013A7E"/>
    <w:rsid w:val="0001559A"/>
    <w:rsid w:val="000157E2"/>
    <w:rsid w:val="00022D0A"/>
    <w:rsid w:val="00031A55"/>
    <w:rsid w:val="000448DB"/>
    <w:rsid w:val="00050825"/>
    <w:rsid w:val="00067505"/>
    <w:rsid w:val="000B16B4"/>
    <w:rsid w:val="000E6D2B"/>
    <w:rsid w:val="000E6D81"/>
    <w:rsid w:val="000F0B62"/>
    <w:rsid w:val="001121B4"/>
    <w:rsid w:val="0011486F"/>
    <w:rsid w:val="00132AB9"/>
    <w:rsid w:val="00162AF1"/>
    <w:rsid w:val="00181F58"/>
    <w:rsid w:val="001856A4"/>
    <w:rsid w:val="00196BFD"/>
    <w:rsid w:val="001A0D71"/>
    <w:rsid w:val="001B3D2F"/>
    <w:rsid w:val="001D1BFA"/>
    <w:rsid w:val="001D40AF"/>
    <w:rsid w:val="001D5C8D"/>
    <w:rsid w:val="001E2B7F"/>
    <w:rsid w:val="001E352A"/>
    <w:rsid w:val="001F365F"/>
    <w:rsid w:val="00203CC2"/>
    <w:rsid w:val="002059C0"/>
    <w:rsid w:val="002128C0"/>
    <w:rsid w:val="00213F8D"/>
    <w:rsid w:val="00216583"/>
    <w:rsid w:val="00241BA4"/>
    <w:rsid w:val="0024661A"/>
    <w:rsid w:val="002764DA"/>
    <w:rsid w:val="002F7B7E"/>
    <w:rsid w:val="003077B1"/>
    <w:rsid w:val="003136AC"/>
    <w:rsid w:val="00344845"/>
    <w:rsid w:val="003543D4"/>
    <w:rsid w:val="003562D6"/>
    <w:rsid w:val="003628D3"/>
    <w:rsid w:val="00364341"/>
    <w:rsid w:val="00370176"/>
    <w:rsid w:val="003777DE"/>
    <w:rsid w:val="0039652C"/>
    <w:rsid w:val="003C61BD"/>
    <w:rsid w:val="003D4067"/>
    <w:rsid w:val="003F0016"/>
    <w:rsid w:val="003F563A"/>
    <w:rsid w:val="004074BB"/>
    <w:rsid w:val="0041421B"/>
    <w:rsid w:val="00434C80"/>
    <w:rsid w:val="004355BA"/>
    <w:rsid w:val="0046173B"/>
    <w:rsid w:val="00482EFF"/>
    <w:rsid w:val="00487813"/>
    <w:rsid w:val="004B2CE6"/>
    <w:rsid w:val="004E09F8"/>
    <w:rsid w:val="004E7586"/>
    <w:rsid w:val="004F4C43"/>
    <w:rsid w:val="00501656"/>
    <w:rsid w:val="00530692"/>
    <w:rsid w:val="005509FB"/>
    <w:rsid w:val="00574B7B"/>
    <w:rsid w:val="005867A4"/>
    <w:rsid w:val="005B0AE0"/>
    <w:rsid w:val="005C20D6"/>
    <w:rsid w:val="005D340D"/>
    <w:rsid w:val="005E643D"/>
    <w:rsid w:val="0060365D"/>
    <w:rsid w:val="00605550"/>
    <w:rsid w:val="00621F4F"/>
    <w:rsid w:val="00637297"/>
    <w:rsid w:val="00637319"/>
    <w:rsid w:val="00640E72"/>
    <w:rsid w:val="006474DE"/>
    <w:rsid w:val="00655602"/>
    <w:rsid w:val="00686274"/>
    <w:rsid w:val="006B0B81"/>
    <w:rsid w:val="006C35F3"/>
    <w:rsid w:val="006E4FA3"/>
    <w:rsid w:val="006E5D0C"/>
    <w:rsid w:val="006E749A"/>
    <w:rsid w:val="006F1849"/>
    <w:rsid w:val="00703B73"/>
    <w:rsid w:val="00710789"/>
    <w:rsid w:val="00747918"/>
    <w:rsid w:val="00767C34"/>
    <w:rsid w:val="00775E69"/>
    <w:rsid w:val="00781D37"/>
    <w:rsid w:val="00786834"/>
    <w:rsid w:val="007945E8"/>
    <w:rsid w:val="0079757F"/>
    <w:rsid w:val="007B6192"/>
    <w:rsid w:val="007B63DB"/>
    <w:rsid w:val="007E7BFD"/>
    <w:rsid w:val="007F7F82"/>
    <w:rsid w:val="0080000D"/>
    <w:rsid w:val="00825399"/>
    <w:rsid w:val="00832C0B"/>
    <w:rsid w:val="00847007"/>
    <w:rsid w:val="00856428"/>
    <w:rsid w:val="00873EDA"/>
    <w:rsid w:val="00883B8A"/>
    <w:rsid w:val="008B5104"/>
    <w:rsid w:val="008B6867"/>
    <w:rsid w:val="008C1A6D"/>
    <w:rsid w:val="008E2B27"/>
    <w:rsid w:val="008F01DB"/>
    <w:rsid w:val="008F11E0"/>
    <w:rsid w:val="008F5B6C"/>
    <w:rsid w:val="009174F2"/>
    <w:rsid w:val="00924E75"/>
    <w:rsid w:val="0093466B"/>
    <w:rsid w:val="00963742"/>
    <w:rsid w:val="00977240"/>
    <w:rsid w:val="009A4137"/>
    <w:rsid w:val="009C77B1"/>
    <w:rsid w:val="009E63BA"/>
    <w:rsid w:val="00A278F8"/>
    <w:rsid w:val="00A3238C"/>
    <w:rsid w:val="00A418D0"/>
    <w:rsid w:val="00AC425B"/>
    <w:rsid w:val="00AD053F"/>
    <w:rsid w:val="00AF4E29"/>
    <w:rsid w:val="00B143E4"/>
    <w:rsid w:val="00B15162"/>
    <w:rsid w:val="00B17D26"/>
    <w:rsid w:val="00B258B8"/>
    <w:rsid w:val="00B455F1"/>
    <w:rsid w:val="00B464ED"/>
    <w:rsid w:val="00B567F6"/>
    <w:rsid w:val="00B6098E"/>
    <w:rsid w:val="00B703FD"/>
    <w:rsid w:val="00B74246"/>
    <w:rsid w:val="00BB6333"/>
    <w:rsid w:val="00BB7675"/>
    <w:rsid w:val="00BB7710"/>
    <w:rsid w:val="00BF3147"/>
    <w:rsid w:val="00C16389"/>
    <w:rsid w:val="00C27873"/>
    <w:rsid w:val="00C51D8D"/>
    <w:rsid w:val="00C5781F"/>
    <w:rsid w:val="00C6071F"/>
    <w:rsid w:val="00C72156"/>
    <w:rsid w:val="00CA74E7"/>
    <w:rsid w:val="00CB16B4"/>
    <w:rsid w:val="00CB1EDD"/>
    <w:rsid w:val="00CB1F0B"/>
    <w:rsid w:val="00CC1341"/>
    <w:rsid w:val="00CD3079"/>
    <w:rsid w:val="00CD5871"/>
    <w:rsid w:val="00D14FFE"/>
    <w:rsid w:val="00D239F6"/>
    <w:rsid w:val="00D311F8"/>
    <w:rsid w:val="00D36492"/>
    <w:rsid w:val="00D6528E"/>
    <w:rsid w:val="00D80286"/>
    <w:rsid w:val="00D85EB1"/>
    <w:rsid w:val="00D91DD1"/>
    <w:rsid w:val="00DA6D73"/>
    <w:rsid w:val="00DB00B4"/>
    <w:rsid w:val="00DB5EC7"/>
    <w:rsid w:val="00DB7295"/>
    <w:rsid w:val="00DE064F"/>
    <w:rsid w:val="00E15750"/>
    <w:rsid w:val="00E26DBE"/>
    <w:rsid w:val="00E3729F"/>
    <w:rsid w:val="00E52CA1"/>
    <w:rsid w:val="00E8065F"/>
    <w:rsid w:val="00E908C0"/>
    <w:rsid w:val="00E90CD2"/>
    <w:rsid w:val="00E91C00"/>
    <w:rsid w:val="00E95929"/>
    <w:rsid w:val="00E96266"/>
    <w:rsid w:val="00EB3440"/>
    <w:rsid w:val="00EC5872"/>
    <w:rsid w:val="00EE22D4"/>
    <w:rsid w:val="00EF2AF0"/>
    <w:rsid w:val="00F004E8"/>
    <w:rsid w:val="00F1192A"/>
    <w:rsid w:val="00F14BE0"/>
    <w:rsid w:val="00F478F5"/>
    <w:rsid w:val="00F506C5"/>
    <w:rsid w:val="00F509AF"/>
    <w:rsid w:val="00F51EFA"/>
    <w:rsid w:val="00F53993"/>
    <w:rsid w:val="00F77E5B"/>
    <w:rsid w:val="00F862F9"/>
    <w:rsid w:val="00F87751"/>
    <w:rsid w:val="00F94B57"/>
    <w:rsid w:val="00F97EDA"/>
    <w:rsid w:val="00FA23C4"/>
    <w:rsid w:val="00FA26A9"/>
    <w:rsid w:val="00FE0C76"/>
    <w:rsid w:val="00FE2AD6"/>
    <w:rsid w:val="00FE4359"/>
    <w:rsid w:val="00FE4EDC"/>
    <w:rsid w:val="00FF29F9"/>
    <w:rsid w:val="00FF418D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89D0"/>
  <w15:chartTrackingRefBased/>
  <w15:docId w15:val="{3F01F441-8923-406F-890C-9C44579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6B4"/>
    <w:pPr>
      <w:spacing w:after="0" w:line="360" w:lineRule="auto"/>
      <w:jc w:val="both"/>
    </w:pPr>
    <w:rPr>
      <w:rFonts w:ascii="Palatino Linotype" w:hAnsi="Palatino Linotype" w:cs="Times New Roman"/>
      <w:kern w:val="2"/>
      <w:sz w:val="24"/>
      <w:szCs w:val="24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86F"/>
    <w:pPr>
      <w:numPr>
        <w:numId w:val="13"/>
      </w:numPr>
      <w:spacing w:before="12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59C0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B73"/>
    <w:pPr>
      <w:numPr>
        <w:ilvl w:val="2"/>
        <w:numId w:val="13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73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73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73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73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73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73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6F"/>
    <w:rPr>
      <w:rFonts w:ascii="Palatino Linotype" w:hAnsi="Palatino Linotype" w:cs="Times New Roman"/>
      <w:b/>
      <w:kern w:val="2"/>
      <w:sz w:val="32"/>
      <w:szCs w:val="24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FE43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5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43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59C0"/>
    <w:rPr>
      <w:rFonts w:ascii="Palatino Linotype" w:hAnsi="Palatino Linotype" w:cs="Times New Roman"/>
      <w:b/>
      <w:kern w:val="2"/>
      <w:sz w:val="28"/>
      <w:szCs w:val="24"/>
      <w14:ligatures w14:val="standard"/>
    </w:rPr>
  </w:style>
  <w:style w:type="paragraph" w:styleId="ListParagraph">
    <w:name w:val="List Paragraph"/>
    <w:basedOn w:val="Normal"/>
    <w:uiPriority w:val="34"/>
    <w:qFormat/>
    <w:rsid w:val="00655602"/>
    <w:pPr>
      <w:ind w:left="720"/>
      <w:contextualSpacing/>
    </w:pPr>
  </w:style>
  <w:style w:type="paragraph" w:styleId="NoSpacing">
    <w:name w:val="No Spacing"/>
    <w:uiPriority w:val="1"/>
    <w:qFormat/>
    <w:rsid w:val="002128C0"/>
    <w:pPr>
      <w:spacing w:after="0" w:line="240" w:lineRule="auto"/>
      <w:jc w:val="both"/>
    </w:pPr>
    <w:rPr>
      <w:rFonts w:ascii="Palatino Linotype" w:hAnsi="Palatino Linotype" w:cs="Times New Roman"/>
      <w:kern w:val="2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21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2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F9"/>
    <w:rPr>
      <w:rFonts w:ascii="Segoe UI" w:hAnsi="Segoe UI" w:cs="Segoe UI"/>
      <w:kern w:val="2"/>
      <w:sz w:val="18"/>
      <w:szCs w:val="18"/>
      <w14:ligatures w14:val="standard"/>
    </w:rPr>
  </w:style>
  <w:style w:type="paragraph" w:styleId="Title">
    <w:name w:val="Title"/>
    <w:basedOn w:val="Heading1"/>
    <w:next w:val="Normal"/>
    <w:link w:val="TitleChar"/>
    <w:uiPriority w:val="10"/>
    <w:qFormat/>
    <w:rsid w:val="00B143E4"/>
    <w:pPr>
      <w:spacing w:before="240" w:after="240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B143E4"/>
    <w:rPr>
      <w:rFonts w:ascii="Palatino Linotype" w:hAnsi="Palatino Linotype" w:cs="Times New Roman"/>
      <w:b/>
      <w:kern w:val="2"/>
      <w:sz w:val="48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703B73"/>
    <w:rPr>
      <w:rFonts w:ascii="Palatino Linotype" w:hAnsi="Palatino Linotype" w:cs="Times New Roman"/>
      <w:b/>
      <w:kern w:val="2"/>
      <w:sz w:val="24"/>
      <w:szCs w:val="24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73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73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7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73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73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73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"/>
    </w:rPr>
  </w:style>
  <w:style w:type="paragraph" w:customStyle="1" w:styleId="Figure">
    <w:name w:val="Figure"/>
    <w:basedOn w:val="Normal"/>
    <w:link w:val="FigureChar"/>
    <w:qFormat/>
    <w:rsid w:val="0011486F"/>
    <w:pPr>
      <w:jc w:val="center"/>
    </w:pPr>
    <w:rPr>
      <w:b/>
      <w:noProof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67C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1486F"/>
    <w:rPr>
      <w:rFonts w:ascii="Palatino Linotype" w:hAnsi="Palatino Linotype" w:cs="Times New Roman"/>
      <w:b/>
      <w:noProof/>
      <w:kern w:val="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04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4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ada.edu.au/dataset.xhtml?persistentId=doi:10.4225/87/IH68H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82F5-1A13-47F5-8662-53E152ED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Young Lee</dc:creator>
  <cp:keywords/>
  <dc:description/>
  <cp:lastModifiedBy>Hangyoung Lee</cp:lastModifiedBy>
  <cp:revision>5</cp:revision>
  <cp:lastPrinted>2018-10-03T00:40:00Z</cp:lastPrinted>
  <dcterms:created xsi:type="dcterms:W3CDTF">2018-10-02T16:42:00Z</dcterms:created>
  <dcterms:modified xsi:type="dcterms:W3CDTF">2018-10-03T01:02:00Z</dcterms:modified>
</cp:coreProperties>
</file>