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C1425"/>
          <w:sz w:val="56"/>
          <w:szCs w:val="56"/>
        </w:rPr>
        <w:t xml:space="preserve">StreamOps AI</w:t>
      </w:r>
    </w:p>
    <w:p>
      <w:pPr>
        <w:spacing w:after="80"/>
      </w:pPr>
      <w:r>
        <w:rPr>
          <w:rFonts w:ascii="Arial" w:cs="Arial" w:eastAsia="Arial" w:hAnsi="Arial"/>
          <w:b/>
          <w:bCs/>
          <w:color w:val="1D4ED8"/>
          <w:sz w:val="40"/>
          <w:szCs w:val="40"/>
        </w:rPr>
        <w:t xml:space="preserve">Multi-Tenant Architecture</w:t>
      </w:r>
    </w:p>
    <w:p>
      <w:pPr>
        <w:spacing w:after="320"/>
      </w:pPr>
      <w:r>
        <w:rPr>
          <w:rFonts w:ascii="Arial" w:cs="Arial" w:eastAsia="Arial" w:hAnsi="Arial"/>
          <w:color w:val="64748B"/>
          <w:sz w:val="22"/>
          <w:szCs w:val="22"/>
        </w:rPr>
        <w:t xml:space="preserve">Technical Specification  —  v1.0  —  May 2026</w:t>
      </w:r>
    </w:p>
    <w:tbl>
      <w:tblPr>
        <w:tblW w:type="dxa" w:w="9026"/>
        <w:tblBorders>
          <w:top w:val="single" w:color="CBD5E1" w:sz="4"/>
          <w:left w:val="none"/>
          <w:bottom w:val="single" w:color="CBD5E1" w:sz="4"/>
          <w:right w:val="none"/>
          <w:insideH w:val="single" w:color="auto" w:sz="4"/>
          <w:insideV w:val="single" w:color="auto" w:sz="4"/>
        </w:tblBorders>
      </w:tblPr>
      <w:tblGrid>
        <w:gridCol w:w="100"/>
        <w:gridCol w:w="100"/>
      </w:tblGrid>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Version</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v1.0 — May 2026</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Author</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Ross McDowall, StreamOps AI</w:t>
            </w:r>
          </w:p>
        </w:tc>
      </w:tr>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Status</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Draft — Architecture Review</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Stack</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React / Vercel  ·  Supabase  ·  Claude API  ·  Xero API  ·  Stripe</w:t>
            </w:r>
          </w:p>
        </w:tc>
      </w:tr>
    </w:tbl>
    <w:p>
      <w:pPr>
        <w:spacing w:after="80"/>
      </w:pPr>
      <w:r>
        <w:rPr>
          <w:rFonts w:ascii="Arial" w:cs="Arial" w:eastAsia="Arial" w:hAnsi="Arial"/>
        </w:rPr>
        <w:t xml:space="preserve"/>
      </w:r>
    </w:p>
    <w:p>
      <w:pPr>
        <w:pBdr>
          <w:bottom w:val="single" w:color="CBD5E1" w:sz="4"/>
        </w:pBdr>
        <w:spacing w:after="160" w:before="480"/>
      </w:pPr>
      <w:r>
        <w:rPr>
          <w:rFonts w:ascii="Arial" w:cs="Arial" w:eastAsia="Arial" w:hAnsi="Arial"/>
          <w:b/>
          <w:bCs/>
          <w:color w:val="0C1425"/>
          <w:sz w:val="36"/>
          <w:szCs w:val="36"/>
        </w:rPr>
        <w:t xml:space="preserve">1. Overview</w:t>
      </w:r>
    </w:p>
    <w:p>
      <w:pPr>
        <w:spacing w:after="140"/>
      </w:pPr>
      <w:r>
        <w:rPr>
          <w:rFonts w:ascii="Arial" w:cs="Arial" w:eastAsia="Arial" w:hAnsi="Arial"/>
          <w:color w:val="1E293B"/>
          <w:sz w:val="20"/>
          <w:szCs w:val="20"/>
        </w:rPr>
        <w:t xml:space="preserve">StreamOps AI is a multi-tenant SaaS platform that automates Xero bill processing for Australian SMBs. This document covers tenant onboarding, the invoice processing pipeline, data storage, the client dashboard, and billing.</w:t>
      </w:r>
    </w:p>
    <w:p>
      <w:pPr>
        <w:spacing w:after="140"/>
      </w:pPr>
      <w:r>
        <w:rPr>
          <w:rFonts w:ascii="Arial" w:cs="Arial" w:eastAsia="Arial" w:hAnsi="Arial"/>
          <w:color w:val="1E293B"/>
          <w:sz w:val="20"/>
          <w:szCs w:val="20"/>
        </w:rPr>
        <w:t xml:space="preserve">The core design principle is zero-storage: StreamOps AI never stores supplier invoice PDFs or invoice content. PDFs are fetched transiently from the Xero API, processed in memory by Claude, and discarded immediately. The processed bill is written back to the client's own Xero organisation. At no point does StreamOps AI hold invoice data at rest.</w:t>
      </w:r>
    </w:p>
    <w:p>
      <w:pPr>
        <w:spacing w:after="80"/>
      </w:pPr>
      <w:r>
        <w:rPr>
          <w:rFonts w:ascii="Arial" w:cs="Arial" w:eastAsia="Arial" w:hAnsi="Arial"/>
        </w:rPr>
        <w:t xml:space="preserve"/>
      </w:r>
    </w:p>
    <w:tbl>
      <w:tblPr>
        <w:tblW w:type="dxa" w:w="9026"/>
        <w:tblBorders>
          <w:top w:val="single" w:color="16A34A" w:sz="6"/>
          <w:left w:val="single" w:color="16A34A" w:sz="18"/>
          <w:bottom w:val="single" w:color="16A34A" w:sz="6"/>
          <w:right w:val="none" w:color="FFFFFF" w:sz="0"/>
          <w:insideH w:val="single" w:color="auto" w:sz="4"/>
          <w:insideV w:val="single" w:color="auto" w:sz="4"/>
        </w:tblBorders>
      </w:tblPr>
      <w:tblGrid>
        <w:gridCol w:w="100"/>
      </w:tblGrid>
      <w:tr>
        <w:tc>
          <w:tcPr>
            <w:tcW w:type="dxa" w:w="9026"/>
            <w:tcBorders>
              <w:top w:val="none"/>
              <w:left w:val="none"/>
              <w:bottom w:val="none"/>
              <w:right w:val="none"/>
            </w:tcBorders>
            <w:shd w:fill="DCFCE7" w:color="DCFCE7" w:val="solid"/>
            <w:tcMar>
              <w:top w:type="dxa" w:w="120"/>
              <w:left w:type="dxa" w:w="200"/>
              <w:bottom w:type="dxa" w:w="120"/>
              <w:right w:type="dxa" w:w="200"/>
            </w:tcMar>
          </w:tcPr>
          <w:p>
            <w:pPr>
              <w:spacing w:after="0"/>
            </w:pPr>
            <w:r>
              <w:rPr>
                <w:rFonts w:ascii="Arial" w:cs="Arial" w:eastAsia="Arial" w:hAnsi="Arial"/>
                <w:color w:val="1C1917"/>
                <w:sz w:val="18"/>
                <w:szCs w:val="18"/>
              </w:rPr>
              <w:t xml:space="preserve">Privacy principle: StreamOps AI acts as a data processor, not a data controller, for invoice content. Invoice PDFs remain in the client's Xero organisation at all times. We store only the metadata required for billing and debugging — never invoice amounts, supplier names, or line item content.</w:t>
            </w:r>
          </w:p>
        </w:tc>
      </w:tr>
    </w:tbl>
    <w:p>
      <w:pPr>
        <w:spacing w:after="80"/>
      </w:pPr>
      <w:r>
        <w:rPr>
          <w:rFonts w:ascii="Arial" w:cs="Arial" w:eastAsia="Arial" w:hAnsi="Arial"/>
        </w:rPr>
        <w:t xml:space="preserve"/>
      </w:r>
    </w:p>
    <w:p>
      <w:pPr>
        <w:pBdr>
          <w:bottom w:val="single" w:color="CBD5E1" w:sz="4"/>
        </w:pBdr>
        <w:spacing w:after="160" w:before="480"/>
      </w:pPr>
      <w:r>
        <w:rPr>
          <w:rFonts w:ascii="Arial" w:cs="Arial" w:eastAsia="Arial" w:hAnsi="Arial"/>
          <w:b/>
          <w:bCs/>
          <w:color w:val="0C1425"/>
          <w:sz w:val="36"/>
          <w:szCs w:val="36"/>
        </w:rPr>
        <w:t xml:space="preserve">2. Tech Stack</w:t>
      </w:r>
    </w:p>
    <w:tbl>
      <w:tblPr>
        <w:tblW w:type="dxa" w:w="9026"/>
        <w:tblBorders>
          <w:top w:val="single" w:color="CBD5E1" w:sz="4"/>
          <w:left w:val="none"/>
          <w:bottom w:val="single" w:color="CBD5E1" w:sz="4"/>
          <w:right w:val="none"/>
          <w:insideH w:val="single" w:color="auto" w:sz="4"/>
          <w:insideV w:val="single" w:color="auto" w:sz="4"/>
        </w:tblBorders>
      </w:tblPr>
      <w:tblGrid>
        <w:gridCol w:w="100"/>
        <w:gridCol w:w="100"/>
      </w:tblGrid>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Frontend</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React (Vite) — hosted on Vercel</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Backend / DB</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Supabase (PostgreSQL + Edge Functions + Auth)</w:t>
            </w:r>
          </w:p>
        </w:tc>
      </w:tr>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AI processing</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Anthropic Claude API (claude-sonnet-4-5)</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Xero integration</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Xero API v2 — OAuth 2.0 with PKCE</w:t>
            </w:r>
          </w:p>
        </w:tc>
      </w:tr>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Billing</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Stripe — Subscriptions + Customer Portal</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Email intake</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Not required — clients use Xero's built-in bills email address</w:t>
            </w:r>
          </w:p>
        </w:tc>
      </w:tr>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File storage</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None required — PDFs stay in Xero</w:t>
            </w:r>
          </w:p>
        </w:tc>
      </w:tr>
    </w:tbl>
    <w:p>
      <w:pPr>
        <w:spacing w:after="80"/>
      </w:pPr>
      <w:r>
        <w:rPr>
          <w:rFonts w:ascii="Arial" w:cs="Arial" w:eastAsia="Arial" w:hAnsi="Arial"/>
        </w:rPr>
        <w:t xml:space="preserve"/>
      </w:r>
    </w:p>
    <w:p>
      <w:pPr>
        <w:pBdr>
          <w:bottom w:val="single" w:color="CBD5E1" w:sz="4"/>
        </w:pBdr>
        <w:spacing w:after="160" w:before="480"/>
      </w:pPr>
      <w:r>
        <w:rPr>
          <w:rFonts w:ascii="Arial" w:cs="Arial" w:eastAsia="Arial" w:hAnsi="Arial"/>
          <w:b/>
          <w:bCs/>
          <w:color w:val="0C1425"/>
          <w:sz w:val="36"/>
          <w:szCs w:val="36"/>
        </w:rPr>
        <w:t xml:space="preserve">3. Multi-Tenancy Model</w:t>
      </w:r>
    </w:p>
    <w:p>
      <w:pPr>
        <w:spacing w:after="140"/>
      </w:pPr>
      <w:r>
        <w:rPr>
          <w:rFonts w:ascii="Arial" w:cs="Arial" w:eastAsia="Arial" w:hAnsi="Arial"/>
          <w:color w:val="1E293B"/>
          <w:sz w:val="20"/>
          <w:szCs w:val="20"/>
        </w:rPr>
        <w:t xml:space="preserve">Each client is a tenant. Tenants are isolated at the database level using Supabase Row-Level Security (RLS) — every table includes a tenant_id column, and RLS policies ensure a tenant can only read and write their own rows. This isolation is enforced by PostgreSQL, not application code.</w:t>
      </w:r>
    </w:p>
    <w:p>
      <w:pPr>
        <w:spacing w:after="140"/>
      </w:pPr>
      <w:r>
        <w:rPr>
          <w:rFonts w:ascii="Arial" w:cs="Arial" w:eastAsia="Arial" w:hAnsi="Arial"/>
          <w:color w:val="1E293B"/>
          <w:sz w:val="20"/>
          <w:szCs w:val="20"/>
        </w:rPr>
        <w:t xml:space="preserve">Each tenant connects exactly one Xero organisation. OAuth tokens are stored encrypted in the xero_connections table using AES-256 encryption with a key held in Supabase Vault (not in the database itself).</w:t>
      </w:r>
    </w:p>
    <w:p>
      <w:pPr>
        <w:spacing w:after="80"/>
      </w:pPr>
      <w:r>
        <w:rPr>
          <w:rFonts w:ascii="Arial" w:cs="Arial" w:eastAsia="Arial" w:hAnsi="Arial"/>
        </w:rPr>
        <w:t xml:space="preserve"/>
      </w:r>
    </w:p>
    <w:p>
      <w:pPr>
        <w:pBdr>
          <w:bottom w:val="single" w:color="CBD5E1" w:sz="4"/>
        </w:pBdr>
        <w:spacing w:after="160" w:before="480"/>
      </w:pPr>
      <w:r>
        <w:rPr>
          <w:rFonts w:ascii="Arial" w:cs="Arial" w:eastAsia="Arial" w:hAnsi="Arial"/>
          <w:b/>
          <w:bCs/>
          <w:color w:val="0C1425"/>
          <w:sz w:val="36"/>
          <w:szCs w:val="36"/>
        </w:rPr>
        <w:t xml:space="preserve">4. Tenant Onboarding</w:t>
      </w:r>
    </w:p>
    <w:p>
      <w:pPr>
        <w:spacing w:after="100" w:before="240"/>
      </w:pPr>
      <w:r>
        <w:rPr>
          <w:rFonts w:ascii="Arial" w:cs="Arial" w:eastAsia="Arial" w:hAnsi="Arial"/>
          <w:b/>
          <w:bCs/>
          <w:color w:val="1E3A5F"/>
          <w:sz w:val="22"/>
          <w:szCs w:val="22"/>
        </w:rPr>
        <w:t xml:space="preserve">4.1  Sign-up flow</w:t>
      </w:r>
    </w:p>
    <w:tbl>
      <w:tblPr>
        <w:tblW w:type="dxa" w:w="9026"/>
        <w:tblBorders>
          <w:top w:val="single" w:color="CBD5E1" w:sz="4"/>
          <w:left w:val="none"/>
          <w:bottom w:val="single" w:color="CBD5E1" w:sz="4"/>
          <w:right w:val="none"/>
          <w:insideH w:val="single" w:color="auto" w:sz="4"/>
          <w:insideV w:val="single" w:color="auto" w:sz="4"/>
        </w:tblBorders>
      </w:tblPr>
      <w:tblGrid>
        <w:gridCol w:w="100"/>
        <w:gridCol w:w="100"/>
        <w:gridCol w:w="100"/>
      </w:tblGrid>
      <w:tr>
        <w:trPr>
          <w:tblHeader/>
        </w:trPr>
        <w:tc>
          <w:tcPr>
            <w:tcW w:type="dxa" w:w="500"/>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w:t>
            </w:r>
          </w:p>
        </w:tc>
        <w:tc>
          <w:tcPr>
            <w:tcW w:type="dxa" w:w="2200"/>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Step</w:t>
            </w:r>
          </w:p>
        </w:tc>
        <w:tc>
          <w:tcPr>
            <w:tcW w:type="dxa" w:w="6326"/>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Detail</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1</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Account creation</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Client signs up via email (Supabase Auth magic link). Tenant record created with status: pending.</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2</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Xero OAuth</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Client clicks "Connect Xero". App initiates OAuth 2.0 PKCE flow. Client authorises on Xero's own domain — we never see Xero credentials.</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3</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Token exchange</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Auth code exchanged for access_token + refresh_token. Tokens encrypted and stored in xero_connections. Tenant status → active.</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4</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Webhook registration</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Supabase Edge Function registers a webhook with Xero for the connected org (BILLS CREATE events).</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5</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Stripe subscription</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Client selects plan. Stripe Checkout session created. On payment_succeeded webhook → tenant plan updated.</w:t>
            </w:r>
          </w:p>
        </w:tc>
      </w:tr>
    </w:tbl>
    <w:p>
      <w:pPr>
        <w:spacing w:after="80"/>
      </w:pPr>
      <w:r>
        <w:rPr>
          <w:rFonts w:ascii="Arial" w:cs="Arial" w:eastAsia="Arial" w:hAnsi="Arial"/>
        </w:rPr>
        <w:t xml:space="preserve"/>
      </w:r>
    </w:p>
    <w:p>
      <w:pPr>
        <w:spacing w:after="100" w:before="240"/>
      </w:pPr>
      <w:r>
        <w:rPr>
          <w:rFonts w:ascii="Arial" w:cs="Arial" w:eastAsia="Arial" w:hAnsi="Arial"/>
          <w:b/>
          <w:bCs/>
          <w:color w:val="1E3A5F"/>
          <w:sz w:val="22"/>
          <w:szCs w:val="22"/>
        </w:rPr>
        <w:t xml:space="preserve">4.2  Token refresh</w:t>
      </w:r>
    </w:p>
    <w:p>
      <w:pPr>
        <w:spacing w:after="140"/>
      </w:pPr>
      <w:r>
        <w:rPr>
          <w:rFonts w:ascii="Arial" w:cs="Arial" w:eastAsia="Arial" w:hAnsi="Arial"/>
          <w:color w:val="1E293B"/>
          <w:sz w:val="20"/>
          <w:szCs w:val="20"/>
        </w:rPr>
        <w:t xml:space="preserve">Xero access tokens expire every 30 minutes. A Supabase Edge Function runs on a cron schedule every 25 minutes and proactively refreshes tokens for any tenant whose token expires within 10 minutes. This ensures invoice processing never fails mid-cycle due to an expired token.</w:t>
      </w:r>
    </w:p>
    <w:p>
      <w:pPr>
        <w:spacing w:after="80"/>
      </w:pPr>
      <w:r>
        <w:rPr>
          <w:rFonts w:ascii="Arial" w:cs="Arial" w:eastAsia="Arial" w:hAnsi="Arial"/>
        </w:rPr>
        <w:t xml:space="preserve"/>
      </w:r>
    </w:p>
    <w:p>
      <w:pPr>
        <w:pBdr>
          <w:bottom w:val="single" w:color="CBD5E1" w:sz="4"/>
        </w:pBdr>
        <w:spacing w:after="160" w:before="480"/>
      </w:pPr>
      <w:r>
        <w:rPr>
          <w:rFonts w:ascii="Arial" w:cs="Arial" w:eastAsia="Arial" w:hAnsi="Arial"/>
          <w:b/>
          <w:bCs/>
          <w:color w:val="0C1425"/>
          <w:sz w:val="36"/>
          <w:szCs w:val="36"/>
        </w:rPr>
        <w:t xml:space="preserve">5. Invoice Processing Pipeline</w:t>
      </w:r>
    </w:p>
    <w:p>
      <w:pPr>
        <w:spacing w:after="140"/>
      </w:pPr>
      <w:r>
        <w:rPr>
          <w:rFonts w:ascii="Arial" w:cs="Arial" w:eastAsia="Arial" w:hAnsi="Arial"/>
          <w:color w:val="1E293B"/>
          <w:sz w:val="20"/>
          <w:szCs w:val="20"/>
        </w:rPr>
        <w:t xml:space="preserve">The pipeline is triggered by a Xero webhook. The client's only required action is forwarding their supplier invoice PDF to their Xero bills email address — which every Xero organisation already has. No new behaviour is required from the client.</w:t>
      </w:r>
    </w:p>
    <w:p>
      <w:pPr>
        <w:spacing w:after="80"/>
      </w:pPr>
      <w:r>
        <w:rPr>
          <w:rFonts w:ascii="Arial" w:cs="Arial" w:eastAsia="Arial" w:hAnsi="Arial"/>
        </w:rPr>
        <w:t xml:space="preserve"/>
      </w:r>
    </w:p>
    <w:p>
      <w:pPr>
        <w:spacing w:after="100" w:before="240"/>
      </w:pPr>
      <w:r>
        <w:rPr>
          <w:rFonts w:ascii="Arial" w:cs="Arial" w:eastAsia="Arial" w:hAnsi="Arial"/>
          <w:b/>
          <w:bCs/>
          <w:color w:val="1E3A5F"/>
          <w:sz w:val="22"/>
          <w:szCs w:val="22"/>
        </w:rPr>
        <w:t xml:space="preserve">5.1  Processing steps</w:t>
      </w:r>
    </w:p>
    <w:tbl>
      <w:tblPr>
        <w:tblW w:type="dxa" w:w="9026"/>
        <w:tblBorders>
          <w:top w:val="single" w:color="CBD5E1" w:sz="4"/>
          <w:left w:val="none"/>
          <w:bottom w:val="single" w:color="CBD5E1" w:sz="4"/>
          <w:right w:val="none"/>
          <w:insideH w:val="single" w:color="auto" w:sz="4"/>
          <w:insideV w:val="single" w:color="auto" w:sz="4"/>
        </w:tblBorders>
      </w:tblPr>
      <w:tblGrid>
        <w:gridCol w:w="100"/>
        <w:gridCol w:w="100"/>
        <w:gridCol w:w="100"/>
      </w:tblGrid>
      <w:tr>
        <w:trPr>
          <w:tblHeader/>
        </w:trPr>
        <w:tc>
          <w:tcPr>
            <w:tcW w:type="dxa" w:w="500"/>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w:t>
            </w:r>
          </w:p>
        </w:tc>
        <w:tc>
          <w:tcPr>
            <w:tcW w:type="dxa" w:w="2200"/>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Step</w:t>
            </w:r>
          </w:p>
        </w:tc>
        <w:tc>
          <w:tcPr>
            <w:tcW w:type="dxa" w:w="6326"/>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Detail</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1</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Xero webhook fires</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Xero sends a BILLS CREATE event to our webhook endpoint: POST /api/webhooks/xero. Payload contains the bill ID and tenant org ID.</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2</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Tenant lookup</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Edge Function looks up the tenant from org ID. Verifies subscription is active. If suspended → log error, skip.</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3</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Fetch PDF from Xero</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GET /Invoices/{billId}/Attachments — PDF bytes loaded into memory only. Never written to disk or stored.</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4</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Claude extraction</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PDF bytes sent to Claude API. Prompt extracts: supplier name, invoice number, date, all line items (description, qty, unit price, amount), GST treatment per line, and invoice totals.</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5</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Catalogue fetch</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GET /Items — tenant's Xero Products &amp; Services list fetched, or served from catalogue_cache if synced within 24 hours.</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6</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Line item matching</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Second Claude call matches each extracted line item to the closest catalogue item. Returns: matched item code, account code, confidence score (0–100).</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7</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Confidence threshold</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Items with confidence ≥ 80% are auto-mapped. Items below 80% are flagged with a Xero bill note: "StreamOps: low confidence — please review line X."</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8</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PATCH bill in Xero</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PATCH /Invoices/{billId} — bill updated with full line item coding. PDF bytes discarded. Status remains DRAFT for client review.</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9</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Log processing record</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Write to processing_logs: bill_id, tenant_id, trigger, line_count, avg_confidence, status, duration_ms. No invoice content stored.</w:t>
            </w:r>
          </w:p>
        </w:tc>
      </w:tr>
    </w:tbl>
    <w:p>
      <w:pPr>
        <w:spacing w:after="80"/>
      </w:pPr>
      <w:r>
        <w:rPr>
          <w:rFonts w:ascii="Arial" w:cs="Arial" w:eastAsia="Arial" w:hAnsi="Arial"/>
        </w:rPr>
        <w:t xml:space="preserve"/>
      </w:r>
    </w:p>
    <w:tbl>
      <w:tblPr>
        <w:tblW w:type="dxa" w:w="9026"/>
        <w:tblBorders>
          <w:top w:val="single" w:color="CA8A04" w:sz="6"/>
          <w:left w:val="single" w:color="CA8A04" w:sz="18"/>
          <w:bottom w:val="single" w:color="CA8A04" w:sz="6"/>
          <w:right w:val="none" w:color="FFFFFF" w:sz="0"/>
          <w:insideH w:val="single" w:color="auto" w:sz="4"/>
          <w:insideV w:val="single" w:color="auto" w:sz="4"/>
        </w:tblBorders>
      </w:tblPr>
      <w:tblGrid>
        <w:gridCol w:w="100"/>
      </w:tblGrid>
      <w:tr>
        <w:tc>
          <w:tcPr>
            <w:tcW w:type="dxa" w:w="9026"/>
            <w:tcBorders>
              <w:top w:val="none"/>
              <w:left w:val="none"/>
              <w:bottom w:val="none"/>
              <w:right w:val="none"/>
            </w:tcBorders>
            <w:shd w:fill="FEF9C3" w:color="FEF9C3" w:val="solid"/>
            <w:tcMar>
              <w:top w:type="dxa" w:w="120"/>
              <w:left w:type="dxa" w:w="200"/>
              <w:bottom w:type="dxa" w:w="120"/>
              <w:right w:type="dxa" w:w="200"/>
            </w:tcMar>
          </w:tcPr>
          <w:p>
            <w:pPr>
              <w:spacing w:after="0"/>
            </w:pPr>
            <w:r>
              <w:rPr>
                <w:rFonts w:ascii="Arial" w:cs="Arial" w:eastAsia="Arial" w:hAnsi="Arial"/>
                <w:color w:val="1C1917"/>
                <w:sz w:val="18"/>
                <w:szCs w:val="18"/>
              </w:rPr>
              <w:t xml:space="preserve">Webhook validation: Xero signs webhook payloads with HMAC-SHA256. The Edge Function verifies the signature before processing. Invalid signatures are rejected with HTTP 401.</w:t>
            </w:r>
          </w:p>
        </w:tc>
      </w:tr>
    </w:tbl>
    <w:p>
      <w:pPr>
        <w:spacing w:after="80"/>
      </w:pPr>
      <w:r>
        <w:rPr>
          <w:rFonts w:ascii="Arial" w:cs="Arial" w:eastAsia="Arial" w:hAnsi="Arial"/>
        </w:rPr>
        <w:t xml:space="preserve"/>
      </w:r>
    </w:p>
    <w:p>
      <w:pPr>
        <w:spacing w:after="100" w:before="240"/>
      </w:pPr>
      <w:r>
        <w:rPr>
          <w:rFonts w:ascii="Arial" w:cs="Arial" w:eastAsia="Arial" w:hAnsi="Arial"/>
          <w:b/>
          <w:bCs/>
          <w:color w:val="1E3A5F"/>
          <w:sz w:val="22"/>
          <w:szCs w:val="22"/>
        </w:rPr>
        <w:t xml:space="preserve">5.2  Xero webhook limitations</w:t>
      </w:r>
    </w:p>
    <w:p>
      <w:pPr>
        <w:spacing w:after="140"/>
      </w:pPr>
      <w:r>
        <w:rPr>
          <w:rFonts w:ascii="Arial" w:cs="Arial" w:eastAsia="Arial" w:hAnsi="Arial"/>
          <w:color w:val="1E293B"/>
          <w:sz w:val="20"/>
          <w:szCs w:val="20"/>
        </w:rPr>
        <w:t xml:space="preserve">Xero webhooks are the primary trigger for invoice processing, but have documented limitations that make a cron-based safety net essential:</w:t>
      </w:r>
    </w:p>
    <w:tbl>
      <w:tblPr>
        <w:tblW w:type="dxa" w:w="9026"/>
        <w:tblBorders>
          <w:top w:val="single" w:color="CBD5E1" w:sz="4"/>
          <w:left w:val="none"/>
          <w:bottom w:val="single" w:color="CBD5E1" w:sz="4"/>
          <w:right w:val="none"/>
          <w:insideH w:val="single" w:color="auto" w:sz="4"/>
          <w:insideV w:val="single" w:color="auto" w:sz="4"/>
        </w:tblBorders>
      </w:tblPr>
      <w:tblGrid>
        <w:gridCol w:w="100"/>
        <w:gridCol w:w="100"/>
      </w:tblGrid>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Delivery not guaranteed</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Xero will retry failed deliveries, but events can be dropped if your endpoint is down for an extended period. There is no event replay mechanism.</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Batch delivery</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Xero may batch multiple events into a single payload. Handlers must iterate over all events, not assume one event per request.</w:t>
            </w:r>
          </w:p>
        </w:tc>
      </w:tr>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No guaranteed order</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Two bills created in quick succession may arrive out of order. Processing must be idempotent — processing the same bill twice must produce the same result.</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Intent-to-receive check</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On first registration, Xero sends a validation request. The endpoint must respond with the correct HMAC within seconds or the webhook will not activate.</w:t>
            </w:r>
          </w:p>
        </w:tc>
      </w:tr>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Timing delays</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Delays of several minutes between bill creation and webhook delivery have been observed under Xero platform load.</w:t>
            </w:r>
          </w:p>
        </w:tc>
      </w:tr>
    </w:tbl>
    <w:p>
      <w:pPr>
        <w:spacing w:after="80"/>
      </w:pPr>
      <w:r>
        <w:rPr>
          <w:rFonts w:ascii="Arial" w:cs="Arial" w:eastAsia="Arial" w:hAnsi="Arial"/>
        </w:rPr>
        <w:t xml:space="preserve"/>
      </w:r>
    </w:p>
    <w:p>
      <w:pPr>
        <w:spacing w:after="100" w:before="240"/>
      </w:pPr>
      <w:r>
        <w:rPr>
          <w:rFonts w:ascii="Arial" w:cs="Arial" w:eastAsia="Arial" w:hAnsi="Arial"/>
          <w:b/>
          <w:bCs/>
          <w:color w:val="1E3A5F"/>
          <w:sz w:val="22"/>
          <w:szCs w:val="22"/>
        </w:rPr>
        <w:t xml:space="preserve">5.3  Dual-trigger architecture (webhook + cron)</w:t>
      </w:r>
    </w:p>
    <w:p>
      <w:pPr>
        <w:spacing w:after="140"/>
      </w:pPr>
      <w:r>
        <w:rPr>
          <w:rFonts w:ascii="Arial" w:cs="Arial" w:eastAsia="Arial" w:hAnsi="Arial"/>
          <w:color w:val="1E293B"/>
          <w:sz w:val="20"/>
          <w:szCs w:val="20"/>
        </w:rPr>
        <w:t xml:space="preserve">Webhooks handle the real-time path. The cron acts as a safety net that catches anything the webhook missed. Using both together gives near-real-time processing with guaranteed eventual delivery.</w:t>
      </w:r>
    </w:p>
    <w:p>
      <w:pPr>
        <w:spacing w:after="80"/>
      </w:pPr>
      <w:r>
        <w:rPr>
          <w:rFonts w:ascii="Arial" w:cs="Arial" w:eastAsia="Arial" w:hAnsi="Arial"/>
        </w:rPr>
        <w:t xml:space="preserve"/>
      </w:r>
    </w:p>
    <w:tbl>
      <w:tblPr>
        <w:tblW w:type="dxa" w:w="9026"/>
        <w:tblBorders>
          <w:top w:val="single" w:color="CBD5E1" w:sz="4"/>
          <w:left w:val="none"/>
          <w:bottom w:val="single" w:color="CBD5E1" w:sz="4"/>
          <w:right w:val="none"/>
          <w:insideH w:val="single" w:color="auto" w:sz="4"/>
          <w:insideV w:val="single" w:color="auto" w:sz="4"/>
        </w:tblBorders>
      </w:tblPr>
      <w:tblGrid>
        <w:gridCol w:w="100"/>
        <w:gridCol w:w="100"/>
        <w:gridCol w:w="100"/>
      </w:tblGrid>
      <w:tr>
        <w:trPr>
          <w:tblHeader/>
        </w:trPr>
        <w:tc>
          <w:tcPr>
            <w:tcW w:type="dxa" w:w="500"/>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w:t>
            </w:r>
          </w:p>
        </w:tc>
        <w:tc>
          <w:tcPr>
            <w:tcW w:type="dxa" w:w="2200"/>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Step</w:t>
            </w:r>
          </w:p>
        </w:tc>
        <w:tc>
          <w:tcPr>
            <w:tcW w:type="dxa" w:w="6326"/>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Detail</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1</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Webhook (primary)</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Xero fires BILLS CREATE → Edge Function processes immediately. Target latency: under 60 seconds from bill creation to coded draft in Xero.</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2</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Cron scan (safety net)</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Supabase pg_cron job runs every 60 minutes, Monday–Friday, 07:00–19:00 AEST. Queries Xero for all DRAFT bills created in the last 25 hours per active tenant.</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3</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Gap detection</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For each bill returned by cron, check processing_logs for a matching xero_bill_id. If no log entry found → bill was missed by webhook → process now.</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4</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Idempotency guard</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Before processing any bill (webhook or cron), check processing_logs first. If a completed log entry already exists → skip. Prevents double-processing if both triggers fire for the same bill.</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5</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Trigger tracking</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processing_logs.trigger column records "webhook" or "cron". Monitor ratio weekly — if cron is catching &gt; 2% of bills, investigate webhook reliability.</w:t>
            </w:r>
          </w:p>
        </w:tc>
      </w:tr>
    </w:tbl>
    <w:p>
      <w:pPr>
        <w:spacing w:after="80"/>
      </w:pPr>
      <w:r>
        <w:rPr>
          <w:rFonts w:ascii="Arial" w:cs="Arial" w:eastAsia="Arial" w:hAnsi="Arial"/>
        </w:rPr>
        <w:t xml:space="preserve"/>
      </w:r>
    </w:p>
    <w:tbl>
      <w:tblPr>
        <w:tblW w:type="dxa" w:w="9026"/>
        <w:tblBorders>
          <w:top w:val="single" w:color="CA8A04" w:sz="6"/>
          <w:left w:val="single" w:color="CA8A04" w:sz="18"/>
          <w:bottom w:val="single" w:color="CA8A04" w:sz="6"/>
          <w:right w:val="none" w:color="FFFFFF" w:sz="0"/>
          <w:insideH w:val="single" w:color="auto" w:sz="4"/>
          <w:insideV w:val="single" w:color="auto" w:sz="4"/>
        </w:tblBorders>
      </w:tblPr>
      <w:tblGrid>
        <w:gridCol w:w="100"/>
      </w:tblGrid>
      <w:tr>
        <w:tc>
          <w:tcPr>
            <w:tcW w:type="dxa" w:w="9026"/>
            <w:tcBorders>
              <w:top w:val="none"/>
              <w:left w:val="none"/>
              <w:bottom w:val="none"/>
              <w:right w:val="none"/>
            </w:tcBorders>
            <w:shd w:fill="FEF9C3" w:color="FEF9C3" w:val="solid"/>
            <w:tcMar>
              <w:top w:type="dxa" w:w="120"/>
              <w:left w:type="dxa" w:w="200"/>
              <w:bottom w:type="dxa" w:w="120"/>
              <w:right w:type="dxa" w:w="200"/>
            </w:tcMar>
          </w:tcPr>
          <w:p>
            <w:pPr>
              <w:spacing w:after="0"/>
            </w:pPr>
            <w:r>
              <w:rPr>
                <w:rFonts w:ascii="Arial" w:cs="Arial" w:eastAsia="Arial" w:hAnsi="Arial"/>
                <w:color w:val="1C1917"/>
                <w:sz w:val="18"/>
                <w:szCs w:val="18"/>
              </w:rPr>
              <w:t xml:space="preserve">Idempotency is the most critical requirement in the dual-trigger pattern. Without the guard in step 4, a bill could be coded twice, resulting in duplicate line items in the client's Xero organisation.</w:t>
            </w:r>
          </w:p>
        </w:tc>
      </w:tr>
    </w:tbl>
    <w:p>
      <w:pPr>
        <w:spacing w:after="80"/>
      </w:pPr>
      <w:r>
        <w:rPr>
          <w:rFonts w:ascii="Arial" w:cs="Arial" w:eastAsia="Arial" w:hAnsi="Arial"/>
        </w:rPr>
        <w:t xml:space="preserve"/>
      </w:r>
    </w:p>
    <w:p>
      <w:pPr>
        <w:spacing w:after="100" w:before="240"/>
      </w:pPr>
      <w:r>
        <w:rPr>
          <w:rFonts w:ascii="Arial" w:cs="Arial" w:eastAsia="Arial" w:hAnsi="Arial"/>
          <w:b/>
          <w:bCs/>
          <w:color w:val="1E3A5F"/>
          <w:sz w:val="22"/>
          <w:szCs w:val="22"/>
        </w:rPr>
        <w:t xml:space="preserve">5.4  Cron schedule detail</w:t>
      </w:r>
    </w:p>
    <w:tbl>
      <w:tblPr>
        <w:tblW w:type="dxa" w:w="9026"/>
        <w:tblBorders>
          <w:top w:val="single" w:color="CBD5E1" w:sz="4"/>
          <w:left w:val="none"/>
          <w:bottom w:val="single" w:color="CBD5E1" w:sz="4"/>
          <w:right w:val="none"/>
          <w:insideH w:val="single" w:color="auto" w:sz="4"/>
          <w:insideV w:val="single" w:color="auto" w:sz="4"/>
        </w:tblBorders>
      </w:tblPr>
      <w:tblGrid>
        <w:gridCol w:w="100"/>
        <w:gridCol w:w="100"/>
      </w:tblGrid>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Schedule</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Every 60 minutes, Monday–Friday, 07:00–19:00 AEST</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Implementation</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Supabase pg_cron extension — no external scheduler required</w:t>
            </w:r>
          </w:p>
        </w:tc>
      </w:tr>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UTC cron expression</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0 21-9 * * 1-5</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Lookback window</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25 hours — covers any bills since last successful scan, with overlap buffer</w:t>
            </w:r>
          </w:p>
        </w:tc>
      </w:tr>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Xero API call</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GET /Invoices?Status=DRAFT&amp;DateFrom={yesterday} per active tenant — paginated, max 100 results per page</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Alert threshold</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Alert if cron catches &gt; 2% of total weekly bill volume — indicates a systemic webhook problem</w:t>
            </w:r>
          </w:p>
        </w:tc>
      </w:tr>
    </w:tbl>
    <w:p>
      <w:pPr>
        <w:spacing w:after="80"/>
      </w:pPr>
      <w:r>
        <w:rPr>
          <w:rFonts w:ascii="Arial" w:cs="Arial" w:eastAsia="Arial" w:hAnsi="Arial"/>
        </w:rPr>
        <w:t xml:space="preserve"/>
      </w:r>
    </w:p>
    <w:p>
      <w:pPr>
        <w:pBdr>
          <w:bottom w:val="single" w:color="CBD5E1" w:sz="4"/>
        </w:pBdr>
        <w:spacing w:after="160" w:before="480"/>
      </w:pPr>
      <w:r>
        <w:rPr>
          <w:rFonts w:ascii="Arial" w:cs="Arial" w:eastAsia="Arial" w:hAnsi="Arial"/>
          <w:b/>
          <w:bCs/>
          <w:color w:val="0C1425"/>
          <w:sz w:val="36"/>
          <w:szCs w:val="36"/>
        </w:rPr>
        <w:t xml:space="preserve">6. Database Schema</w:t>
      </w:r>
    </w:p>
    <w:p>
      <w:pPr>
        <w:spacing w:after="140"/>
      </w:pPr>
      <w:r>
        <w:rPr>
          <w:rFonts w:ascii="Arial" w:cs="Arial" w:eastAsia="Arial" w:hAnsi="Arial"/>
          <w:color w:val="1E293B"/>
          <w:sz w:val="20"/>
          <w:szCs w:val="20"/>
        </w:rPr>
        <w:t xml:space="preserve">All tables include tenant_id (UUID, foreign key to tenants.id). RLS policies on every table: auth.uid() must match tenant_id. Service-role key used only in Edge Functions, never exposed to the browser.</w:t>
      </w:r>
    </w:p>
    <w:p>
      <w:pPr>
        <w:spacing w:after="80"/>
      </w:pPr>
      <w:r>
        <w:rPr>
          <w:rFonts w:ascii="Arial" w:cs="Arial" w:eastAsia="Arial" w:hAnsi="Arial"/>
        </w:rPr>
        <w:t xml:space="preserve"/>
      </w:r>
    </w:p>
    <w:tbl>
      <w:tblPr>
        <w:tblW w:type="dxa" w:w="9026"/>
        <w:tblBorders>
          <w:top w:val="single" w:color="CBD5E1" w:sz="4"/>
          <w:left w:val="none"/>
          <w:bottom w:val="single" w:color="CBD5E1" w:sz="4"/>
          <w:right w:val="none"/>
          <w:insideH w:val="single" w:color="auto" w:sz="4"/>
          <w:insideV w:val="single" w:color="auto" w:sz="4"/>
        </w:tblBorders>
      </w:tblPr>
      <w:tblGrid>
        <w:gridCol w:w="100"/>
        <w:gridCol w:w="100"/>
        <w:gridCol w:w="100"/>
      </w:tblGrid>
      <w:tr>
        <w:trPr>
          <w:tblHeader/>
        </w:trPr>
        <w:tc>
          <w:tcPr>
            <w:tcW w:type="dxa" w:w="2000"/>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Table</w:t>
            </w:r>
          </w:p>
        </w:tc>
        <w:tc>
          <w:tcPr>
            <w:tcW w:type="dxa" w:w="3800"/>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Key Columns</w:t>
            </w:r>
          </w:p>
        </w:tc>
        <w:tc>
          <w:tcPr>
            <w:tcW w:type="dxa" w:w="3226"/>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Notes</w:t>
            </w:r>
          </w:p>
        </w:tc>
      </w:tr>
      <w:tr>
        <w:tc>
          <w:tcPr>
            <w:tcW w:type="dxa" w:w="2000"/>
            <w:tcBorders>
              <w:top w:val="none"/>
              <w:left w:val="none"/>
              <w:bottom w:val="single" w:color="CBD5E1" w:sz="2"/>
              <w:right w:val="none"/>
            </w:tcBorders>
            <w:shd w:fill="F1F5F9" w:color="F1F5F9" w:val="solid"/>
            <w:tcMar>
              <w:top w:type="dxa" w:w="100"/>
              <w:left w:type="dxa" w:w="160"/>
              <w:bottom w:type="dxa" w:w="100"/>
              <w:right w:type="dxa" w:w="160"/>
            </w:tcMar>
          </w:tcPr>
          <w:p>
            <w:pPr>
              <w:spacing w:after="0"/>
            </w:pPr>
            <w:r>
              <w:rPr>
                <w:rFonts w:ascii="Courier New" w:cs="Courier New" w:eastAsia="Courier New" w:hAnsi="Courier New"/>
                <w:b/>
                <w:bCs/>
                <w:color w:val="1D4ED8"/>
                <w:sz w:val="17"/>
                <w:szCs w:val="17"/>
              </w:rPr>
              <w:t xml:space="preserve">tenants</w:t>
            </w:r>
          </w:p>
        </w:tc>
        <w:tc>
          <w:tcPr>
            <w:tcW w:type="dxa" w:w="3800"/>
            <w:tcBorders>
              <w:top w:val="none"/>
              <w:left w:val="none"/>
              <w:bottom w:val="single" w:color="CBD5E1" w:sz="2"/>
              <w:right w:val="none"/>
            </w:tcBorders>
            <w:shd w:fill="F1F5F9" w:color="F1F5F9" w:val="solid"/>
            <w:tcMar>
              <w:top w:type="dxa" w:w="100"/>
              <w:left w:type="dxa" w:w="160"/>
              <w:bottom w:type="dxa" w:w="100"/>
              <w:right w:type="dxa" w:w="160"/>
            </w:tcMar>
          </w:tcPr>
          <w:p>
            <w:pPr>
              <w:spacing w:after="0"/>
            </w:pPr>
            <w:r>
              <w:rPr>
                <w:rFonts w:ascii="Courier New" w:cs="Courier New" w:eastAsia="Courier New" w:hAnsi="Courier New"/>
                <w:color w:val="374151"/>
                <w:sz w:val="16"/>
                <w:szCs w:val="16"/>
              </w:rPr>
              <w:t xml:space="preserve">id, name, plan, status, stripe_customer_id, created_at</w:t>
            </w:r>
          </w:p>
        </w:tc>
        <w:tc>
          <w:tcPr>
            <w:tcW w:type="dxa" w:w="3226"/>
            <w:tcBorders>
              <w:top w:val="none"/>
              <w:left w:val="none"/>
              <w:bottom w:val="single" w:color="CBD5E1" w:sz="2"/>
              <w:right w:val="none"/>
            </w:tcBorders>
            <w:shd w:fill="F1F5F9" w:color="F1F5F9" w:val="solid"/>
            <w:tcMar>
              <w:top w:type="dxa" w:w="100"/>
              <w:left w:type="dxa" w:w="160"/>
              <w:bottom w:type="dxa" w:w="100"/>
              <w:right w:type="dxa" w:w="160"/>
            </w:tcMar>
          </w:tcPr>
          <w:p>
            <w:pPr>
              <w:spacing w:after="0"/>
            </w:pPr>
            <w:r>
              <w:rPr>
                <w:rFonts w:ascii="Arial" w:cs="Arial" w:eastAsia="Arial" w:hAnsi="Arial"/>
                <w:color w:val="64748B"/>
                <w:sz w:val="16"/>
                <w:szCs w:val="16"/>
              </w:rPr>
              <w:t xml:space="preserve">One row per client. Plan: bronze | silver | gold.</w:t>
            </w:r>
          </w:p>
        </w:tc>
      </w:tr>
      <w:tr>
        <w:tc>
          <w:tcPr>
            <w:tcW w:type="dxa" w:w="2000"/>
            <w:tcBorders>
              <w:top w:val="none"/>
              <w:left w:val="none"/>
              <w:bottom w:val="single" w:color="CBD5E1" w:sz="2"/>
              <w:right w:val="none"/>
            </w:tcBorders>
            <w:shd w:fill="FFFFFF" w:color="FFFFFF" w:val="solid"/>
            <w:tcMar>
              <w:top w:type="dxa" w:w="100"/>
              <w:left w:type="dxa" w:w="160"/>
              <w:bottom w:type="dxa" w:w="100"/>
              <w:right w:type="dxa" w:w="160"/>
            </w:tcMar>
          </w:tcPr>
          <w:p>
            <w:pPr>
              <w:spacing w:after="0"/>
            </w:pPr>
            <w:r>
              <w:rPr>
                <w:rFonts w:ascii="Courier New" w:cs="Courier New" w:eastAsia="Courier New" w:hAnsi="Courier New"/>
                <w:b/>
                <w:bCs/>
                <w:color w:val="1D4ED8"/>
                <w:sz w:val="17"/>
                <w:szCs w:val="17"/>
              </w:rPr>
              <w:t xml:space="preserve">xero_connections</w:t>
            </w:r>
          </w:p>
        </w:tc>
        <w:tc>
          <w:tcPr>
            <w:tcW w:type="dxa" w:w="3800"/>
            <w:tcBorders>
              <w:top w:val="none"/>
              <w:left w:val="none"/>
              <w:bottom w:val="single" w:color="CBD5E1" w:sz="2"/>
              <w:right w:val="none"/>
            </w:tcBorders>
            <w:shd w:fill="FFFFFF" w:color="FFFFFF" w:val="solid"/>
            <w:tcMar>
              <w:top w:type="dxa" w:w="100"/>
              <w:left w:type="dxa" w:w="160"/>
              <w:bottom w:type="dxa" w:w="100"/>
              <w:right w:type="dxa" w:w="160"/>
            </w:tcMar>
          </w:tcPr>
          <w:p>
            <w:pPr>
              <w:spacing w:after="0"/>
            </w:pPr>
            <w:r>
              <w:rPr>
                <w:rFonts w:ascii="Courier New" w:cs="Courier New" w:eastAsia="Courier New" w:hAnsi="Courier New"/>
                <w:color w:val="374151"/>
                <w:sz w:val="16"/>
                <w:szCs w:val="16"/>
              </w:rPr>
              <w:t xml:space="preserve">id, tenant_id, xero_org_id, access_token_enc, refresh_token_enc, token_expiry</w:t>
            </w:r>
          </w:p>
        </w:tc>
        <w:tc>
          <w:tcPr>
            <w:tcW w:type="dxa" w:w="3226"/>
            <w:tcBorders>
              <w:top w:val="none"/>
              <w:left w:val="none"/>
              <w:bottom w:val="single" w:color="CBD5E1" w:sz="2"/>
              <w:right w:val="none"/>
            </w:tcBorders>
            <w:shd w:fill="FFFFFF" w:color="FFFFFF" w:val="solid"/>
            <w:tcMar>
              <w:top w:type="dxa" w:w="100"/>
              <w:left w:type="dxa" w:w="160"/>
              <w:bottom w:type="dxa" w:w="100"/>
              <w:right w:type="dxa" w:w="160"/>
            </w:tcMar>
          </w:tcPr>
          <w:p>
            <w:pPr>
              <w:spacing w:after="0"/>
            </w:pPr>
            <w:r>
              <w:rPr>
                <w:rFonts w:ascii="Arial" w:cs="Arial" w:eastAsia="Arial" w:hAnsi="Arial"/>
                <w:color w:val="64748B"/>
                <w:sz w:val="16"/>
                <w:szCs w:val="16"/>
              </w:rPr>
              <w:t xml:space="preserve">Tokens AES-256 encrypted. Key stored in Supabase Vault.</w:t>
            </w:r>
          </w:p>
        </w:tc>
      </w:tr>
      <w:tr>
        <w:tc>
          <w:tcPr>
            <w:tcW w:type="dxa" w:w="2000"/>
            <w:tcBorders>
              <w:top w:val="none"/>
              <w:left w:val="none"/>
              <w:bottom w:val="single" w:color="CBD5E1" w:sz="2"/>
              <w:right w:val="none"/>
            </w:tcBorders>
            <w:shd w:fill="F1F5F9" w:color="F1F5F9" w:val="solid"/>
            <w:tcMar>
              <w:top w:type="dxa" w:w="100"/>
              <w:left w:type="dxa" w:w="160"/>
              <w:bottom w:type="dxa" w:w="100"/>
              <w:right w:type="dxa" w:w="160"/>
            </w:tcMar>
          </w:tcPr>
          <w:p>
            <w:pPr>
              <w:spacing w:after="0"/>
            </w:pPr>
            <w:r>
              <w:rPr>
                <w:rFonts w:ascii="Courier New" w:cs="Courier New" w:eastAsia="Courier New" w:hAnsi="Courier New"/>
                <w:b/>
                <w:bCs/>
                <w:color w:val="1D4ED8"/>
                <w:sz w:val="17"/>
                <w:szCs w:val="17"/>
              </w:rPr>
              <w:t xml:space="preserve">processing_logs</w:t>
            </w:r>
          </w:p>
        </w:tc>
        <w:tc>
          <w:tcPr>
            <w:tcW w:type="dxa" w:w="3800"/>
            <w:tcBorders>
              <w:top w:val="none"/>
              <w:left w:val="none"/>
              <w:bottom w:val="single" w:color="CBD5E1" w:sz="2"/>
              <w:right w:val="none"/>
            </w:tcBorders>
            <w:shd w:fill="F1F5F9" w:color="F1F5F9" w:val="solid"/>
            <w:tcMar>
              <w:top w:type="dxa" w:w="100"/>
              <w:left w:type="dxa" w:w="160"/>
              <w:bottom w:type="dxa" w:w="100"/>
              <w:right w:type="dxa" w:w="160"/>
            </w:tcMar>
          </w:tcPr>
          <w:p>
            <w:pPr>
              <w:spacing w:after="0"/>
            </w:pPr>
            <w:r>
              <w:rPr>
                <w:rFonts w:ascii="Courier New" w:cs="Courier New" w:eastAsia="Courier New" w:hAnsi="Courier New"/>
                <w:color w:val="374151"/>
                <w:sz w:val="16"/>
                <w:szCs w:val="16"/>
              </w:rPr>
              <w:t xml:space="preserve">id, tenant_id, xero_bill_id, status, trigger, line_count, avg_confidence, duration_ms, created_at</w:t>
            </w:r>
          </w:p>
        </w:tc>
        <w:tc>
          <w:tcPr>
            <w:tcW w:type="dxa" w:w="3226"/>
            <w:tcBorders>
              <w:top w:val="none"/>
              <w:left w:val="none"/>
              <w:bottom w:val="single" w:color="CBD5E1" w:sz="2"/>
              <w:right w:val="none"/>
            </w:tcBorders>
            <w:shd w:fill="F1F5F9" w:color="F1F5F9" w:val="solid"/>
            <w:tcMar>
              <w:top w:type="dxa" w:w="100"/>
              <w:left w:type="dxa" w:w="160"/>
              <w:bottom w:type="dxa" w:w="100"/>
              <w:right w:type="dxa" w:w="160"/>
            </w:tcMar>
          </w:tcPr>
          <w:p>
            <w:pPr>
              <w:spacing w:after="0"/>
            </w:pPr>
            <w:r>
              <w:rPr>
                <w:rFonts w:ascii="Arial" w:cs="Arial" w:eastAsia="Arial" w:hAnsi="Arial"/>
                <w:color w:val="64748B"/>
                <w:sz w:val="16"/>
                <w:szCs w:val="16"/>
              </w:rPr>
              <w:t xml:space="preserve">Metadata only. trigger: webhook | cron. No invoice content.</w:t>
            </w:r>
          </w:p>
        </w:tc>
      </w:tr>
      <w:tr>
        <w:tc>
          <w:tcPr>
            <w:tcW w:type="dxa" w:w="2000"/>
            <w:tcBorders>
              <w:top w:val="none"/>
              <w:left w:val="none"/>
              <w:bottom w:val="single" w:color="CBD5E1" w:sz="2"/>
              <w:right w:val="none"/>
            </w:tcBorders>
            <w:shd w:fill="FFFFFF" w:color="FFFFFF" w:val="solid"/>
            <w:tcMar>
              <w:top w:type="dxa" w:w="100"/>
              <w:left w:type="dxa" w:w="160"/>
              <w:bottom w:type="dxa" w:w="100"/>
              <w:right w:type="dxa" w:w="160"/>
            </w:tcMar>
          </w:tcPr>
          <w:p>
            <w:pPr>
              <w:spacing w:after="0"/>
            </w:pPr>
            <w:r>
              <w:rPr>
                <w:rFonts w:ascii="Courier New" w:cs="Courier New" w:eastAsia="Courier New" w:hAnsi="Courier New"/>
                <w:b/>
                <w:bCs/>
                <w:color w:val="1D4ED8"/>
                <w:sz w:val="17"/>
                <w:szCs w:val="17"/>
              </w:rPr>
              <w:t xml:space="preserve">catalogue_cache</w:t>
            </w:r>
          </w:p>
        </w:tc>
        <w:tc>
          <w:tcPr>
            <w:tcW w:type="dxa" w:w="3800"/>
            <w:tcBorders>
              <w:top w:val="none"/>
              <w:left w:val="none"/>
              <w:bottom w:val="single" w:color="CBD5E1" w:sz="2"/>
              <w:right w:val="none"/>
            </w:tcBorders>
            <w:shd w:fill="FFFFFF" w:color="FFFFFF" w:val="solid"/>
            <w:tcMar>
              <w:top w:type="dxa" w:w="100"/>
              <w:left w:type="dxa" w:w="160"/>
              <w:bottom w:type="dxa" w:w="100"/>
              <w:right w:type="dxa" w:w="160"/>
            </w:tcMar>
          </w:tcPr>
          <w:p>
            <w:pPr>
              <w:spacing w:after="0"/>
            </w:pPr>
            <w:r>
              <w:rPr>
                <w:rFonts w:ascii="Courier New" w:cs="Courier New" w:eastAsia="Courier New" w:hAnsi="Courier New"/>
                <w:color w:val="374151"/>
                <w:sz w:val="16"/>
                <w:szCs w:val="16"/>
              </w:rPr>
              <w:t xml:space="preserve">id, tenant_id, xero_item_id, item_code, item_name, account_code, synced_at</w:t>
            </w:r>
          </w:p>
        </w:tc>
        <w:tc>
          <w:tcPr>
            <w:tcW w:type="dxa" w:w="3226"/>
            <w:tcBorders>
              <w:top w:val="none"/>
              <w:left w:val="none"/>
              <w:bottom w:val="single" w:color="CBD5E1" w:sz="2"/>
              <w:right w:val="none"/>
            </w:tcBorders>
            <w:shd w:fill="FFFFFF" w:color="FFFFFF" w:val="solid"/>
            <w:tcMar>
              <w:top w:type="dxa" w:w="100"/>
              <w:left w:type="dxa" w:w="160"/>
              <w:bottom w:type="dxa" w:w="100"/>
              <w:right w:type="dxa" w:w="160"/>
            </w:tcMar>
          </w:tcPr>
          <w:p>
            <w:pPr>
              <w:spacing w:after="0"/>
            </w:pPr>
            <w:r>
              <w:rPr>
                <w:rFonts w:ascii="Arial" w:cs="Arial" w:eastAsia="Arial" w:hAnsi="Arial"/>
                <w:color w:val="64748B"/>
                <w:sz w:val="16"/>
                <w:szCs w:val="16"/>
              </w:rPr>
              <w:t xml:space="preserve">Refreshed from Xero every 24h or on-demand.</w:t>
            </w:r>
          </w:p>
        </w:tc>
      </w:tr>
      <w:tr>
        <w:tc>
          <w:tcPr>
            <w:tcW w:type="dxa" w:w="2000"/>
            <w:tcBorders>
              <w:top w:val="none"/>
              <w:left w:val="none"/>
              <w:bottom w:val="single" w:color="CBD5E1" w:sz="2"/>
              <w:right w:val="none"/>
            </w:tcBorders>
            <w:shd w:fill="F1F5F9" w:color="F1F5F9" w:val="solid"/>
            <w:tcMar>
              <w:top w:type="dxa" w:w="100"/>
              <w:left w:type="dxa" w:w="160"/>
              <w:bottom w:type="dxa" w:w="100"/>
              <w:right w:type="dxa" w:w="160"/>
            </w:tcMar>
          </w:tcPr>
          <w:p>
            <w:pPr>
              <w:spacing w:after="0"/>
            </w:pPr>
            <w:r>
              <w:rPr>
                <w:rFonts w:ascii="Courier New" w:cs="Courier New" w:eastAsia="Courier New" w:hAnsi="Courier New"/>
                <w:b/>
                <w:bCs/>
                <w:color w:val="1D4ED8"/>
                <w:sz w:val="17"/>
                <w:szCs w:val="17"/>
              </w:rPr>
              <w:t xml:space="preserve">subscriptions</w:t>
            </w:r>
          </w:p>
        </w:tc>
        <w:tc>
          <w:tcPr>
            <w:tcW w:type="dxa" w:w="3800"/>
            <w:tcBorders>
              <w:top w:val="none"/>
              <w:left w:val="none"/>
              <w:bottom w:val="single" w:color="CBD5E1" w:sz="2"/>
              <w:right w:val="none"/>
            </w:tcBorders>
            <w:shd w:fill="F1F5F9" w:color="F1F5F9" w:val="solid"/>
            <w:tcMar>
              <w:top w:type="dxa" w:w="100"/>
              <w:left w:type="dxa" w:w="160"/>
              <w:bottom w:type="dxa" w:w="100"/>
              <w:right w:type="dxa" w:w="160"/>
            </w:tcMar>
          </w:tcPr>
          <w:p>
            <w:pPr>
              <w:spacing w:after="0"/>
            </w:pPr>
            <w:r>
              <w:rPr>
                <w:rFonts w:ascii="Courier New" w:cs="Courier New" w:eastAsia="Courier New" w:hAnsi="Courier New"/>
                <w:color w:val="374151"/>
                <w:sz w:val="16"/>
                <w:szCs w:val="16"/>
              </w:rPr>
              <w:t xml:space="preserve">tenant_id, stripe_subscription_id, plan, status, current_period_end</w:t>
            </w:r>
          </w:p>
        </w:tc>
        <w:tc>
          <w:tcPr>
            <w:tcW w:type="dxa" w:w="3226"/>
            <w:tcBorders>
              <w:top w:val="none"/>
              <w:left w:val="none"/>
              <w:bottom w:val="single" w:color="CBD5E1" w:sz="2"/>
              <w:right w:val="none"/>
            </w:tcBorders>
            <w:shd w:fill="F1F5F9" w:color="F1F5F9" w:val="solid"/>
            <w:tcMar>
              <w:top w:type="dxa" w:w="100"/>
              <w:left w:type="dxa" w:w="160"/>
              <w:bottom w:type="dxa" w:w="100"/>
              <w:right w:type="dxa" w:w="160"/>
            </w:tcMar>
          </w:tcPr>
          <w:p>
            <w:pPr>
              <w:spacing w:after="0"/>
            </w:pPr>
            <w:r>
              <w:rPr>
                <w:rFonts w:ascii="Arial" w:cs="Arial" w:eastAsia="Arial" w:hAnsi="Arial"/>
                <w:color w:val="64748B"/>
                <w:sz w:val="16"/>
                <w:szCs w:val="16"/>
              </w:rPr>
              <w:t xml:space="preserve">Mirror of Stripe subscription state.</w:t>
            </w:r>
          </w:p>
        </w:tc>
      </w:tr>
    </w:tbl>
    <w:p>
      <w:pPr>
        <w:spacing w:after="80"/>
      </w:pPr>
      <w:r>
        <w:rPr>
          <w:rFonts w:ascii="Arial" w:cs="Arial" w:eastAsia="Arial" w:hAnsi="Arial"/>
        </w:rPr>
        <w:t xml:space="preserve"/>
      </w:r>
    </w:p>
    <w:p>
      <w:pPr>
        <w:pBdr>
          <w:bottom w:val="single" w:color="CBD5E1" w:sz="4"/>
        </w:pBdr>
        <w:spacing w:after="160" w:before="480"/>
      </w:pPr>
      <w:r>
        <w:rPr>
          <w:rFonts w:ascii="Arial" w:cs="Arial" w:eastAsia="Arial" w:hAnsi="Arial"/>
          <w:b/>
          <w:bCs/>
          <w:color w:val="0C1425"/>
          <w:sz w:val="36"/>
          <w:szCs w:val="36"/>
        </w:rPr>
        <w:t xml:space="preserve">7. Client Dashboard</w:t>
      </w:r>
    </w:p>
    <w:p>
      <w:pPr>
        <w:spacing w:after="140"/>
      </w:pPr>
      <w:r>
        <w:rPr>
          <w:rFonts w:ascii="Arial" w:cs="Arial" w:eastAsia="Arial" w:hAnsi="Arial"/>
          <w:color w:val="1E293B"/>
          <w:sz w:val="20"/>
          <w:szCs w:val="20"/>
        </w:rPr>
        <w:t xml:space="preserve">The dashboard is a React SPA hosted on Vercel. It communicates with Supabase directly via the Supabase JS client (RLS enforced at database level). Supabase Edge Functions handle only async processing tasks — webhook handling and token refresh.</w:t>
      </w:r>
    </w:p>
    <w:p>
      <w:pPr>
        <w:spacing w:after="80"/>
      </w:pPr>
      <w:r>
        <w:rPr>
          <w:rFonts w:ascii="Arial" w:cs="Arial" w:eastAsia="Arial" w:hAnsi="Arial"/>
        </w:rPr>
        <w:t xml:space="preserve"/>
      </w:r>
    </w:p>
    <w:p>
      <w:pPr>
        <w:spacing w:after="100" w:before="240"/>
      </w:pPr>
      <w:r>
        <w:rPr>
          <w:rFonts w:ascii="Arial" w:cs="Arial" w:eastAsia="Arial" w:hAnsi="Arial"/>
          <w:b/>
          <w:bCs/>
          <w:color w:val="1E3A5F"/>
          <w:sz w:val="22"/>
          <w:szCs w:val="22"/>
        </w:rPr>
        <w:t xml:space="preserve">7.1  Dashboard sections</w:t>
      </w:r>
    </w:p>
    <w:p>
      <w:pPr>
        <w:pStyle w:val="ListParagraph"/>
        <w:numPr>
          <w:ilvl w:val="0"/>
          <w:numId w:val="1"/>
        </w:numPr>
        <w:spacing w:after="100"/>
      </w:pPr>
      <w:r>
        <w:rPr>
          <w:rFonts w:ascii="Arial" w:cs="Arial" w:eastAsia="Arial" w:hAnsi="Arial"/>
          <w:b/>
          <w:bCs/>
          <w:color w:val="0C1425"/>
          <w:sz w:val="20"/>
          <w:szCs w:val="20"/>
        </w:rPr>
        <w:t xml:space="preserve">Overview  </w:t>
      </w:r>
      <w:r>
        <w:rPr>
          <w:rFonts w:ascii="Arial" w:cs="Arial" w:eastAsia="Arial" w:hAnsi="Arial"/>
          <w:color w:val="334155"/>
          <w:sz w:val="20"/>
          <w:szCs w:val="20"/>
        </w:rPr>
        <w:t xml:space="preserve">Processing stats: invoices this month, average confidence score, flagged count.</w:t>
      </w:r>
    </w:p>
    <w:p>
      <w:pPr>
        <w:pStyle w:val="ListParagraph"/>
        <w:numPr>
          <w:ilvl w:val="0"/>
          <w:numId w:val="1"/>
        </w:numPr>
        <w:spacing w:after="100"/>
      </w:pPr>
      <w:r>
        <w:rPr>
          <w:rFonts w:ascii="Arial" w:cs="Arial" w:eastAsia="Arial" w:hAnsi="Arial"/>
          <w:b/>
          <w:bCs/>
          <w:color w:val="0C1425"/>
          <w:sz w:val="20"/>
          <w:szCs w:val="20"/>
        </w:rPr>
        <w:t xml:space="preserve">Processing history  </w:t>
      </w:r>
      <w:r>
        <w:rPr>
          <w:rFonts w:ascii="Arial" w:cs="Arial" w:eastAsia="Arial" w:hAnsi="Arial"/>
          <w:color w:val="334155"/>
          <w:sz w:val="20"/>
          <w:szCs w:val="20"/>
        </w:rPr>
        <w:t xml:space="preserve">List of processed bills with status, Xero bill ID, confidence score, and direct link to the bill in Xero.</w:t>
      </w:r>
    </w:p>
    <w:p>
      <w:pPr>
        <w:pStyle w:val="ListParagraph"/>
        <w:numPr>
          <w:ilvl w:val="0"/>
          <w:numId w:val="1"/>
        </w:numPr>
        <w:spacing w:after="100"/>
      </w:pPr>
      <w:r>
        <w:rPr>
          <w:rFonts w:ascii="Arial" w:cs="Arial" w:eastAsia="Arial" w:hAnsi="Arial"/>
          <w:b/>
          <w:bCs/>
          <w:color w:val="0C1425"/>
          <w:sz w:val="20"/>
          <w:szCs w:val="20"/>
        </w:rPr>
        <w:t xml:space="preserve">Catalogue settings  </w:t>
      </w:r>
      <w:r>
        <w:rPr>
          <w:rFonts w:ascii="Arial" w:cs="Arial" w:eastAsia="Arial" w:hAnsi="Arial"/>
          <w:color w:val="334155"/>
          <w:sz w:val="20"/>
          <w:szCs w:val="20"/>
        </w:rPr>
        <w:t xml:space="preserve">Trigger manual catalogue re-sync from Xero; view matched items; add manual override mappings.</w:t>
      </w:r>
    </w:p>
    <w:p>
      <w:pPr>
        <w:pStyle w:val="ListParagraph"/>
        <w:numPr>
          <w:ilvl w:val="0"/>
          <w:numId w:val="1"/>
        </w:numPr>
        <w:spacing w:after="100"/>
      </w:pPr>
      <w:r>
        <w:rPr>
          <w:rFonts w:ascii="Arial" w:cs="Arial" w:eastAsia="Arial" w:hAnsi="Arial"/>
          <w:b/>
          <w:bCs/>
          <w:color w:val="0C1425"/>
          <w:sz w:val="20"/>
          <w:szCs w:val="20"/>
        </w:rPr>
        <w:t xml:space="preserve">Xero connection  </w:t>
      </w:r>
      <w:r>
        <w:rPr>
          <w:rFonts w:ascii="Arial" w:cs="Arial" w:eastAsia="Arial" w:hAnsi="Arial"/>
          <w:color w:val="334155"/>
          <w:sz w:val="20"/>
          <w:szCs w:val="20"/>
        </w:rPr>
        <w:t xml:space="preserve">Connect / disconnect Xero org; view OAuth token status; manage team members (future).</w:t>
      </w:r>
    </w:p>
    <w:p>
      <w:pPr>
        <w:pStyle w:val="ListParagraph"/>
        <w:numPr>
          <w:ilvl w:val="0"/>
          <w:numId w:val="1"/>
        </w:numPr>
        <w:spacing w:after="100"/>
      </w:pPr>
      <w:r>
        <w:rPr>
          <w:rFonts w:ascii="Arial" w:cs="Arial" w:eastAsia="Arial" w:hAnsi="Arial"/>
          <w:b/>
          <w:bCs/>
          <w:color w:val="0C1425"/>
          <w:sz w:val="20"/>
          <w:szCs w:val="20"/>
        </w:rPr>
        <w:t xml:space="preserve">Billing &amp; plan  </w:t>
      </w:r>
      <w:r>
        <w:rPr>
          <w:rFonts w:ascii="Arial" w:cs="Arial" w:eastAsia="Arial" w:hAnsi="Arial"/>
          <w:color w:val="334155"/>
          <w:sz w:val="20"/>
          <w:szCs w:val="20"/>
        </w:rPr>
        <w:t xml:space="preserve">View current plan; upgrade/downgrade via Stripe Customer Portal; view invoice history.</w:t>
      </w:r>
    </w:p>
    <w:p>
      <w:pPr>
        <w:spacing w:after="80"/>
      </w:pPr>
      <w:r>
        <w:rPr>
          <w:rFonts w:ascii="Arial" w:cs="Arial" w:eastAsia="Arial" w:hAnsi="Arial"/>
        </w:rPr>
        <w:t xml:space="preserve"/>
      </w:r>
    </w:p>
    <w:tbl>
      <w:tblPr>
        <w:tblW w:type="dxa" w:w="9026"/>
        <w:tblBorders>
          <w:top w:val="single" w:color="16A34A" w:sz="6"/>
          <w:left w:val="single" w:color="16A34A" w:sz="18"/>
          <w:bottom w:val="single" w:color="16A34A" w:sz="6"/>
          <w:right w:val="none" w:color="FFFFFF" w:sz="0"/>
          <w:insideH w:val="single" w:color="auto" w:sz="4"/>
          <w:insideV w:val="single" w:color="auto" w:sz="4"/>
        </w:tblBorders>
      </w:tblPr>
      <w:tblGrid>
        <w:gridCol w:w="100"/>
      </w:tblGrid>
      <w:tr>
        <w:tc>
          <w:tcPr>
            <w:tcW w:type="dxa" w:w="9026"/>
            <w:tcBorders>
              <w:top w:val="none"/>
              <w:left w:val="none"/>
              <w:bottom w:val="none"/>
              <w:right w:val="none"/>
            </w:tcBorders>
            <w:shd w:fill="DCFCE7" w:color="DCFCE7" w:val="solid"/>
            <w:tcMar>
              <w:top w:type="dxa" w:w="120"/>
              <w:left w:type="dxa" w:w="200"/>
              <w:bottom w:type="dxa" w:w="120"/>
              <w:right w:type="dxa" w:w="200"/>
            </w:tcMar>
          </w:tcPr>
          <w:p>
            <w:pPr>
              <w:spacing w:after="0"/>
            </w:pPr>
            <w:r>
              <w:rPr>
                <w:rFonts w:ascii="Arial" w:cs="Arial" w:eastAsia="Arial" w:hAnsi="Arial"/>
                <w:color w:val="1C1917"/>
                <w:sz w:val="18"/>
                <w:szCs w:val="18"/>
              </w:rPr>
              <w:t xml:space="preserve">The dashboard does not display invoice content — no line items, amounts, or supplier names. This data exists only in the client's Xero organisation. The dashboard shows processing metadata only.</w:t>
            </w:r>
          </w:p>
        </w:tc>
      </w:tr>
    </w:tbl>
    <w:p>
      <w:pPr>
        <w:spacing w:after="80"/>
      </w:pPr>
      <w:r>
        <w:rPr>
          <w:rFonts w:ascii="Arial" w:cs="Arial" w:eastAsia="Arial" w:hAnsi="Arial"/>
        </w:rPr>
        <w:t xml:space="preserve"/>
      </w:r>
    </w:p>
    <w:p>
      <w:pPr>
        <w:pBdr>
          <w:bottom w:val="single" w:color="CBD5E1" w:sz="4"/>
        </w:pBdr>
        <w:spacing w:after="160" w:before="480"/>
      </w:pPr>
      <w:r>
        <w:rPr>
          <w:rFonts w:ascii="Arial" w:cs="Arial" w:eastAsia="Arial" w:hAnsi="Arial"/>
          <w:b/>
          <w:bCs/>
          <w:color w:val="0C1425"/>
          <w:sz w:val="36"/>
          <w:szCs w:val="36"/>
        </w:rPr>
        <w:t xml:space="preserve">8. Billing &amp; Subscriptions</w:t>
      </w:r>
    </w:p>
    <w:p>
      <w:pPr>
        <w:spacing w:after="140"/>
      </w:pPr>
      <w:r>
        <w:rPr>
          <w:rFonts w:ascii="Arial" w:cs="Arial" w:eastAsia="Arial" w:hAnsi="Arial"/>
          <w:color w:val="1E293B"/>
          <w:sz w:val="20"/>
          <w:szCs w:val="20"/>
        </w:rPr>
        <w:t xml:space="preserve">Stripe handles all subscription billing. Each tenant has a Stripe Customer record linked via tenants.stripe_customer_id.</w:t>
      </w:r>
    </w:p>
    <w:p>
      <w:pPr>
        <w:spacing w:after="80"/>
      </w:pPr>
      <w:r>
        <w:rPr>
          <w:rFonts w:ascii="Arial" w:cs="Arial" w:eastAsia="Arial" w:hAnsi="Arial"/>
        </w:rPr>
        <w:t xml:space="preserve"/>
      </w:r>
    </w:p>
    <w:tbl>
      <w:tblPr>
        <w:tblW w:type="dxa" w:w="9026"/>
        <w:tblBorders>
          <w:top w:val="single" w:color="CBD5E1" w:sz="4"/>
          <w:left w:val="none"/>
          <w:bottom w:val="single" w:color="CBD5E1" w:sz="4"/>
          <w:right w:val="none"/>
          <w:insideH w:val="single" w:color="auto" w:sz="4"/>
          <w:insideV w:val="single" w:color="auto" w:sz="4"/>
        </w:tblBorders>
      </w:tblPr>
      <w:tblGrid>
        <w:gridCol w:w="100"/>
        <w:gridCol w:w="100"/>
      </w:tblGrid>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Bronze — $1,500/month AUD</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Maintenance, monitoring, minor tweaks</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Silver — $2,500/month AUD</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1 new automation/month + maintenance</w:t>
            </w:r>
          </w:p>
        </w:tc>
      </w:tr>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Gold   — $4,000/month AUD</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2 automations/month + priority support + strategy calls</w:t>
            </w:r>
          </w:p>
        </w:tc>
      </w:tr>
    </w:tbl>
    <w:p>
      <w:pPr>
        <w:spacing w:after="80"/>
      </w:pPr>
      <w:r>
        <w:rPr>
          <w:rFonts w:ascii="Arial" w:cs="Arial" w:eastAsia="Arial" w:hAnsi="Arial"/>
        </w:rPr>
        <w:t xml:space="preserve"/>
      </w:r>
    </w:p>
    <w:p>
      <w:pPr>
        <w:spacing w:after="100" w:before="240"/>
      </w:pPr>
      <w:r>
        <w:rPr>
          <w:rFonts w:ascii="Arial" w:cs="Arial" w:eastAsia="Arial" w:hAnsi="Arial"/>
          <w:b/>
          <w:bCs/>
          <w:color w:val="1E3A5F"/>
          <w:sz w:val="22"/>
          <w:szCs w:val="22"/>
        </w:rPr>
        <w:t xml:space="preserve">8.1  Stripe webhook events handled</w:t>
      </w:r>
    </w:p>
    <w:p>
      <w:pPr>
        <w:pStyle w:val="ListParagraph"/>
        <w:numPr>
          <w:ilvl w:val="0"/>
          <w:numId w:val="1"/>
        </w:numPr>
        <w:spacing w:after="100"/>
      </w:pPr>
      <w:r>
        <w:rPr>
          <w:rFonts w:ascii="Arial" w:cs="Arial" w:eastAsia="Arial" w:hAnsi="Arial"/>
          <w:b/>
          <w:bCs/>
          <w:color w:val="0C1425"/>
          <w:sz w:val="20"/>
          <w:szCs w:val="20"/>
        </w:rPr>
        <w:t xml:space="preserve">customer.subscription.created  </w:t>
      </w:r>
      <w:r>
        <w:rPr>
          <w:rFonts w:ascii="Arial" w:cs="Arial" w:eastAsia="Arial" w:hAnsi="Arial"/>
          <w:color w:val="334155"/>
          <w:sz w:val="20"/>
          <w:szCs w:val="20"/>
        </w:rPr>
        <w:t xml:space="preserve">→ set tenant plan + status: active</w:t>
      </w:r>
    </w:p>
    <w:p>
      <w:pPr>
        <w:pStyle w:val="ListParagraph"/>
        <w:numPr>
          <w:ilvl w:val="0"/>
          <w:numId w:val="1"/>
        </w:numPr>
        <w:spacing w:after="100"/>
      </w:pPr>
      <w:r>
        <w:rPr>
          <w:rFonts w:ascii="Arial" w:cs="Arial" w:eastAsia="Arial" w:hAnsi="Arial"/>
          <w:b/>
          <w:bCs/>
          <w:color w:val="0C1425"/>
          <w:sz w:val="20"/>
          <w:szCs w:val="20"/>
        </w:rPr>
        <w:t xml:space="preserve">customer.subscription.updated  </w:t>
      </w:r>
      <w:r>
        <w:rPr>
          <w:rFonts w:ascii="Arial" w:cs="Arial" w:eastAsia="Arial" w:hAnsi="Arial"/>
          <w:color w:val="334155"/>
          <w:sz w:val="20"/>
          <w:szCs w:val="20"/>
        </w:rPr>
        <w:t xml:space="preserve">→ update plan in subscriptions table</w:t>
      </w:r>
    </w:p>
    <w:p>
      <w:pPr>
        <w:pStyle w:val="ListParagraph"/>
        <w:numPr>
          <w:ilvl w:val="0"/>
          <w:numId w:val="1"/>
        </w:numPr>
        <w:spacing w:after="100"/>
      </w:pPr>
      <w:r>
        <w:rPr>
          <w:rFonts w:ascii="Arial" w:cs="Arial" w:eastAsia="Arial" w:hAnsi="Arial"/>
          <w:b/>
          <w:bCs/>
          <w:color w:val="0C1425"/>
          <w:sz w:val="20"/>
          <w:szCs w:val="20"/>
        </w:rPr>
        <w:t xml:space="preserve">customer.subscription.deleted  </w:t>
      </w:r>
      <w:r>
        <w:rPr>
          <w:rFonts w:ascii="Arial" w:cs="Arial" w:eastAsia="Arial" w:hAnsi="Arial"/>
          <w:color w:val="334155"/>
          <w:sz w:val="20"/>
          <w:szCs w:val="20"/>
        </w:rPr>
        <w:t xml:space="preserve">→ set tenant status: suspended, stop processing</w:t>
      </w:r>
    </w:p>
    <w:p>
      <w:pPr>
        <w:pStyle w:val="ListParagraph"/>
        <w:numPr>
          <w:ilvl w:val="0"/>
          <w:numId w:val="1"/>
        </w:numPr>
        <w:spacing w:after="100"/>
      </w:pPr>
      <w:r>
        <w:rPr>
          <w:rFonts w:ascii="Arial" w:cs="Arial" w:eastAsia="Arial" w:hAnsi="Arial"/>
          <w:b/>
          <w:bCs/>
          <w:color w:val="0C1425"/>
          <w:sz w:val="20"/>
          <w:szCs w:val="20"/>
        </w:rPr>
        <w:t xml:space="preserve">invoice.payment_failed  </w:t>
      </w:r>
      <w:r>
        <w:rPr>
          <w:rFonts w:ascii="Arial" w:cs="Arial" w:eastAsia="Arial" w:hAnsi="Arial"/>
          <w:color w:val="334155"/>
          <w:sz w:val="20"/>
          <w:szCs w:val="20"/>
        </w:rPr>
        <w:t xml:space="preserve">→ email warning; suspend after 3 failed attempts</w:t>
      </w:r>
    </w:p>
    <w:p>
      <w:pPr>
        <w:spacing w:after="80"/>
      </w:pPr>
      <w:r>
        <w:rPr>
          <w:rFonts w:ascii="Arial" w:cs="Arial" w:eastAsia="Arial" w:hAnsi="Arial"/>
        </w:rPr>
        <w:t xml:space="preserve"/>
      </w:r>
    </w:p>
    <w:p>
      <w:pPr>
        <w:pBdr>
          <w:bottom w:val="single" w:color="CBD5E1" w:sz="4"/>
        </w:pBdr>
        <w:spacing w:after="160" w:before="480"/>
      </w:pPr>
      <w:r>
        <w:rPr>
          <w:rFonts w:ascii="Arial" w:cs="Arial" w:eastAsia="Arial" w:hAnsi="Arial"/>
          <w:b/>
          <w:bCs/>
          <w:color w:val="0C1425"/>
          <w:sz w:val="36"/>
          <w:szCs w:val="36"/>
        </w:rPr>
        <w:t xml:space="preserve">9. Security</w:t>
      </w:r>
    </w:p>
    <w:p>
      <w:pPr>
        <w:pStyle w:val="ListParagraph"/>
        <w:numPr>
          <w:ilvl w:val="0"/>
          <w:numId w:val="1"/>
        </w:numPr>
        <w:spacing w:after="100"/>
      </w:pPr>
      <w:r>
        <w:rPr>
          <w:rFonts w:ascii="Arial" w:cs="Arial" w:eastAsia="Arial" w:hAnsi="Arial"/>
          <w:b/>
          <w:bCs/>
          <w:color w:val="0C1425"/>
          <w:sz w:val="20"/>
          <w:szCs w:val="20"/>
        </w:rPr>
        <w:t xml:space="preserve">Token security  </w:t>
      </w:r>
      <w:r>
        <w:rPr>
          <w:rFonts w:ascii="Arial" w:cs="Arial" w:eastAsia="Arial" w:hAnsi="Arial"/>
          <w:color w:val="334155"/>
          <w:sz w:val="20"/>
          <w:szCs w:val="20"/>
        </w:rPr>
        <w:t xml:space="preserve">Xero OAuth tokens encrypted at rest with AES-256. Encryption key stored in Supabase Vault, not in the database.</w:t>
      </w:r>
    </w:p>
    <w:p>
      <w:pPr>
        <w:pStyle w:val="ListParagraph"/>
        <w:numPr>
          <w:ilvl w:val="0"/>
          <w:numId w:val="1"/>
        </w:numPr>
        <w:spacing w:after="100"/>
      </w:pPr>
      <w:r>
        <w:rPr>
          <w:rFonts w:ascii="Arial" w:cs="Arial" w:eastAsia="Arial" w:hAnsi="Arial"/>
          <w:b/>
          <w:bCs/>
          <w:color w:val="0C1425"/>
          <w:sz w:val="20"/>
          <w:szCs w:val="20"/>
        </w:rPr>
        <w:t xml:space="preserve">Data isolation  </w:t>
      </w:r>
      <w:r>
        <w:rPr>
          <w:rFonts w:ascii="Arial" w:cs="Arial" w:eastAsia="Arial" w:hAnsi="Arial"/>
          <w:color w:val="334155"/>
          <w:sz w:val="20"/>
          <w:szCs w:val="20"/>
        </w:rPr>
        <w:t xml:space="preserve">All tables enforce RLS at the PostgreSQL level. Frontend uses anon key — can only access rows matching the authenticated tenant_id.</w:t>
      </w:r>
    </w:p>
    <w:p>
      <w:pPr>
        <w:pStyle w:val="ListParagraph"/>
        <w:numPr>
          <w:ilvl w:val="0"/>
          <w:numId w:val="1"/>
        </w:numPr>
        <w:spacing w:after="100"/>
      </w:pPr>
      <w:r>
        <w:rPr>
          <w:rFonts w:ascii="Arial" w:cs="Arial" w:eastAsia="Arial" w:hAnsi="Arial"/>
          <w:b/>
          <w:bCs/>
          <w:color w:val="0C1425"/>
          <w:sz w:val="20"/>
          <w:szCs w:val="20"/>
        </w:rPr>
        <w:t xml:space="preserve">Webhook validation  </w:t>
      </w:r>
      <w:r>
        <w:rPr>
          <w:rFonts w:ascii="Arial" w:cs="Arial" w:eastAsia="Arial" w:hAnsi="Arial"/>
          <w:color w:val="334155"/>
          <w:sz w:val="20"/>
          <w:szCs w:val="20"/>
        </w:rPr>
        <w:t xml:space="preserve">Xero webhook payloads verified with HMAC-SHA256 signature before any processing begins.</w:t>
      </w:r>
    </w:p>
    <w:p>
      <w:pPr>
        <w:pStyle w:val="ListParagraph"/>
        <w:numPr>
          <w:ilvl w:val="0"/>
          <w:numId w:val="1"/>
        </w:numPr>
        <w:spacing w:after="100"/>
      </w:pPr>
      <w:r>
        <w:rPr>
          <w:rFonts w:ascii="Arial" w:cs="Arial" w:eastAsia="Arial" w:hAnsi="Arial"/>
          <w:b/>
          <w:bCs/>
          <w:color w:val="0C1425"/>
          <w:sz w:val="20"/>
          <w:szCs w:val="20"/>
        </w:rPr>
        <w:t xml:space="preserve">Zero PDF storage  </w:t>
      </w:r>
      <w:r>
        <w:rPr>
          <w:rFonts w:ascii="Arial" w:cs="Arial" w:eastAsia="Arial" w:hAnsi="Arial"/>
          <w:color w:val="334155"/>
          <w:sz w:val="20"/>
          <w:szCs w:val="20"/>
        </w:rPr>
        <w:t xml:space="preserve">Invoice PDFs are never written to disk or object storage. Bytes held in memory within a single Edge Function invocation and discarded on completion.</w:t>
      </w:r>
    </w:p>
    <w:p>
      <w:pPr>
        <w:pStyle w:val="ListParagraph"/>
        <w:numPr>
          <w:ilvl w:val="0"/>
          <w:numId w:val="1"/>
        </w:numPr>
        <w:spacing w:after="100"/>
      </w:pPr>
      <w:r>
        <w:rPr>
          <w:rFonts w:ascii="Arial" w:cs="Arial" w:eastAsia="Arial" w:hAnsi="Arial"/>
          <w:b/>
          <w:bCs/>
          <w:color w:val="0C1425"/>
          <w:sz w:val="20"/>
          <w:szCs w:val="20"/>
        </w:rPr>
        <w:t xml:space="preserve">AI data handling  </w:t>
      </w:r>
      <w:r>
        <w:rPr>
          <w:rFonts w:ascii="Arial" w:cs="Arial" w:eastAsia="Arial" w:hAnsi="Arial"/>
          <w:color w:val="334155"/>
          <w:sz w:val="20"/>
          <w:szCs w:val="20"/>
        </w:rPr>
        <w:t xml:space="preserve">Claude API calls are stateless with no persistent memory. Invoice content is not used for model training under Anthropic's API terms.</w:t>
      </w:r>
    </w:p>
    <w:p>
      <w:pPr>
        <w:pStyle w:val="ListParagraph"/>
        <w:numPr>
          <w:ilvl w:val="0"/>
          <w:numId w:val="1"/>
        </w:numPr>
        <w:spacing w:after="100"/>
      </w:pPr>
      <w:r>
        <w:rPr>
          <w:rFonts w:ascii="Arial" w:cs="Arial" w:eastAsia="Arial" w:hAnsi="Arial"/>
          <w:b/>
          <w:bCs/>
          <w:color w:val="0C1425"/>
          <w:sz w:val="20"/>
          <w:szCs w:val="20"/>
        </w:rPr>
        <w:t xml:space="preserve">Key management  </w:t>
      </w:r>
      <w:r>
        <w:rPr>
          <w:rFonts w:ascii="Arial" w:cs="Arial" w:eastAsia="Arial" w:hAnsi="Arial"/>
          <w:color w:val="334155"/>
          <w:sz w:val="20"/>
          <w:szCs w:val="20"/>
        </w:rPr>
        <w:t xml:space="preserve">Service-role key used only in server-side Edge Functions. Never exposed to browser or client-side code.</w:t>
      </w:r>
    </w:p>
    <w:p>
      <w:pPr>
        <w:spacing w:after="80"/>
      </w:pPr>
      <w:r>
        <w:rPr>
          <w:rFonts w:ascii="Arial" w:cs="Arial" w:eastAsia="Arial" w:hAnsi="Arial"/>
        </w:rPr>
        <w:t xml:space="preserve"/>
      </w:r>
    </w:p>
    <w:p>
      <w:pPr>
        <w:pBdr>
          <w:bottom w:val="single" w:color="CBD5E1" w:sz="4"/>
        </w:pBdr>
        <w:spacing w:after="160" w:before="480"/>
      </w:pPr>
      <w:r>
        <w:rPr>
          <w:rFonts w:ascii="Arial" w:cs="Arial" w:eastAsia="Arial" w:hAnsi="Arial"/>
          <w:b/>
          <w:bCs/>
          <w:color w:val="0C1425"/>
          <w:sz w:val="36"/>
          <w:szCs w:val="36"/>
        </w:rPr>
        <w:t xml:space="preserve">10. Phase 1 Build Plan</w:t>
      </w:r>
    </w:p>
    <w:p>
      <w:pPr>
        <w:spacing w:after="140"/>
      </w:pPr>
      <w:r>
        <w:rPr>
          <w:rFonts w:ascii="Arial" w:cs="Arial" w:eastAsia="Arial" w:hAnsi="Arial"/>
          <w:color w:val="1E293B"/>
          <w:sz w:val="20"/>
          <w:szCs w:val="20"/>
        </w:rPr>
        <w:t xml:space="preserve">The recommended sequence prioritises the critical path: getting one client connected and processing invoices before building the full dashboard.</w:t>
      </w:r>
    </w:p>
    <w:p>
      <w:pPr>
        <w:spacing w:after="80"/>
      </w:pPr>
      <w:r>
        <w:rPr>
          <w:rFonts w:ascii="Arial" w:cs="Arial" w:eastAsia="Arial" w:hAnsi="Arial"/>
        </w:rPr>
        <w:t xml:space="preserve"/>
      </w:r>
    </w:p>
    <w:tbl>
      <w:tblPr>
        <w:tblW w:type="dxa" w:w="9026"/>
        <w:tblBorders>
          <w:top w:val="single" w:color="CBD5E1" w:sz="4"/>
          <w:left w:val="none"/>
          <w:bottom w:val="single" w:color="CBD5E1" w:sz="4"/>
          <w:right w:val="none"/>
          <w:insideH w:val="single" w:color="auto" w:sz="4"/>
          <w:insideV w:val="single" w:color="auto" w:sz="4"/>
        </w:tblBorders>
      </w:tblPr>
      <w:tblGrid>
        <w:gridCol w:w="100"/>
        <w:gridCol w:w="100"/>
        <w:gridCol w:w="100"/>
      </w:tblGrid>
      <w:tr>
        <w:trPr>
          <w:tblHeader/>
        </w:trPr>
        <w:tc>
          <w:tcPr>
            <w:tcW w:type="dxa" w:w="500"/>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w:t>
            </w:r>
          </w:p>
        </w:tc>
        <w:tc>
          <w:tcPr>
            <w:tcW w:type="dxa" w:w="2200"/>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Step</w:t>
            </w:r>
          </w:p>
        </w:tc>
        <w:tc>
          <w:tcPr>
            <w:tcW w:type="dxa" w:w="6326"/>
            <w:tcBorders>
              <w:top w:val="none"/>
              <w:left w:val="none"/>
              <w:bottom w:val="none"/>
              <w:right w:val="none"/>
            </w:tcBorders>
            <w:shd w:fill="0C1425" w:color="0C1425" w:val="solid"/>
            <w:tcMar>
              <w:top w:type="dxa" w:w="100"/>
              <w:left w:type="dxa" w:w="160"/>
              <w:bottom w:type="dxa" w:w="100"/>
              <w:right w:type="dxa" w:w="160"/>
            </w:tcMar>
          </w:tcPr>
          <w:p>
            <w:pPr>
              <w:spacing w:after="0"/>
            </w:pPr>
            <w:r>
              <w:rPr>
                <w:rFonts w:ascii="Arial" w:cs="Arial" w:eastAsia="Arial" w:hAnsi="Arial"/>
                <w:b/>
                <w:bCs/>
                <w:color w:val="FFFFFF"/>
                <w:sz w:val="18"/>
                <w:szCs w:val="18"/>
              </w:rPr>
              <w:t xml:space="preserve">Detail</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1</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Foundation (2 wks)</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Supabase project setup · tenants + xero_connections schema with RLS · Supabase Auth (magic link) · basic React shell on Vercel.</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2</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Xero OAuth (1 wk)</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OAuth 2.0 PKCE flow · token storage encrypted · token refresh Edge Function · catalogue_cache sync.</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3</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Processing pipeline (2 wks)</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Xero webhook registration + HMAC validation · Claude extraction prompt · Claude matching prompt · confidence scoring · PATCH bill endpoint · idempotency guard.</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4</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Cron safety net (0.5 wk)</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Supabase pg_cron setup · gap detection query · trigger column in processing_logs · alert threshold monitoring.</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5</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Manual testing (1 wk)</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Parallel run with Showpiece invoices · tune prompts · validate GST handling · error handling + retries.</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6</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Dashboard MVP (1 wk)</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Processing history · catalogue settings · Xero connection status. Minimal UI — function over form at this stage.</w:t>
            </w:r>
          </w:p>
        </w:tc>
      </w:tr>
      <w:tr>
        <w:tc>
          <w:tcPr>
            <w:tcW w:type="dxa" w:w="500"/>
            <w:tcBorders>
              <w:top w:val="none"/>
              <w:left w:val="none"/>
              <w:bottom w:val="single" w:color="CBD5E1" w:sz="2"/>
              <w:right w:val="none"/>
            </w:tcBorders>
            <w:shd w:fill="E0F2FE" w:color="E0F2FE"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7</w:t>
            </w:r>
          </w:p>
        </w:tc>
        <w:tc>
          <w:tcPr>
            <w:tcW w:type="dxa" w:w="2200"/>
            <w:tcBorders>
              <w:top w:val="none"/>
              <w:left w:val="none"/>
              <w:bottom w:val="single" w:color="CBD5E1" w:sz="2"/>
              <w:right w:val="none"/>
            </w:tcBorders>
            <w:shd w:fill="E0F2FE" w:color="E0F2FE"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Billing (1 wk)</w:t>
            </w:r>
          </w:p>
        </w:tc>
        <w:tc>
          <w:tcPr>
            <w:tcW w:type="dxa" w:w="6326"/>
            <w:tcBorders>
              <w:top w:val="none"/>
              <w:left w:val="none"/>
              <w:bottom w:val="single" w:color="CBD5E1" w:sz="2"/>
              <w:right w:val="none"/>
            </w:tcBorders>
            <w:shd w:fill="FFFFFF" w:color="FFFFFF"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Stripe integration · Checkout · Customer Portal · webhook handlers · plan enforcement.</w:t>
            </w:r>
          </w:p>
        </w:tc>
      </w:tr>
      <w:tr>
        <w:tc>
          <w:tcPr>
            <w:tcW w:type="dxa" w:w="500"/>
            <w:tcBorders>
              <w:top w:val="none"/>
              <w:left w:val="none"/>
              <w:bottom w:val="single" w:color="CBD5E1" w:sz="2"/>
              <w:right w:val="none"/>
            </w:tcBorders>
            <w:shd w:fill="F0F9FF" w:color="F0F9FF" w:val="solid"/>
            <w:tcMar>
              <w:top w:type="dxa" w:w="100"/>
              <w:left w:type="dxa" w:w="160"/>
              <w:bottom w:type="dxa" w:w="100"/>
              <w:right w:type="dxa" w:w="100"/>
            </w:tcMar>
            <w:vAlign w:val="top"/>
          </w:tcPr>
          <w:p>
            <w:pPr>
              <w:spacing w:after="0"/>
              <w:jc w:val="center"/>
            </w:pPr>
            <w:r>
              <w:rPr>
                <w:rFonts w:ascii="Arial" w:cs="Arial" w:eastAsia="Arial" w:hAnsi="Arial"/>
                <w:b/>
                <w:bCs/>
                <w:color w:val="1D4ED8"/>
                <w:sz w:val="20"/>
                <w:szCs w:val="20"/>
              </w:rPr>
              <w:t xml:space="preserve">8</w:t>
            </w:r>
          </w:p>
        </w:tc>
        <w:tc>
          <w:tcPr>
            <w:tcW w:type="dxa" w:w="2200"/>
            <w:tcBorders>
              <w:top w:val="none"/>
              <w:left w:val="none"/>
              <w:bottom w:val="single" w:color="CBD5E1" w:sz="2"/>
              <w:right w:val="none"/>
            </w:tcBorders>
            <w:shd w:fill="F0F9FF" w:color="F0F9FF" w:val="solid"/>
            <w:tcMar>
              <w:top w:type="dxa" w:w="100"/>
              <w:left w:type="dxa" w:w="160"/>
              <w:bottom w:type="dxa" w:w="100"/>
              <w:right w:type="dxa" w:w="160"/>
            </w:tcMar>
            <w:vAlign w:val="top"/>
          </w:tcPr>
          <w:p>
            <w:pPr>
              <w:spacing w:after="0"/>
            </w:pPr>
            <w:r>
              <w:rPr>
                <w:rFonts w:ascii="Arial" w:cs="Arial" w:eastAsia="Arial" w:hAnsi="Arial"/>
                <w:b/>
                <w:bCs/>
                <w:color w:val="0C1425"/>
                <w:sz w:val="18"/>
                <w:szCs w:val="18"/>
              </w:rPr>
              <w:t xml:space="preserve">First client (week 8+)</w:t>
            </w:r>
          </w:p>
        </w:tc>
        <w:tc>
          <w:tcPr>
            <w:tcW w:type="dxa" w:w="6326"/>
            <w:tcBorders>
              <w:top w:val="none"/>
              <w:left w:val="none"/>
              <w:bottom w:val="single" w:color="CBD5E1" w:sz="2"/>
              <w:right w:val="none"/>
            </w:tcBorders>
            <w:shd w:fill="FAFAFA" w:color="FAFAFA" w:val="solid"/>
            <w:tcMar>
              <w:top w:type="dxa" w:w="100"/>
              <w:left w:type="dxa" w:w="160"/>
              <w:bottom w:type="dxa" w:w="100"/>
              <w:right w:type="dxa" w:w="160"/>
            </w:tcMar>
            <w:vAlign w:val="top"/>
          </w:tcPr>
          <w:p>
            <w:pPr>
              <w:spacing w:after="0"/>
            </w:pPr>
            <w:r>
              <w:rPr>
                <w:rFonts w:ascii="Arial" w:cs="Arial" w:eastAsia="Arial" w:hAnsi="Arial"/>
                <w:color w:val="334155"/>
                <w:sz w:val="18"/>
                <w:szCs w:val="18"/>
              </w:rPr>
              <w:t xml:space="preserve">Onboard first beta client manually · monitor · iterate on prompt quality · collect feedback.</w:t>
            </w:r>
          </w:p>
        </w:tc>
      </w:tr>
    </w:tbl>
    <w:p>
      <w:pPr>
        <w:spacing w:after="80"/>
      </w:pPr>
      <w:r>
        <w:rPr>
          <w:rFonts w:ascii="Arial" w:cs="Arial" w:eastAsia="Arial" w:hAnsi="Arial"/>
        </w:rPr>
        <w:t xml:space="preserve"/>
      </w:r>
    </w:p>
    <w:p>
      <w:pPr>
        <w:pBdr>
          <w:bottom w:val="single" w:color="CBD5E1" w:sz="4"/>
        </w:pBdr>
        <w:spacing w:after="160" w:before="480"/>
      </w:pPr>
      <w:r>
        <w:rPr>
          <w:rFonts w:ascii="Arial" w:cs="Arial" w:eastAsia="Arial" w:hAnsi="Arial"/>
          <w:b/>
          <w:bCs/>
          <w:color w:val="0C1425"/>
          <w:sz w:val="36"/>
          <w:szCs w:val="36"/>
        </w:rPr>
        <w:t xml:space="preserve">Appendix: Key Xero API Endpoints</w:t>
      </w:r>
    </w:p>
    <w:tbl>
      <w:tblPr>
        <w:tblW w:type="dxa" w:w="9026"/>
        <w:tblBorders>
          <w:top w:val="single" w:color="CBD5E1" w:sz="4"/>
          <w:left w:val="none"/>
          <w:bottom w:val="single" w:color="CBD5E1" w:sz="4"/>
          <w:right w:val="none"/>
          <w:insideH w:val="single" w:color="auto" w:sz="4"/>
          <w:insideV w:val="single" w:color="auto" w:sz="4"/>
        </w:tblBorders>
      </w:tblPr>
      <w:tblGrid>
        <w:gridCol w:w="100"/>
        <w:gridCol w:w="100"/>
      </w:tblGrid>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GET /Invoices/{id}/Attachments</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Fetch PDF attachment for a given bill</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PATCH /Invoices/{id}</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Update bill line items, account codes, descriptions</w:t>
            </w:r>
          </w:p>
        </w:tc>
      </w:tr>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GET /Items</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Fetch Products &amp; Services catalogue for the org</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GET /Accounts</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Fetch chart of accounts for account code mapping</w:t>
            </w:r>
          </w:p>
        </w:tc>
      </w:tr>
      <w:tr>
        <w:tc>
          <w:tcPr>
            <w:tcW w:type="dxa" w:w="2800"/>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POST /Webhooks</w:t>
            </w:r>
          </w:p>
        </w:tc>
        <w:tc>
          <w:tcPr>
            <w:tcW w:type="dxa" w:w="6226"/>
            <w:tcBorders>
              <w:top w:val="none"/>
              <w:left w:val="none"/>
              <w:bottom w:val="none"/>
              <w:right w:val="none"/>
            </w:tcBorders>
            <w:shd w:fill="F1F5F9" w:color="F1F5F9" w:val="solid"/>
            <w:tcMar>
              <w:top w:type="dxa" w:w="100"/>
              <w:left w:type="dxa" w:w="180"/>
              <w:bottom w:type="dxa" w:w="100"/>
              <w:right w:type="dxa" w:w="180"/>
            </w:tcMar>
          </w:tcPr>
          <w:p>
            <w:pPr>
              <w:spacing w:after="0"/>
            </w:pPr>
            <w:r>
              <w:rPr>
                <w:rFonts w:ascii="Arial" w:cs="Arial" w:eastAsia="Arial" w:hAnsi="Arial"/>
                <w:color w:val="334155"/>
                <w:sz w:val="18"/>
                <w:szCs w:val="18"/>
              </w:rPr>
              <w:t xml:space="preserve">Register webhook subscription for BILLS events</w:t>
            </w:r>
          </w:p>
        </w:tc>
      </w:tr>
      <w:tr>
        <w:tc>
          <w:tcPr>
            <w:tcW w:type="dxa" w:w="2800"/>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b/>
                <w:bCs/>
                <w:color w:val="0C1425"/>
                <w:sz w:val="18"/>
                <w:szCs w:val="18"/>
              </w:rPr>
              <w:t xml:space="preserve">GET /Invoices?Status=DRAFT</w:t>
            </w:r>
          </w:p>
        </w:tc>
        <w:tc>
          <w:tcPr>
            <w:tcW w:type="dxa" w:w="6226"/>
            <w:tcBorders>
              <w:top w:val="none"/>
              <w:left w:val="none"/>
              <w:bottom w:val="none"/>
              <w:right w:val="none"/>
            </w:tcBorders>
            <w:shd w:fill="FFFFFF" w:color="FFFFFF" w:val="solid"/>
            <w:tcMar>
              <w:top w:type="dxa" w:w="100"/>
              <w:left w:type="dxa" w:w="180"/>
              <w:bottom w:type="dxa" w:w="100"/>
              <w:right w:type="dxa" w:w="180"/>
            </w:tcMar>
          </w:tcPr>
          <w:p>
            <w:pPr>
              <w:spacing w:after="0"/>
            </w:pPr>
            <w:r>
              <w:rPr>
                <w:rFonts w:ascii="Arial" w:cs="Arial" w:eastAsia="Arial" w:hAnsi="Arial"/>
                <w:color w:val="334155"/>
                <w:sz w:val="18"/>
                <w:szCs w:val="18"/>
              </w:rPr>
              <w:t xml:space="preserve">Cron scan — list recent draft bills for gap detection</w:t>
            </w:r>
          </w:p>
        </w:tc>
      </w:tr>
    </w:tbl>
    <w:p>
      <w:pPr>
        <w:spacing w:after="80"/>
      </w:pPr>
      <w:r>
        <w:rPr>
          <w:rFonts w:ascii="Arial" w:cs="Arial" w:eastAsia="Arial" w:hAnsi="Arial"/>
        </w:rPr>
        <w:t xml:space="preserve"/>
      </w:r>
    </w:p>
    <w:p>
      <w:pPr>
        <w:pBdr>
          <w:top w:val="single" w:color="CBD5E1" w:sz="4"/>
        </w:pBdr>
        <w:spacing w:before="240"/>
        <w:jc w:val="center"/>
      </w:pPr>
      <w:r>
        <w:rPr>
          <w:rFonts w:ascii="Arial" w:cs="Arial" w:eastAsia="Arial" w:hAnsi="Arial"/>
          <w:color w:val="64748B"/>
          <w:sz w:val="16"/>
          <w:szCs w:val="16"/>
        </w:rPr>
        <w:t xml:space="preserve">© 2026 StreamOps AI  ·  Confidential  ·  ASIC Registered</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before="80"/>
    </w:pPr>
    <w:r>
      <w:rPr>
        <w:rFonts w:ascii="Arial" w:cs="Arial" w:eastAsia="Arial" w:hAnsi="Arial"/>
        <w:color w:val="64748B"/>
        <w:sz w:val="16"/>
        <w:szCs w:val="16"/>
      </w:rPr>
      <w:t xml:space="preserve">© 2026 StreamOps AI  ·  Confidential</w:t>
    </w:r>
    <w:r>
      <w:rPr>
        <w:rFonts w:ascii="Arial" w:cs="Arial" w:eastAsia="Arial" w:hAnsi="Arial"/>
        <w:color w:val="64748B"/>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tabs>
        <w:tab w:val="right" w:pos="9026"/>
      </w:tabs>
      <w:spacing w:after="80"/>
    </w:pPr>
    <w:r>
      <w:rPr>
        <w:rFonts w:ascii="Arial" w:cs="Arial" w:eastAsia="Arial" w:hAnsi="Arial"/>
        <w:b/>
        <w:bCs/>
        <w:color w:val="0C1425"/>
        <w:sz w:val="18"/>
        <w:szCs w:val="18"/>
      </w:rPr>
      <w:t xml:space="preserve">StreamOps AI  —  Technical Specification</w:t>
    </w:r>
    <w:r>
      <w:rPr>
        <w:rFonts w:ascii="Arial" w:cs="Arial" w:eastAsia="Arial" w:hAnsi="Arial"/>
      </w:rPr>
      <w:t xml:space="preserve">	</w:t>
    </w:r>
    <w:r>
      <w:rPr>
        <w:rFonts w:ascii="Arial" w:cs="Arial" w:eastAsia="Arial" w:hAnsi="Arial"/>
        <w:b/>
        <w:bCs/>
        <w:color w:val="1D4ED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2026-05-10T04:09:31.470Z</dcterms:created>
  <dcterms:modified xsi:type="dcterms:W3CDTF">2026-05-10T04:09:31.471Z</dcterms:modified>
</cp:coreProperties>
</file>

<file path=docProps/custom.xml><?xml version="1.0" encoding="utf-8"?>
<Properties xmlns="http://schemas.openxmlformats.org/officeDocument/2006/custom-properties" xmlns:vt="http://schemas.openxmlformats.org/officeDocument/2006/docPropsVTypes"/>
</file>