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5A586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74089" cy="50439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10126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0" t="0" r="0" b="56917"/>
                        <a:stretch/>
                      </pic:blipFill>
                      <pic:spPr bwMode="auto">
                        <a:xfrm flipH="0" flipV="0">
                          <a:off x="0" y="0"/>
                          <a:ext cx="5974089" cy="5043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70.40pt;height:397.16pt;mso-wrap-distance-left:0.00pt;mso-wrap-distance-top:0.00pt;mso-wrap-distance-right:0.00pt;mso-wrap-distance-bottom:0.00pt;z-index:1;" stroked="false">
                <v:imagedata r:id="rId8" o:title="" croptop="0f" cropleft="0f" cropbottom="37301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3A1E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5050" cy="637360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06652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0" t="45201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5935049" cy="63736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33pt;height:501.86pt;mso-wrap-distance-left:0.00pt;mso-wrap-distance-top:0.00pt;mso-wrap-distance-right:0.00pt;mso-wrap-distance-bottom:0.00pt;rotation:0;z-index:1;" stroked="false">
                <v:imagedata r:id="rId8" o:title="" croptop="29623f" cropleft="0f" cropbottom="0f" cropright="0f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4E8B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F183B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DB2FE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6B964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86074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E094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Here's a comprehensive breakdown of both topics — current advanced features and near-future component requirements.</w:t>
      </w:r>
      <w:r/>
    </w:p>
    <w:p w14:paraId="4E8E5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Advanced text component features in modern design systems today cover five main areas: rich formatting, semantic semantics, accessibility, adaptive rendering, and interactivity. Then looking toward 2028, several forces — AI integration, spatial computing, </w:t>
      </w:r>
      <w:r>
        <w:t xml:space="preserve">multimodal interfaces — are driving new requirements. Let me visualize both.Here's a breakdown of the key themes:</w:t>
      </w:r>
      <w:r/>
    </w:p>
    <w:p w14:paraId="46BBA0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Today's advanced features cluster into four capability layers. The typographic layer — variable fonts, fluid scales, OpenType features — has matured dramatically in the past three years and is now table stakes for serious systems. Above that sits the seman</w:t>
      </w:r>
      <w:r>
        <w:t xml:space="preserve">tic layer: clearly typed roles (label, helper, error, caption) with matching ARIA contracts rather than just visual styling. The third layer covers global scale — BiDi, CJK, RTL-aware truncation — which many teams still treat as an afterthought but is incr</w:t>
      </w:r>
      <w:r>
        <w:t xml:space="preserve">easingly a day-one requirement. The fourth is the motion layer: streaming text reveal and number transitions are no longer "nice to have" given how much AI-generated content surfaces in UIs.</w:t>
      </w:r>
      <w:r/>
    </w:p>
    <w:p w14:paraId="2F3BB0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By 2028, the forces shaping new requirements are:</w:t>
      </w:r>
      <w:r/>
    </w:p>
    <w:p w14:paraId="0F96F0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AI integration is the biggest driver. A dedicated streaming/AI renderer component — one that handles partial markdown, confidence indicators, and citation anchoring natively — will be as standard as a button is today. The pattern already exists in Claude, </w:t>
      </w:r>
      <w:r>
        <w:t xml:space="preserve">Gemini, and Copilot UIs but isn't formalized as a reusable spec yet.</w:t>
      </w:r>
      <w:r/>
    </w:p>
    <w:p w14:paraId="58B5AD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Spatial computing will demand text components that understand depth, gaze, and occlusion — something completely absent from today's web-centric specs. Apple Vision Pro and WebXR deployments are pushing this faster than most teams expected.</w:t>
      </w:r>
      <w:r/>
    </w:p>
    <w:p w14:paraId="7E3E8C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Regulatory pressure (EU AI Act, C2PA standards) will require provenance and authenticity markers baked into content components, not bolted on as an afterthought.</w:t>
      </w:r>
      <w:r/>
    </w:p>
    <w:p w14:paraId="7B4092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Executable text is underrated on this list — the line between documentation and runtime is already dissolving in tools like Observable, Notion, and Jupyter. By 2028 it will be a common expectation in productivity and developer surfaces.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2026-05-14T01:18:44Z</dcterms:modified>
</cp:coreProperties>
</file>