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Asap" w:hAnsi="Asap"/>
          <w:b/>
          <w:color w:val="007EC5"/>
          <w:sz w:val="20"/>
        </w:rPr>
        <w:t xml:space="preserve">SECTION [SECTION_NUMBER] </w:t>
        <w:br/>
      </w:r>
      <w:r>
        <w:rPr>
          <w:rFonts w:ascii="Asap" w:hAnsi="Asap"/>
          <w:b/>
          <w:color w:val="6C105B"/>
          <w:sz w:val="32"/>
        </w:rPr>
        <w:t>[SECTION_TITLE]</w:t>
      </w:r>
    </w:p>
    <w:sectPr w:rsidR="00FC693F" w:rsidRPr="0006063C" w:rsidSect="00034616">
      <w:headerReference w:type="even" r:id="rId9"/>
      <w:headerReference w:type="default" r:id="rId10"/>
      <w:footerReference w:type="even" r:id="rId11"/>
      <w:footerReference w:type="default" r:id="rId12"/>
      <w:pgSz w:w="11880" w:h="15660"/>
      <w:pgMar w:top="1152" w:right="720" w:bottom="1152" w:left="72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  <w:r>
      <w:rPr>
        <w:rFonts w:ascii="Asap" w:hAnsi="Asap"/>
        <w:color w:val="474C55"/>
        <w:sz w:val="14"/>
      </w:rPr>
      <w:t xml:space="preserve"> | April 2024 | Vol. 30, No. 4-B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sap" w:hAnsi="Asap"/>
        <w:color w:val="474C55"/>
        <w:sz w:val="14"/>
      </w:rPr>
      <w:t xml:space="preserve">Vol. 30, No. 4-b | April 2024 | </w:t>
    </w:r>
    <w:r>
      <w:rPr>
        <w:rFonts w:ascii="Asap" w:hAnsi="Asap"/>
        <w:b/>
        <w:color w:val="14377D"/>
        <w:sz w:val="14"/>
      </w:rPr>
      <w:t>JMCP</w:t>
    </w:r>
    <w:r>
      <w:rPr>
        <w:rFonts w:ascii="Asap" w:hAnsi="Asap"/>
        <w:color w:val="14377D"/>
        <w:sz w:val="14"/>
      </w:rPr>
      <w:t>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144" w:type="dxa"/>
            <w:right w:w="40" w:type="dxa"/>
          </w:tcMar>
        </w:tcPr>
        <w:p>
          <w:pPr>
            <w:jc w:val="lef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20"/>
      <w:gridCol w:w="5220"/>
    </w:tblGrid>
    <w:tr>
      <w:trPr>
        <w:trHeight w:val="432"/>
      </w:trPr>
      <w:tc>
        <w:tcPr>
          <w:tcW w:type="dxa" w:w="9936"/>
          <w:tcW w:w="9936" w:type="dxa"/>
          <w:vAlign w:val="center"/>
          <w:tcMar>
            <w:top w:w="40" w:type="dxa"/>
            <w:bottom w:w="40" w:type="dxa"/>
            <w:left w:w="40" w:type="dxa"/>
            <w:right w:w="144" w:type="dxa"/>
          </w:tcMar>
        </w:tcPr>
        <w:p>
          <w:pPr>
            <w:jc w:val="right"/>
          </w:pPr>
          <w:r>
            <w:rPr>
              <w:rFonts w:ascii="Asap" w:hAnsi="Asap"/>
              <w:b/>
              <w:color w:val="474C55"/>
              <w:sz w:val="18"/>
            </w:rPr>
            <w:t>AMCP FORMAT 5.0</w:t>
          </w:r>
        </w:p>
      </w:tc>
      <w:tc>
        <w:tcPr>
          <w:tcW w:type="dxa" w:w="504"/>
          <w:tcW w:w="503" w:type="dxa"/>
          <w:shd w:val="clear" w:color="auto" w:fill="6B146A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rPr>
              <w:rFonts w:ascii="Asap" w:hAnsi="Asap"/>
              <w:b/>
              <w:color w:val="FFFFFF"/>
              <w:sz w:val="18"/>
            </w:rPr>
            <w:fldChar w:fldCharType="begin"/>
            <w:instrText>PAGE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before="0" w:after="120"/>
    </w:pPr>
    <w:rPr>
      <w:rFonts w:ascii="Lora" w:hAnsi="Lora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/>
      <w:outlineLvl w:val="0"/>
    </w:pPr>
    <w:rPr>
      <w:rFonts w:asciiTheme="majorHAnsi" w:eastAsiaTheme="majorEastAsia" w:hAnsiTheme="majorHAnsi" w:cstheme="majorBidi" w:ascii="Asap" w:hAnsi="Asap"/>
      <w:b/>
      <w:bCs/>
      <w:color w:val="6B1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80"/>
      <w:outlineLvl w:val="1"/>
    </w:pPr>
    <w:rPr>
      <w:rFonts w:asciiTheme="majorHAnsi" w:eastAsiaTheme="majorEastAsia" w:hAnsiTheme="majorHAnsi" w:cstheme="majorBidi" w:ascii="Asap" w:hAnsi="Asap"/>
      <w:b/>
      <w:bCs/>
      <w:color w:val="1437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40"/>
      <w:outlineLvl w:val="2"/>
    </w:pPr>
    <w:rPr>
      <w:rFonts w:asciiTheme="majorHAnsi" w:eastAsiaTheme="majorEastAsia" w:hAnsiTheme="majorHAnsi" w:cstheme="majorBidi" w:ascii="Asap" w:hAnsi="Asap"/>
      <w:b/>
      <w:bCs/>
      <w:color w:val="14377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