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  <w:jc w:val="right"/>
      </w:pPr>
      <w:r>
        <w:rPr>
          <w:rFonts w:ascii="Arial" w:hAnsi="Arial"/>
          <w:b w:val="0"/>
          <w:color w:val="000000"/>
          <w:sz w:val="18"/>
        </w:rPr>
        <w:t>April 2024</w:t>
        <w:br/>
        <w:t>Volume 30 Number 4-b</w:t>
      </w:r>
    </w:p>
    <w:p>
      <w:pPr>
        <w:spacing w:after="120"/>
        <w:jc w:val="left"/>
      </w:pPr>
      <w:r>
        <w:rPr>
          <w:rFonts w:ascii="Arial" w:hAnsi="Arial"/>
          <w:b/>
          <w:color w:val="14377D"/>
          <w:sz w:val="76"/>
        </w:rPr>
        <w:t>AMCP Format for Formulary</w:t>
        <w:br/>
        <w:t>Submissions 5.0</w:t>
      </w:r>
    </w:p>
    <w:p>
      <w:pPr>
        <w:spacing w:after="480"/>
        <w:jc w:val="left"/>
      </w:pPr>
      <w:r>
        <w:rPr>
          <w:rFonts w:ascii="Arial" w:hAnsi="Arial"/>
          <w:i/>
          <w:color w:val="14377D"/>
          <w:sz w:val="29"/>
        </w:rPr>
        <w:t>jmcp.org</w:t>
      </w:r>
    </w:p>
    <w:p>
      <w:pPr>
        <w:spacing w:after="960"/>
        <w:jc w:val="left"/>
      </w:pPr>
      <w:r>
        <w:rPr>
          <w:rFonts w:ascii="Arial" w:hAnsi="Arial"/>
          <w:color w:val="878A8F"/>
          <w:sz w:val="44"/>
        </w:rPr>
        <w:t>Guidance on Submission of Pre-approval and Post-approval Clinical and Economic Information and Evidence</w:t>
      </w:r>
    </w:p>
    <w:p>
      <w:pPr>
        <w:spacing w:after="120"/>
        <w:jc w:val="left"/>
      </w:pPr>
      <w:r>
        <w:rPr>
          <w:rFonts w:ascii="Arial" w:hAnsi="Arial"/>
          <w:b/>
          <w:color w:val="14377D"/>
          <w:sz w:val="24"/>
        </w:rPr>
        <w:t xml:space="preserve">Product: </w:t>
      </w:r>
      <w:r>
        <w:rPr>
          <w:rFonts w:ascii="Arial" w:hAnsi="Arial"/>
          <w:color w:val="333333"/>
          <w:sz w:val="24"/>
        </w:rPr>
        <w:t>SIMU HIV-1 Quant System (Simulative HIV-1 Viral Load Assay)</w:t>
      </w:r>
    </w:p>
    <w:p>
      <w:pPr>
        <w:spacing w:after="120"/>
        <w:jc w:val="left"/>
      </w:pPr>
      <w:r>
        <w:rPr>
          <w:rFonts w:ascii="Arial" w:hAnsi="Arial"/>
          <w:b/>
          <w:color w:val="14377D"/>
          <w:sz w:val="24"/>
        </w:rPr>
        <w:t xml:space="preserve">Manufacturer: </w:t>
      </w:r>
      <w:r>
        <w:rPr>
          <w:rFonts w:ascii="Arial" w:hAnsi="Arial"/>
          <w:color w:val="333333"/>
          <w:sz w:val="24"/>
        </w:rPr>
        <w:t>KadelLabs Pharma</w:t>
      </w:r>
    </w:p>
    <w:p>
      <w:pPr>
        <w:spacing w:after="120"/>
        <w:jc w:val="left"/>
      </w:pPr>
      <w:r>
        <w:rPr>
          <w:rFonts w:ascii="Arial" w:hAnsi="Arial"/>
          <w:b/>
          <w:color w:val="14377D"/>
          <w:sz w:val="24"/>
        </w:rPr>
        <w:t xml:space="preserve">Version: </w:t>
      </w:r>
      <w:r>
        <w:rPr>
          <w:rFonts w:ascii="Arial" w:hAnsi="Arial"/>
          <w:color w:val="333333"/>
          <w:sz w:val="24"/>
        </w:rPr>
        <w:t>5.0</w:t>
      </w:r>
    </w:p>
    <w:p>
      <w:pPr>
        <w:spacing w:after="120"/>
        <w:jc w:val="left"/>
      </w:pPr>
      <w:r>
        <w:rPr>
          <w:rFonts w:ascii="Arial" w:hAnsi="Arial"/>
          <w:b/>
          <w:color w:val="14377D"/>
          <w:sz w:val="24"/>
        </w:rPr>
        <w:t xml:space="preserve">Date: </w:t>
      </w:r>
      <w:r>
        <w:rPr>
          <w:rFonts w:ascii="Arial" w:hAnsi="Arial"/>
          <w:color w:val="333333"/>
          <w:sz w:val="24"/>
        </w:rPr>
        <w:t>April 2024</w:t>
      </w:r>
    </w:p>
    <w:p>
      <w:pPr>
        <w:spacing w:before="1440"/>
        <w:jc w:val="left"/>
      </w:pPr>
      <w:r>
        <w:rPr>
          <w:rFonts w:ascii="Arial" w:hAnsi="Arial"/>
          <w:color w:val="878A8F"/>
          <w:sz w:val="14"/>
        </w:rPr>
        <w:t>Copyright © 2024 AMCP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4377D"/>
          <w:sz w:val="40"/>
        </w:rPr>
        <w:t>Table of Contents</w:t>
      </w:r>
    </w:p>
    <w:p>
      <w:pPr>
        <w:spacing w:after="240"/>
      </w:pPr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spacing w:before="240" w:after="240"/>
      </w:pPr>
      <w:r/>
      <w:r>
        <w:rPr>
          <w:rFonts w:ascii="Arial" w:hAnsi="Arial"/>
          <w:b/>
          <w:color w:val="007EC5"/>
          <w:sz w:val="20"/>
        </w:rPr>
        <w:t xml:space="preserve">SECTION 3.0B </w:t>
        <w:br/>
      </w:r>
      <w:r>
        <w:rPr>
          <w:rFonts w:ascii="Arial" w:hAnsi="Arial"/>
          <w:b/>
          <w:color w:val="6C105B"/>
          <w:sz w:val="32"/>
        </w:rPr>
        <w:t>3.0B Clinical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95"/>
        <w:gridCol w:w="2495"/>
        <w:gridCol w:w="2495"/>
        <w:gridCol w:w="2495"/>
      </w:tblGrid>
      <w:tr>
        <w:trPr>
          <w:trHeight w:hRule="exact" w:val="640"/>
        </w:trPr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left"/>
            </w:pPr>
            <w:r>
              <w:rPr>
                <w:rFonts w:ascii="Arial" w:hAnsi="Arial"/>
                <w:color w:val="333333"/>
                <w:sz w:val="19"/>
              </w:rPr>
              <w:drawing>
                <wp:inline xmlns:a="http://schemas.openxmlformats.org/drawingml/2006/main" xmlns:pic="http://schemas.openxmlformats.org/drawingml/2006/picture">
                  <wp:extent cx="228600" cy="99441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9944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60" w:right="0" w:firstLine="0"/>
              <w:jc w:val="left"/>
            </w:pPr>
            <w:r>
              <w:rPr>
                <w:rFonts w:ascii="Arial" w:hAnsi="Arial"/>
                <w:color w:val="333333"/>
                <w:sz w:val="19"/>
              </w:rPr>
              <w:drawing>
                <wp:inline xmlns:a="http://schemas.openxmlformats.org/drawingml/2006/main" xmlns:pic="http://schemas.openxmlformats.org/drawingml/2006/picture">
                  <wp:extent cx="31496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96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292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April 2024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320" w:right="0" w:firstLine="0"/>
              <w:jc w:val="left"/>
            </w:pPr>
            <w:r>
              <w:rPr>
                <w:rFonts w:ascii="Arial" w:hAnsi="Arial"/>
                <w:color w:val="333333"/>
                <w:sz w:val="19"/>
              </w:rPr>
              <w:drawing>
                <wp:inline xmlns:a="http://schemas.openxmlformats.org/drawingml/2006/main" xmlns:pic="http://schemas.openxmlformats.org/drawingml/2006/picture">
                  <wp:extent cx="889000" cy="9525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0" cy="95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260"/>
        </w:trPr>
        <w:tc>
          <w:tcPr>
            <w:tcW w:type="dxa" w:w="2495"/>
            <w:vMerge/>
            <w:tcBorders/>
          </w:tcPr>
          <w:p/>
        </w:tc>
        <w:tc>
          <w:tcPr>
            <w:tcW w:type="dxa" w:w="2495"/>
            <w:vMerge/>
            <w:tcBorders/>
          </w:tcPr>
          <w:p/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292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8"/>
              </w:rPr>
              <w:t>Volume 30 Number 4-b</w:t>
            </w:r>
          </w:p>
        </w:tc>
        <w:tc>
          <w:tcPr>
            <w:tcW w:type="dxa" w:w="2495"/>
            <w:vMerge/>
            <w:tcBorders/>
          </w:tcPr>
          <w:p/>
        </w:tc>
      </w:tr>
      <w:tr>
        <w:trPr>
          <w:trHeight w:hRule="exact" w:val="12740"/>
        </w:trPr>
        <w:tc>
          <w:tcPr>
            <w:tcW w:type="dxa" w:w="2495"/>
            <w:vMerge/>
            <w:tcBorders/>
          </w:tcPr>
          <w:p/>
        </w:tc>
        <w:tc>
          <w:tcPr>
            <w:tcW w:type="dxa" w:w="10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300" w:right="864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76"/>
              </w:rPr>
              <w:t xml:space="preserve">AMCP Format for Formulary </w:t>
            </w:r>
            <w:r>
              <w:rPr>
                <w:rFonts w:ascii="Arial" w:hAnsi="Arial" w:eastAsia="Asap"/>
                <w:b/>
                <w:i w:val="0"/>
                <w:color w:val="333333"/>
                <w:sz w:val="76"/>
              </w:rPr>
              <w:t>Submissions 5.0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304" w:right="0" w:firstLine="0"/>
              <w:jc w:val="left"/>
            </w:pPr>
            <w:r>
              <w:rPr>
                <w:color w:val="333333"/>
                <w:w w:val="101.19241517165611"/>
                <w:rFonts w:ascii="Arial" w:hAnsi="Arial" w:eastAsia="Asap"/>
                <w:b w:val="0"/>
                <w:i/>
                <w:sz w:val="29"/>
              </w:rPr>
              <w:t>jmcp.org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30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44"/>
              </w:rPr>
              <w:t xml:space="preserve">Guidance on Submission of Pre-approval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44"/>
              </w:rPr>
              <w:t xml:space="preserve">and Post-approval Clinical and Economic Information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44"/>
              </w:rPr>
              <w:t>and Evidence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30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4"/>
              </w:rPr>
              <w:t>Copyright © 2024 AMCP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  <w:r>
        <w:rPr>
          <w:rFonts w:ascii="Arial" w:hAnsi="Arial"/>
          <w:color w:val="333333"/>
          <w:sz w:val="21"/>
        </w:rP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2006600</wp:posOffset>
            </wp:positionH>
            <wp:positionV relativeFrom="page">
              <wp:posOffset>4635500</wp:posOffset>
            </wp:positionV>
            <wp:extent cx="5372100" cy="49657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965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="276" w:lineRule="auto" w:after="200" w:before="0"/>
        <w:sectPr>
          <w:pgSz w:w="12060" w:h="15660"/>
          <w:pgMar w:top="0" w:right="638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81"/>
        <w:gridCol w:w="4781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2</w:t>
            </w:r>
          </w:p>
        </w:tc>
        <w:tc>
          <w:tcPr>
            <w:tcW w:type="dxa" w:w="5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2340" w:right="0" w:firstLine="0"/>
        <w:jc w:val="left"/>
      </w:pPr>
      <w:r>
        <w:rPr>
          <w:rFonts w:ascii="Arial" w:hAnsi="Arial"/>
          <w:color w:val="333333"/>
          <w:sz w:val="21"/>
        </w:rPr>
        <w:drawing>
          <wp:inline xmlns:a="http://schemas.openxmlformats.org/drawingml/2006/main" xmlns:pic="http://schemas.openxmlformats.org/drawingml/2006/picture">
            <wp:extent cx="2070100" cy="609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6" w:lineRule="auto" w:before="0" w:after="200"/>
        <w:ind w:left="54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>EDITORIAL STAFF</w:t>
      </w:r>
    </w:p>
    <w:p>
      <w:pPr>
        <w:spacing w:line="276" w:lineRule="auto" w:after="200" w:before="0"/>
        <w:sectPr>
          <w:pgSz w:w="11880" w:h="15660"/>
          <w:pgMar w:top="360" w:right="878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540" w:right="288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 xml:space="preserve">Donald G. Klepser, PhD, MBA,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University of Nebraska Medical Center,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Omaha, NE; </w:t>
      </w:r>
      <w:r>
        <w:rPr>
          <w:rFonts w:ascii="Arial" w:hAnsi="Arial" w:eastAsia="Asap"/>
          <w:b w:val="0"/>
          <w:i/>
          <w:color w:val="333333"/>
          <w:sz w:val="16"/>
        </w:rPr>
        <w:t>Assistant Editor</w:t>
      </w:r>
    </w:p>
    <w:p>
      <w:pPr>
        <w:autoSpaceDN w:val="0"/>
        <w:autoSpaceDE w:val="0"/>
        <w:widowControl/>
        <w:spacing w:line="276" w:lineRule="auto" w:before="0" w:after="200"/>
        <w:ind w:left="540" w:right="2304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 xml:space="preserve">Melissa S. McCart, PharmD, MS,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Xcenda,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Palm Harbor, FL; </w:t>
      </w:r>
      <w:r>
        <w:rPr>
          <w:rFonts w:ascii="Arial" w:hAnsi="Arial" w:eastAsia="Asap"/>
          <w:b w:val="0"/>
          <w:i/>
          <w:color w:val="333333"/>
          <w:sz w:val="16"/>
        </w:rPr>
        <w:t>Assistant Editor</w:t>
      </w:r>
    </w:p>
    <w:p>
      <w:pPr>
        <w:autoSpaceDN w:val="0"/>
        <w:autoSpaceDE w:val="0"/>
        <w:widowControl/>
        <w:spacing w:line="276" w:lineRule="auto" w:before="0" w:after="200"/>
        <w:ind w:left="54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 xml:space="preserve">Karen L. Rascati, PhD,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University of Texas College of Pharmacy, Austin,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TX; </w:t>
      </w:r>
      <w:r>
        <w:rPr>
          <w:rFonts w:ascii="Arial" w:hAnsi="Arial" w:eastAsia="Asap"/>
          <w:b w:val="0"/>
          <w:i/>
          <w:color w:val="333333"/>
          <w:sz w:val="16"/>
        </w:rPr>
        <w:t>Assistant Editor</w:t>
      </w:r>
    </w:p>
    <w:p>
      <w:pPr>
        <w:autoSpaceDN w:val="0"/>
        <w:autoSpaceDE w:val="0"/>
        <w:widowControl/>
        <w:spacing w:line="276" w:lineRule="auto" w:before="0" w:after="200"/>
        <w:ind w:left="54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>SUPPLEMENT POLICY STATEMENT</w:t>
      </w:r>
    </w:p>
    <w:p>
      <w:pPr>
        <w:autoSpaceDN w:val="0"/>
        <w:autoSpaceDE w:val="0"/>
        <w:widowControl/>
        <w:spacing w:line="276" w:lineRule="auto" w:before="0" w:after="200"/>
        <w:ind w:left="540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6"/>
        </w:rPr>
        <w:t xml:space="preserve">Supplements are a separate issue of </w:t>
      </w:r>
      <w:r>
        <w:rPr>
          <w:rFonts w:ascii="Arial" w:hAnsi="Arial" w:eastAsia="Asap"/>
          <w:b w:val="0"/>
          <w:i/>
          <w:color w:val="333333"/>
          <w:sz w:val="16"/>
        </w:rPr>
        <w:t>JMCP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 that is funded by a spon-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sor rather than by the journal’s publisher. Supplements must align to </w:t>
      </w:r>
      <w:r>
        <w:rPr>
          <w:rFonts w:ascii="Arial" w:hAnsi="Arial" w:eastAsia="Asap"/>
          <w:b w:val="0"/>
          <w:i/>
          <w:color w:val="333333"/>
          <w:sz w:val="16"/>
        </w:rPr>
        <w:t xml:space="preserve">JMCP’s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mission to advance science, expertise, and evidence-based </w:t>
      </w:r>
      <w:r>
        <w:rPr>
          <w:rFonts w:ascii="Arial" w:hAnsi="Arial" w:eastAsia="Asap"/>
          <w:b w:val="0"/>
          <w:i w:val="0"/>
          <w:color w:val="333333"/>
          <w:sz w:val="16"/>
        </w:rPr>
        <w:t>decision making to improve patient health through access to high-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quality, cost-effective medications and other therapies. The following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apply to all </w:t>
      </w:r>
      <w:r>
        <w:rPr>
          <w:rFonts w:ascii="Arial" w:hAnsi="Arial" w:eastAsia="Asap"/>
          <w:b w:val="0"/>
          <w:i/>
          <w:color w:val="333333"/>
          <w:sz w:val="16"/>
        </w:rPr>
        <w:t xml:space="preserve">JMCP </w:t>
      </w:r>
      <w:r>
        <w:rPr>
          <w:rFonts w:ascii="Arial" w:hAnsi="Arial" w:eastAsia="Asap"/>
          <w:b w:val="0"/>
          <w:i w:val="0"/>
          <w:color w:val="333333"/>
          <w:sz w:val="16"/>
        </w:rPr>
        <w:t>supplements: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 w:val="0"/>
          <w:i w:val="0"/>
          <w:color w:val="333333"/>
          <w:sz w:val="16"/>
        </w:rPr>
        <w:t>• All supplements are sent to peer review.</w:t>
      </w:r>
    </w:p>
    <w:p>
      <w:pPr>
        <w:autoSpaceDN w:val="0"/>
        <w:tabs>
          <w:tab w:pos="740" w:val="left"/>
        </w:tabs>
        <w:autoSpaceDE w:val="0"/>
        <w:widowControl/>
        <w:spacing w:line="276" w:lineRule="auto" w:before="0" w:after="200"/>
        <w:ind w:left="540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6"/>
        </w:rPr>
        <w:t xml:space="preserve">•  The editor has the authority to reject supplement submissions, before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 w:val="0"/>
          <w:i w:val="0"/>
          <w:color w:val="333333"/>
          <w:sz w:val="16"/>
        </w:rPr>
        <w:t>or after peer review.</w:t>
      </w:r>
    </w:p>
    <w:p>
      <w:pPr>
        <w:autoSpaceDN w:val="0"/>
        <w:autoSpaceDE w:val="0"/>
        <w:widowControl/>
        <w:spacing w:line="276" w:lineRule="auto" w:before="0" w:after="200"/>
        <w:ind w:left="740" w:right="144" w:hanging="200"/>
        <w:jc w:val="left"/>
      </w:pPr>
      <w:r>
        <w:rPr>
          <w:rFonts w:ascii="Arial" w:hAnsi="Arial" w:eastAsia="Asap"/>
          <w:b w:val="0"/>
          <w:i w:val="0"/>
          <w:color w:val="333333"/>
          <w:sz w:val="16"/>
        </w:rPr>
        <w:t xml:space="preserve">•  The introductory materials of the supplement must clearly state </w:t>
      </w:r>
      <w:r>
        <w:rPr>
          <w:rFonts w:ascii="Arial" w:hAnsi="Arial" w:eastAsia="Asap"/>
          <w:b w:val="0"/>
          <w:i w:val="0"/>
          <w:color w:val="333333"/>
          <w:sz w:val="16"/>
        </w:rPr>
        <w:t>the (1) source of the idea of the supplement, (2) the source of fund-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ing for the supplement’s research, (3) the source of funding for the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supplement’s publication, and (4) the products of the funding source </w:t>
      </w:r>
      <w:r>
        <w:rPr>
          <w:rFonts w:ascii="Arial" w:hAnsi="Arial" w:eastAsia="Asap"/>
          <w:b w:val="0"/>
          <w:i w:val="0"/>
          <w:color w:val="333333"/>
          <w:sz w:val="16"/>
        </w:rPr>
        <w:t>related to the supplement content.</w:t>
      </w:r>
    </w:p>
    <w:p>
      <w:pPr>
        <w:autoSpaceDN w:val="0"/>
        <w:autoSpaceDE w:val="0"/>
        <w:widowControl/>
        <w:spacing w:line="276" w:lineRule="auto" w:before="0" w:after="200"/>
        <w:ind w:left="740" w:right="432" w:hanging="200"/>
        <w:jc w:val="left"/>
      </w:pPr>
      <w:r>
        <w:rPr>
          <w:rFonts w:ascii="Arial" w:hAnsi="Arial" w:eastAsia="Asap"/>
          <w:b w:val="0"/>
          <w:i w:val="0"/>
          <w:color w:val="333333"/>
          <w:sz w:val="16"/>
        </w:rPr>
        <w:t xml:space="preserve">•  Authors must meet International Committee of Medical Journal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Editors (ICMJE) </w:t>
      </w:r>
      <w:r>
        <w:rPr>
          <w:u w:val="single" w:color="13377c"/>
          <w:rFonts w:ascii="Arial" w:hAnsi="Arial" w:eastAsia="Asap"/>
          <w:b w:val="0"/>
          <w:i w:val="0"/>
          <w:color w:val="333333"/>
          <w:sz w:val="16"/>
        </w:rPr>
        <w:t>criteria for authorship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 as described in the </w:t>
      </w:r>
      <w:r>
        <w:rPr>
          <w:rFonts w:ascii="Arial" w:hAnsi="Arial" w:eastAsia="Asap"/>
          <w:b w:val="0"/>
          <w:i/>
          <w:color w:val="333333"/>
          <w:sz w:val="16"/>
        </w:rPr>
        <w:t xml:space="preserve">JMCP </w:t>
      </w:r>
      <w:r>
        <w:rPr>
          <w:rFonts w:ascii="Arial" w:hAnsi="Arial" w:eastAsia="Asap"/>
          <w:b w:val="0"/>
          <w:i w:val="0"/>
          <w:color w:val="333333"/>
          <w:sz w:val="16"/>
        </w:rPr>
        <w:t>author guidelines.</w:t>
      </w:r>
    </w:p>
    <w:p>
      <w:pPr>
        <w:autoSpaceDN w:val="0"/>
        <w:autoSpaceDE w:val="0"/>
        <w:widowControl/>
        <w:spacing w:line="276" w:lineRule="auto" w:before="0" w:after="200"/>
        <w:ind w:left="740" w:right="288" w:hanging="200"/>
        <w:jc w:val="left"/>
      </w:pPr>
      <w:r>
        <w:rPr>
          <w:rFonts w:ascii="Arial" w:hAnsi="Arial" w:eastAsia="Asap"/>
          <w:b w:val="0"/>
          <w:i w:val="0"/>
          <w:color w:val="333333"/>
          <w:sz w:val="16"/>
        </w:rPr>
        <w:t xml:space="preserve">•  Authors must disclose all financial and personal relationships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that may impact their work by completing the ICMJE </w:t>
      </w:r>
      <w:r>
        <w:rPr>
          <w:u w:val="single" w:color="13377c"/>
          <w:rFonts w:ascii="Arial" w:hAnsi="Arial" w:eastAsia="Asap"/>
          <w:b w:val="0"/>
          <w:i w:val="0"/>
          <w:color w:val="333333"/>
          <w:sz w:val="16"/>
        </w:rPr>
        <w:t xml:space="preserve">Disclosure of </w:t>
      </w:r>
      <w:r>
        <w:rPr>
          <w:u w:val="single" w:color="13377c"/>
          <w:rFonts w:ascii="Arial" w:hAnsi="Arial" w:eastAsia="Asap"/>
          <w:b w:val="0"/>
          <w:i w:val="0"/>
          <w:color w:val="333333"/>
          <w:sz w:val="16"/>
        </w:rPr>
        <w:t>Conflicts of Interest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 form as described in the </w:t>
      </w:r>
      <w:r>
        <w:rPr>
          <w:rFonts w:ascii="Arial" w:hAnsi="Arial" w:eastAsia="Asap"/>
          <w:b w:val="0"/>
          <w:i/>
          <w:color w:val="333333"/>
          <w:sz w:val="16"/>
        </w:rPr>
        <w:t>JMCP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 author guide-</w:t>
      </w:r>
      <w:r>
        <w:rPr>
          <w:rFonts w:ascii="Arial" w:hAnsi="Arial" w:eastAsia="Asap"/>
          <w:b w:val="0"/>
          <w:i w:val="0"/>
          <w:color w:val="333333"/>
          <w:sz w:val="16"/>
        </w:rPr>
        <w:t>lines.</w:t>
      </w:r>
    </w:p>
    <w:p>
      <w:pPr>
        <w:autoSpaceDN w:val="0"/>
        <w:autoSpaceDE w:val="0"/>
        <w:widowControl/>
        <w:spacing w:line="276" w:lineRule="auto" w:before="0" w:after="200"/>
        <w:ind w:left="740" w:right="288" w:hanging="200"/>
        <w:jc w:val="left"/>
      </w:pPr>
      <w:r>
        <w:rPr>
          <w:rFonts w:ascii="Arial" w:hAnsi="Arial" w:eastAsia="Asap"/>
          <w:b w:val="0"/>
          <w:i w:val="0"/>
          <w:color w:val="333333"/>
          <w:sz w:val="16"/>
        </w:rPr>
        <w:t xml:space="preserve">•  Product trade names are only used once, generally at the first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reference to the generic name. Use of trade and generic naming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conventions may be adjusted at the editor’s discretion to provide </w:t>
      </w:r>
      <w:r>
        <w:rPr>
          <w:rFonts w:ascii="Arial" w:hAnsi="Arial" w:eastAsia="Asap"/>
          <w:b w:val="0"/>
          <w:i w:val="0"/>
          <w:color w:val="333333"/>
          <w:sz w:val="16"/>
        </w:rPr>
        <w:t>clarity.</w:t>
      </w:r>
    </w:p>
    <w:p>
      <w:pPr>
        <w:autoSpaceDN w:val="0"/>
        <w:autoSpaceDE w:val="0"/>
        <w:widowControl/>
        <w:spacing w:line="276" w:lineRule="auto" w:before="0" w:after="200"/>
        <w:ind w:left="740" w:right="288" w:hanging="200"/>
        <w:jc w:val="left"/>
      </w:pPr>
      <w:r>
        <w:rPr>
          <w:rFonts w:ascii="Arial" w:hAnsi="Arial" w:eastAsia="Asap"/>
          <w:b w:val="0"/>
          <w:i w:val="0"/>
          <w:color w:val="333333"/>
          <w:sz w:val="16"/>
        </w:rPr>
        <w:t xml:space="preserve">•  Supplements are identified by the addition of an alpha character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to the issue number (eg, issue 10-a) and an S to the page number </w:t>
      </w:r>
      <w:r>
        <w:rPr>
          <w:rFonts w:ascii="Arial" w:hAnsi="Arial" w:eastAsia="Asap"/>
          <w:b w:val="0"/>
          <w:i w:val="0"/>
          <w:color w:val="333333"/>
          <w:sz w:val="16"/>
        </w:rPr>
        <w:t>(eg, page S1-S11).</w:t>
      </w:r>
    </w:p>
    <w:p>
      <w:pPr>
        <w:autoSpaceDN w:val="0"/>
        <w:autoSpaceDE w:val="0"/>
        <w:widowControl/>
        <w:spacing w:line="276" w:lineRule="auto" w:before="0" w:after="200"/>
        <w:ind w:left="540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6"/>
        </w:rPr>
        <w:t xml:space="preserve">These policies are based on </w:t>
      </w:r>
      <w:r>
        <w:rPr>
          <w:u w:val="single" w:color="13377c"/>
          <w:rFonts w:ascii="Arial" w:hAnsi="Arial" w:eastAsia="Asap"/>
          <w:b w:val="0"/>
          <w:i w:val="0"/>
          <w:color w:val="333333"/>
          <w:sz w:val="16"/>
        </w:rPr>
        <w:t>recommendations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 from the ICMJE. </w:t>
      </w:r>
    </w:p>
    <w:p>
      <w:pPr>
        <w:spacing w:line="276" w:lineRule="auto" w:after="200" w:before="0"/>
        <w:sectPr>
          <w:type w:val="continuous"/>
          <w:pgSz w:w="11880" w:h="15660"/>
          <w:pgMar w:top="360" w:right="878" w:bottom="266" w:left="0" w:header="720" w:footer="720" w:gutter="0"/>
          <w:cols w:num="2" w:equalWidth="0">
            <w:col w:w="5778" w:space="0"/>
            <w:col w:w="522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62" w:right="864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 xml:space="preserve">Carrie McAdam-Marx, BSPharm, MS, PhD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University of Arkansas for Medical Sciences Little Rock, AR; </w:t>
      </w:r>
      <w:r>
        <w:rPr>
          <w:rFonts w:ascii="Arial" w:hAnsi="Arial" w:eastAsia="Asap"/>
          <w:b w:val="0"/>
          <w:i/>
          <w:color w:val="333333"/>
          <w:sz w:val="16"/>
        </w:rPr>
        <w:t>Section Editor</w:t>
      </w:r>
    </w:p>
    <w:p>
      <w:pPr>
        <w:autoSpaceDN w:val="0"/>
        <w:autoSpaceDE w:val="0"/>
        <w:widowControl/>
        <w:spacing w:line="276" w:lineRule="auto" w:before="0" w:after="200"/>
        <w:ind w:left="162" w:right="2160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 xml:space="preserve">Jennifer A. Booker,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703.317.0725,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jmcpreview@amcp.org; </w:t>
      </w:r>
      <w:r>
        <w:rPr>
          <w:rFonts w:ascii="Arial" w:hAnsi="Arial" w:eastAsia="Asap"/>
          <w:b w:val="0"/>
          <w:i/>
          <w:color w:val="333333"/>
          <w:sz w:val="16"/>
        </w:rPr>
        <w:t>Managing Editor</w:t>
      </w:r>
    </w:p>
    <w:p>
      <w:pPr>
        <w:autoSpaceDN w:val="0"/>
        <w:autoSpaceDE w:val="0"/>
        <w:widowControl/>
        <w:spacing w:line="276" w:lineRule="auto" w:before="0" w:after="200"/>
        <w:ind w:left="162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>PUBLISHER</w:t>
      </w:r>
    </w:p>
    <w:p>
      <w:pPr>
        <w:autoSpaceDN w:val="0"/>
        <w:autoSpaceDE w:val="0"/>
        <w:widowControl/>
        <w:spacing w:line="276" w:lineRule="auto" w:before="0" w:after="200"/>
        <w:ind w:left="162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>Susan A. Cantrell, RPh, CAE,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 AMCP; </w:t>
      </w:r>
      <w:r>
        <w:rPr>
          <w:rFonts w:ascii="Arial" w:hAnsi="Arial" w:eastAsia="Asap"/>
          <w:b w:val="0"/>
          <w:i/>
          <w:color w:val="333333"/>
          <w:sz w:val="16"/>
        </w:rPr>
        <w:t>Publisher</w:t>
      </w:r>
    </w:p>
    <w:p>
      <w:pPr>
        <w:autoSpaceDN w:val="0"/>
        <w:autoSpaceDE w:val="0"/>
        <w:widowControl/>
        <w:spacing w:line="276" w:lineRule="auto" w:before="0" w:after="200"/>
        <w:ind w:left="162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 xml:space="preserve">Ruby Singh, PharmD, BCPS, </w:t>
      </w:r>
      <w:r>
        <w:rPr>
          <w:rFonts w:ascii="Arial" w:hAnsi="Arial" w:eastAsia="Asap"/>
          <w:b w:val="0"/>
          <w:i w:val="0"/>
          <w:color w:val="333333"/>
          <w:sz w:val="16"/>
        </w:rPr>
        <w:t>AMCP;</w:t>
      </w:r>
      <w:r>
        <w:rPr>
          <w:rFonts w:ascii="Arial" w:hAnsi="Arial" w:eastAsia="Asap"/>
          <w:b w:val="0"/>
          <w:i/>
          <w:color w:val="333333"/>
          <w:sz w:val="16"/>
        </w:rPr>
        <w:t xml:space="preserve">Senior Vice President, Education &amp; </w:t>
      </w:r>
      <w:r>
        <w:rPr>
          <w:rFonts w:ascii="Arial" w:hAnsi="Arial" w:eastAsia="Asap"/>
          <w:b w:val="0"/>
          <w:i/>
          <w:color w:val="333333"/>
          <w:sz w:val="16"/>
        </w:rPr>
        <w:t>Publications</w:t>
      </w:r>
    </w:p>
    <w:p>
      <w:pPr>
        <w:autoSpaceDN w:val="0"/>
        <w:autoSpaceDE w:val="0"/>
        <w:widowControl/>
        <w:spacing w:line="276" w:lineRule="auto" w:before="0" w:after="200"/>
        <w:ind w:left="162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>ADVERTISING</w:t>
      </w:r>
    </w:p>
    <w:p>
      <w:pPr>
        <w:autoSpaceDN w:val="0"/>
        <w:autoSpaceDE w:val="0"/>
        <w:widowControl/>
        <w:spacing w:line="276" w:lineRule="auto" w:before="0" w:after="200"/>
        <w:ind w:left="162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6"/>
        </w:rPr>
        <w:t xml:space="preserve">Please contact </w:t>
      </w:r>
      <w:r>
        <w:rPr>
          <w:rFonts w:ascii="Arial" w:hAnsi="Arial" w:eastAsia="Asap"/>
          <w:b/>
          <w:i w:val="0"/>
          <w:color w:val="333333"/>
          <w:sz w:val="16"/>
        </w:rPr>
        <w:t>Matt Lowe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, </w:t>
      </w:r>
      <w:r>
        <w:rPr>
          <w:rFonts w:ascii="Arial" w:hAnsi="Arial" w:eastAsia="Asap"/>
          <w:b w:val="0"/>
          <w:i/>
          <w:color w:val="333333"/>
          <w:sz w:val="16"/>
        </w:rPr>
        <w:t>JMCP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’s business manager, at </w:t>
      </w:r>
      <w:r>
        <w:rPr>
          <w:u w:val="single" w:color="13377c"/>
          <w:rFonts w:ascii="Arial" w:hAnsi="Arial" w:eastAsia="Asap"/>
          <w:b w:val="0"/>
          <w:i w:val="0"/>
          <w:color w:val="333333"/>
          <w:sz w:val="16"/>
        </w:rPr>
        <w:t xml:space="preserve">mlowe@amcp.org </w:t>
      </w:r>
      <w:r>
        <w:rPr>
          <w:rFonts w:ascii="Arial" w:hAnsi="Arial" w:eastAsia="Asap"/>
          <w:b w:val="0"/>
          <w:i w:val="0"/>
          <w:color w:val="333333"/>
          <w:sz w:val="16"/>
        </w:rPr>
        <w:t>for information on other partnership opportunities.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9562"/>
      </w:tblGrid>
      <w:tr>
        <w:trPr>
          <w:trHeight w:hRule="exact" w:val="980"/>
        </w:trPr>
        <w:tc>
          <w:tcPr>
            <w:tcW w:type="dxa" w:w="5042"/>
            <w:tcBorders/>
            <w:shd w:fill="e4e5e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92" w:right="288" w:firstLine="0"/>
              <w:jc w:val="left"/>
            </w:pPr>
            <w:r>
              <w:rPr>
                <w:color w:val="333333"/>
                <w:w w:val="97.46794104576111"/>
                <w:rFonts w:ascii="Arial" w:hAnsi="Arial" w:eastAsia="Asap"/>
                <w:b w:val="0"/>
                <w:i w:val="0"/>
                <w:sz w:val="16"/>
              </w:rPr>
              <w:t xml:space="preserve">This Supplement to the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color w:val="333333"/>
                <w:w w:val="97.46794104576111"/>
                <w:rFonts w:ascii="Arial" w:hAnsi="Arial" w:eastAsia="Asap"/>
                <w:b/>
                <w:i w:val="0"/>
                <w:sz w:val="16"/>
              </w:rPr>
              <w:t xml:space="preserve">Journal of Managed Care </w:t>
            </w:r>
            <w:r>
              <w:rPr>
                <w:color w:val="333333"/>
                <w:w w:val="97.46794104576111"/>
                <w:rFonts w:ascii="Arial" w:hAnsi="Arial" w:eastAsia="Asap"/>
                <w:b/>
                <w:i w:val="0"/>
                <w:sz w:val="16"/>
              </w:rPr>
              <w:t>+</w:t>
            </w:r>
            <w:r>
              <w:rPr>
                <w:color w:val="333333"/>
                <w:w w:val="97.46794104576111"/>
                <w:rFonts w:ascii="Arial" w:hAnsi="Arial" w:eastAsia="Asap"/>
                <w:b/>
                <w:i w:val="0"/>
                <w:sz w:val="16"/>
              </w:rPr>
              <w:t xml:space="preserve"> Specialty Pharmacy</w:t>
            </w:r>
            <w:r>
              <w:rPr>
                <w:color w:val="333333"/>
                <w:w w:val="101.02010303073459"/>
                <w:rFonts w:ascii="Arial" w:hAnsi="Arial" w:eastAsia="Asap"/>
                <w:b/>
                <w:i/>
                <w:sz w:val="9"/>
              </w:rPr>
              <w:t>®</w:t>
            </w:r>
            <w:r>
              <w:rPr>
                <w:color w:val="333333"/>
                <w:w w:val="97.46794104576111"/>
                <w:rFonts w:ascii="Arial" w:hAnsi="Arial" w:eastAsia="Asap"/>
                <w:b w:val="0"/>
                <w:i w:val="0"/>
                <w:sz w:val="16"/>
              </w:rPr>
              <w:t>(ISSN 1944-</w:t>
            </w:r>
            <w:r>
              <w:rPr>
                <w:color w:val="333333"/>
                <w:w w:val="97.46794104576111"/>
                <w:rFonts w:ascii="Arial" w:hAnsi="Arial" w:eastAsia="Asap"/>
                <w:b w:val="0"/>
                <w:i w:val="0"/>
                <w:sz w:val="16"/>
              </w:rPr>
              <w:t xml:space="preserve">706X) is a publication of AMCP, 675 N. Washington St., Suite 220, 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2.00000000000045" w:type="dxa"/>
      </w:tblPr>
      <w:tblGrid>
        <w:gridCol w:w="9562"/>
      </w:tblGrid>
      <w:tr>
        <w:trPr>
          <w:trHeight w:hRule="exact" w:val="260"/>
        </w:trPr>
        <w:tc>
          <w:tcPr>
            <w:tcW w:type="dxa" w:w="3880"/>
            <w:tcBorders/>
            <w:shd w:fill="e4e5e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90" w:right="0" w:firstLine="0"/>
              <w:jc w:val="left"/>
            </w:pPr>
            <w:r>
              <w:rPr>
                <w:color w:val="333333"/>
                <w:w w:val="97.46794104576111"/>
                <w:rFonts w:ascii="Arial" w:hAnsi="Arial" w:eastAsia="Asap"/>
                <w:b w:val="0"/>
                <w:i w:val="0"/>
                <w:sz w:val="16"/>
              </w:rPr>
              <w:t xml:space="preserve">Alexandria, VA 22314; 703.684.2600. 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162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6"/>
        </w:rPr>
        <w:t xml:space="preserve">DISCLAIMER </w:t>
      </w:r>
      <w:r>
        <w:rPr>
          <w:rFonts w:ascii="Arial" w:hAnsi="Arial" w:eastAsia="Asap"/>
          <w:b/>
          <w:i w:val="0"/>
          <w:color w:val="333333"/>
          <w:sz w:val="16"/>
        </w:rPr>
        <w:t>+</w:t>
      </w:r>
      <w:r>
        <w:rPr>
          <w:rFonts w:ascii="Arial" w:hAnsi="Arial" w:eastAsia="Asap"/>
          <w:b/>
          <w:i w:val="0"/>
          <w:color w:val="333333"/>
          <w:sz w:val="16"/>
        </w:rPr>
        <w:t xml:space="preserve"> COPYRIGHT</w:t>
      </w:r>
    </w:p>
    <w:p>
      <w:pPr>
        <w:autoSpaceDN w:val="0"/>
        <w:autoSpaceDE w:val="0"/>
        <w:widowControl/>
        <w:spacing w:line="276" w:lineRule="auto" w:before="0" w:after="200"/>
        <w:ind w:left="162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6"/>
        </w:rPr>
        <w:t xml:space="preserve">All articles published represent the opinions of the authors and do not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reflect the official policy or views of AMCP or the authors’ institutions 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unless so specified. Copyright © 2024, Academy of Managed Care </w:t>
      </w:r>
      <w:r>
        <w:rPr>
          <w:rFonts w:ascii="Arial" w:hAnsi="Arial" w:eastAsia="Asap"/>
          <w:b w:val="0"/>
          <w:i w:val="0"/>
          <w:color w:val="333333"/>
          <w:sz w:val="16"/>
        </w:rPr>
        <w:t>Pharmacy. All rights reserved. No part of this publication may be repro-</w:t>
      </w:r>
      <w:r>
        <w:rPr>
          <w:rFonts w:ascii="Arial" w:hAnsi="Arial" w:eastAsia="Asap"/>
          <w:b w:val="0"/>
          <w:i w:val="0"/>
          <w:color w:val="333333"/>
          <w:sz w:val="16"/>
        </w:rPr>
        <w:t xml:space="preserve">duced or transmitted in any form or by any means, electronic or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 w:val="0"/>
          <w:i w:val="0"/>
          <w:color w:val="333333"/>
          <w:sz w:val="16"/>
        </w:rPr>
        <w:t>mechanical, without written permission from AMCP.</w:t>
      </w:r>
    </w:p>
    <w:p>
      <w:pPr>
        <w:spacing w:line="276" w:lineRule="auto" w:after="200" w:before="0"/>
        <w:sectPr>
          <w:type w:val="nextColumn"/>
          <w:pgSz w:w="11880" w:h="15660"/>
          <w:pgMar w:top="360" w:right="878" w:bottom="266" w:left="0" w:header="720" w:footer="720" w:gutter="0"/>
          <w:cols w:num="2" w:equalWidth="0">
            <w:col w:w="5778" w:space="0"/>
            <w:col w:w="522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64.0" w:type="dxa"/>
      </w:tblPr>
      <w:tblGrid>
        <w:gridCol w:w="3235"/>
        <w:gridCol w:w="3235"/>
        <w:gridCol w:w="3235"/>
      </w:tblGrid>
      <w:tr>
        <w:trPr>
          <w:trHeight w:hRule="exact" w:val="994"/>
        </w:trPr>
        <w:tc>
          <w:tcPr>
            <w:tcW w:type="dxa" w:w="5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820" w:firstLine="0"/>
              <w:jc w:val="right"/>
            </w:pPr>
            <w:r>
              <w:rPr>
                <w:rFonts w:ascii="Arial" w:hAnsi="Arial"/>
                <w:color w:val="333333"/>
                <w:sz w:val="19"/>
              </w:rPr>
              <w:drawing>
                <wp:inline xmlns:a="http://schemas.openxmlformats.org/drawingml/2006/main" xmlns:pic="http://schemas.openxmlformats.org/drawingml/2006/picture">
                  <wp:extent cx="2057400" cy="5969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59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84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6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617"/>
        <w:gridCol w:w="1617"/>
        <w:gridCol w:w="1617"/>
        <w:gridCol w:w="1617"/>
        <w:gridCol w:w="1617"/>
        <w:gridCol w:w="1617"/>
      </w:tblGrid>
      <w:tr>
        <w:trPr>
          <w:trHeight w:hRule="exact" w:val="258"/>
        </w:trPr>
        <w:tc>
          <w:tcPr>
            <w:tcW w:type="dxa" w:w="3984"/>
            <w:gridSpan w:val="2"/>
            <w:tcBorders>
              <w:top w:sz="3.5999999046325684" w:val="single" w:color="#A37BA7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ACKNOWLEDGMENTS</w:t>
            </w:r>
          </w:p>
        </w:tc>
        <w:tc>
          <w:tcPr>
            <w:tcW w:type="dxa" w:w="1064"/>
            <w:tcBorders>
              <w:top w:sz="3.5999999046325684" w:val="single" w:color="#A37BA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5.0B   ADDITIONAL SUPPORTING EVIDENCE </w:t>
            </w:r>
          </w:p>
        </w:tc>
        <w:tc>
          <w:tcPr>
            <w:tcW w:type="dxa" w:w="980"/>
            <w:tcBorders>
              <w:top w:sz="3.5999999046325684" w:val="single" w:color="#A37BA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40</w:t>
            </w:r>
          </w:p>
        </w:tc>
      </w:tr>
      <w:tr>
        <w:trPr>
          <w:trHeight w:hRule="exact" w:val="22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PUBLISHER’S NOTE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5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5.1B   CLINICAL PRACTICE GUIDELINES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40</w:t>
            </w:r>
          </w:p>
        </w:tc>
      </w:tr>
      <w:tr>
        <w:trPr>
          <w:trHeight w:hRule="exact" w:val="4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5.2B   HTAS AND SYSTEMATIC REVIEWS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40</w:t>
            </w:r>
          </w:p>
        </w:tc>
      </w:tr>
      <w:tr>
        <w:trPr>
          <w:trHeight w:hRule="exact" w:val="212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PREFACE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ROLE OF THE AMCP FORMAT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6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5.3B   COMPENDIA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40</w:t>
            </w:r>
          </w:p>
        </w:tc>
      </w:tr>
      <w:tr>
        <w:trPr>
          <w:trHeight w:hRule="exact" w:val="43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5.4B   OTHER ECONOMIC OR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41</w:t>
            </w:r>
          </w:p>
        </w:tc>
      </w:tr>
      <w:tr>
        <w:trPr>
          <w:trHeight w:hRule="exact" w:val="175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GENERAL DEFINITIONS AND CONSIDERATIONS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7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42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422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OUTCOMES EVIDENCE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6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SPECIAL CONTENT CONSIDERATIONS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14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1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5.5B   EFFECT ON EQUITY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41</w:t>
            </w:r>
          </w:p>
        </w:tc>
      </w:tr>
      <w:tr>
        <w:trPr>
          <w:trHeight w:hRule="exact" w:val="12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EVIDENCE RECOMMENDATIONS FOR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0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19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5.6B   EFFECT ON QUALITY MEASURES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41</w:t>
            </w:r>
          </w:p>
        </w:tc>
      </w:tr>
      <w:tr>
        <w:trPr>
          <w:trHeight w:hRule="exact" w:val="176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UNAPPROVED PRODUCT DOSSIERS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5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5.7B   OTHER EVIDENCE OR INFORMATION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41</w:t>
            </w:r>
          </w:p>
        </w:tc>
      </w:tr>
      <w:tr>
        <w:trPr>
          <w:trHeight w:hRule="exact" w:val="15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7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1.0A   HIGHLIGHTS AND OVERVIEW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19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8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2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6.0B   DOSSIER APPENDICES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41</w:t>
            </w:r>
          </w:p>
        </w:tc>
      </w:tr>
      <w:tr>
        <w:trPr>
          <w:trHeight w:hRule="exact" w:val="13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7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2.0A   PRODUCT INFORMATION AND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86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21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6.1B   REFERENCES CONTAINED IN DOSSIERS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41</w:t>
            </w:r>
          </w:p>
        </w:tc>
      </w:tr>
      <w:tr>
        <w:trPr>
          <w:trHeight w:hRule="exact" w:val="194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9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DISEASE DESCRIPTION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47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2.1A   PRODUCT INFORMATION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21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6.2B   ECONOMIC MODELS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41</w:t>
            </w:r>
          </w:p>
        </w:tc>
      </w:tr>
      <w:tr>
        <w:trPr>
          <w:trHeight w:hRule="exact" w:val="213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2.2A   DISEASE DESCRIPTION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22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6.3C   PRODUCT PRESCRIBING INFORMATION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41</w:t>
            </w:r>
          </w:p>
        </w:tc>
      </w:tr>
      <w:tr>
        <w:trPr>
          <w:trHeight w:hRule="exact" w:val="248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7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3.0A   CLINICAL EVIDENCE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22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6.4C   PATIENT INFORMATION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41</w:t>
            </w:r>
          </w:p>
        </w:tc>
      </w:tr>
      <w:tr>
        <w:trPr>
          <w:trHeight w:hRule="exact" w:val="191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3.1A   STUDY SUMMARIES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23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6.5B   MATERIAL SAFETY DATA SHEET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41</w:t>
            </w:r>
          </w:p>
        </w:tc>
      </w:tr>
      <w:tr>
        <w:trPr>
          <w:trHeight w:hRule="exact" w:val="5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6.6B   APPENDICES SPECIFIC TO DTx PRODUCTS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41</w:t>
            </w:r>
          </w:p>
        </w:tc>
      </w:tr>
      <w:tr>
        <w:trPr>
          <w:trHeight w:hRule="exact" w:val="210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3.2A   EVIDENCE TABLES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24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44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7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4.0A   ECONOMIC INFORMATION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24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356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EVIDENCE RECOMMENDATIONS FOR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42</w:t>
            </w:r>
          </w:p>
        </w:tc>
      </w:tr>
      <w:tr>
        <w:trPr>
          <w:trHeight w:hRule="exact" w:val="212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7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5.0A   ADDITIONAL SUPPORTING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356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UNAPPROVED USE DOSSIERS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24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9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EVIDENCE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24</w:t>
            </w:r>
          </w:p>
        </w:tc>
        <w:tc>
          <w:tcPr>
            <w:tcW w:type="dxa" w:w="10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1.0C 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 HIGHLIGHTS AND OVERVIEW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42</w:t>
            </w:r>
          </w:p>
        </w:tc>
      </w:tr>
      <w:tr>
        <w:trPr>
          <w:trHeight w:hRule="exact" w:val="246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5.1A   CLINICAL PRACTICE GUIDELINES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24</w:t>
            </w:r>
          </w:p>
        </w:tc>
        <w:tc>
          <w:tcPr>
            <w:tcW w:type="dxa" w:w="10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2.0C 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PRODUCT INFORMATION AND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44</w:t>
            </w:r>
          </w:p>
        </w:tc>
      </w:tr>
      <w:tr>
        <w:trPr>
          <w:trHeight w:hRule="exact" w:val="194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5.2A   HTAs AND SYSTEMATIC REVIEWS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25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558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DISEASE DESCRIPTION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57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5.3A   OTHER ECONOMIC OR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25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2.1C   PRODUCT INFORMATION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45</w:t>
            </w:r>
          </w:p>
        </w:tc>
      </w:tr>
      <w:tr>
        <w:trPr>
          <w:trHeight w:hRule="exact" w:val="203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6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OUTCOMES EVIDENCE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2.2C   DISEASE DESCRIPTION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45</w:t>
            </w:r>
          </w:p>
        </w:tc>
      </w:tr>
      <w:tr>
        <w:trPr>
          <w:trHeight w:hRule="exact" w:val="5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5.4A   EFFECT ON EQUITY`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1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2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3.0C   CLINICAL EVIDENCE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46</w:t>
            </w:r>
          </w:p>
        </w:tc>
      </w:tr>
      <w:tr>
        <w:trPr>
          <w:trHeight w:hRule="exact" w:val="220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5.5A   EFFECT ON QUALITY MEASURES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25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3.1C   STUDY SUMMARIES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47</w:t>
            </w:r>
          </w:p>
        </w:tc>
      </w:tr>
      <w:tr>
        <w:trPr>
          <w:trHeight w:hRule="exact" w:val="44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5.6A   OTHER EVIDENCE OR INFORMATION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96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3.2C   EVIDENCE TABLES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47</w:t>
            </w:r>
          </w:p>
        </w:tc>
      </w:tr>
      <w:tr>
        <w:trPr>
          <w:trHeight w:hRule="exact" w:val="42"/>
        </w:trPr>
        <w:tc>
          <w:tcPr>
            <w:tcW w:type="dxa" w:w="6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6.0A </w:t>
            </w:r>
          </w:p>
        </w:tc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2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DOSSIER APPENDICES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26"/>
        </w:trPr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2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4.0C   ECONOMIC VALUE AND MODELING REPORT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47</w:t>
            </w:r>
          </w:p>
        </w:tc>
      </w:tr>
      <w:tr>
        <w:trPr>
          <w:trHeight w:hRule="exact" w:val="151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6.1A   REFERENCES CONTAINED IN DOSSIERS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25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5.0C   ADDITIONAL SUPPORTING EVIDENCE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47</w:t>
            </w:r>
          </w:p>
        </w:tc>
      </w:tr>
      <w:tr>
        <w:trPr>
          <w:trHeight w:hRule="exact" w:val="8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6.2A   ECONOMIC MODELS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6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5.1C   CLINICAL PRACTICE GUIDELINES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48</w:t>
            </w:r>
          </w:p>
        </w:tc>
      </w:tr>
      <w:tr>
        <w:trPr>
          <w:trHeight w:hRule="exact" w:val="6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6.3A   MATERIAL SAFETY DATA SHEET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25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8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5.2C   HTAS AND SYSTEMATIC REVIEWS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48</w:t>
            </w:r>
          </w:p>
        </w:tc>
      </w:tr>
      <w:tr>
        <w:trPr>
          <w:trHeight w:hRule="exact" w:val="7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6.4A   APPENDICES SPECIFIC TO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4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25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5.3C   COMPENDIA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48</w:t>
            </w:r>
          </w:p>
        </w:tc>
      </w:tr>
      <w:tr>
        <w:trPr>
          <w:trHeight w:hRule="exact" w:val="10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6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DTx PRODUCTS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9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5.4C   OTHER ECONOMIC OR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3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EVIDENCE RECOMMENDATIONS FOR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26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48</w:t>
            </w:r>
          </w:p>
        </w:tc>
      </w:tr>
      <w:tr>
        <w:trPr>
          <w:trHeight w:hRule="exact" w:val="11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418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OUTCOMES EVIDENCE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80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APPROVED PRODUCT DOSSIERS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4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5.5C   EFFECT ON EQUITY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48</w:t>
            </w:r>
          </w:p>
        </w:tc>
      </w:tr>
      <w:tr>
        <w:trPr>
          <w:trHeight w:hRule="exact" w:val="11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7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1.0B   EXECUTIVE SUMMARY: CLINICAL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1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26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5.6C   EFFECT ON QUALITY MEASURES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48</w:t>
            </w:r>
          </w:p>
        </w:tc>
      </w:tr>
      <w:tr>
        <w:trPr>
          <w:trHeight w:hRule="exact" w:val="137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8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AND ECONOMIC VALUE OF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67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5.7C   OTHER EVIDENCE OR INFORMATION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48</w:t>
            </w:r>
          </w:p>
        </w:tc>
      </w:tr>
      <w:tr>
        <w:trPr>
          <w:trHeight w:hRule="exact" w:val="166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8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THE APPROVED PRODUCT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50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2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6.0C   DOSSIER APPENDICES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48</w:t>
            </w:r>
          </w:p>
        </w:tc>
      </w:tr>
      <w:tr>
        <w:trPr>
          <w:trHeight w:hRule="exact" w:val="210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1.1B   CLINICAL BENEFITS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26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37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1.2B   ECONOMIC BENEFITS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27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6.1C   REFERENCES CONTAINED IN DOSSIERS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48</w:t>
            </w:r>
          </w:p>
        </w:tc>
      </w:tr>
      <w:tr>
        <w:trPr>
          <w:trHeight w:hRule="exact" w:val="203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1.3B   CONCLUSIONS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27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6.2C   ECONOMIC MODELS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48</w:t>
            </w:r>
          </w:p>
        </w:tc>
      </w:tr>
      <w:tr>
        <w:trPr>
          <w:trHeight w:hRule="exact" w:val="4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6.3C   PRODUCT PRESCRIBING INFORMATION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49</w:t>
            </w:r>
          </w:p>
        </w:tc>
      </w:tr>
      <w:tr>
        <w:trPr>
          <w:trHeight w:hRule="exact" w:val="104"/>
        </w:trPr>
        <w:tc>
          <w:tcPr>
            <w:tcW w:type="dxa" w:w="6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2.0B </w:t>
            </w:r>
          </w:p>
        </w:tc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2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PRODUCT INFORMATION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10"/>
        </w:trPr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27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02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AND DISEASE DESCRIPTION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6.4C   PATIENT INFORMATION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49</w:t>
            </w:r>
          </w:p>
        </w:tc>
      </w:tr>
      <w:tr>
        <w:trPr>
          <w:trHeight w:hRule="exact" w:val="220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2.1B   PRODUCT INFORMATION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27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6.5C   MATERIAL SAFETY DATA SHEET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49</w:t>
            </w:r>
          </w:p>
        </w:tc>
      </w:tr>
      <w:tr>
        <w:trPr>
          <w:trHeight w:hRule="exact" w:val="47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2.2B   PLACE OF THE PRODUCT IN THERAPY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29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93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9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6.6C   APPENDICES SPECIFIC TO DTx PRODUCTS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49</w:t>
            </w:r>
          </w:p>
        </w:tc>
      </w:tr>
      <w:tr>
        <w:trPr>
          <w:trHeight w:hRule="exact" w:val="4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2.3B   EVIDENCE FOR CDTs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30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98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356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APPENDICES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50</w:t>
            </w:r>
          </w:p>
        </w:tc>
      </w:tr>
      <w:tr>
        <w:trPr>
          <w:trHeight w:hRule="exact" w:val="50"/>
        </w:trPr>
        <w:tc>
          <w:tcPr>
            <w:tcW w:type="dxa" w:w="6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3.0B </w:t>
            </w:r>
          </w:p>
        </w:tc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2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CLINICAL EVIDENCE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32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02"/>
        </w:trPr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2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APPENDIX A   PRE-APPROVAL INFORMATION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12"/>
        </w:trPr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50</w:t>
            </w:r>
          </w:p>
        </w:tc>
      </w:tr>
      <w:tr>
        <w:trPr>
          <w:trHeight w:hRule="exact" w:val="196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3.1B   STUDY SUMMARIES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33</w:t>
            </w:r>
          </w:p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098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EXCHANGE GUIDANCE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42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3.2B   EVIDENCE TABLES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34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0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2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APPENDIX B   ADDITIONAL TERMS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111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51</w:t>
            </w:r>
          </w:p>
        </w:tc>
      </w:tr>
      <w:tr>
        <w:trPr>
          <w:trHeight w:hRule="exact" w:val="203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7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4.0B   ECONOMIC VALUE AND MODELING REPORT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34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434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AND DEFINITIONS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52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4.1B   MODELING OVERVIEW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34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2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APPENDIX C   SAMPLE UNSOLICITED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54</w:t>
            </w:r>
          </w:p>
        </w:tc>
      </w:tr>
      <w:tr>
        <w:trPr>
          <w:trHeight w:hRule="exact" w:val="187"/>
        </w:trPr>
        <w:tc>
          <w:tcPr>
            <w:tcW w:type="dxa" w:w="398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4.2B   COST-EFFECTIVENESS ANALYSIS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36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488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REQUEST LETTER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44"/>
        </w:trPr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2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APPENDIX D   FORMULARY MONOGRAPH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55</w:t>
            </w:r>
          </w:p>
        </w:tc>
      </w:tr>
      <w:tr>
        <w:trPr>
          <w:trHeight w:hRule="exact" w:val="222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4.3B   BUDGET IMPACT MODEL </w:t>
            </w:r>
          </w:p>
        </w:tc>
        <w:tc>
          <w:tcPr>
            <w:tcW w:type="dxa" w:w="106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38</w:t>
            </w:r>
          </w:p>
        </w:tc>
        <w:tc>
          <w:tcPr>
            <w:tcW w:type="dxa" w:w="3234"/>
            <w:gridSpan w:val="2"/>
            <w:vMerge/>
            <w:tcBorders/>
          </w:tcPr>
          <w:p/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14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4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4.4B   MODELING REPORT AND </w:t>
            </w:r>
          </w:p>
        </w:tc>
        <w:tc>
          <w:tcPr>
            <w:tcW w:type="dxa" w:w="1617"/>
            <w:vMerge/>
            <w:tcBorders/>
          </w:tcPr>
          <w:p/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964" w:firstLine="0"/>
              <w:jc w:val="righ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TEMPLATE </w:t>
            </w:r>
          </w:p>
        </w:tc>
        <w:tc>
          <w:tcPr>
            <w:tcW w:type="dxa" w:w="1617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3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5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 xml:space="preserve">INTERACTIVE MODEL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39</w:t>
            </w:r>
          </w:p>
        </w:tc>
        <w:tc>
          <w:tcPr>
            <w:tcW w:type="dxa" w:w="4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356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REFERENCES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6"/>
              </w:rPr>
              <w:t>60</w:t>
            </w:r>
          </w:p>
        </w:tc>
      </w:tr>
    </w:tbl>
    <w:p>
      <w:pPr>
        <w:spacing w:line="276" w:lineRule="auto" w:after="200" w:before="0"/>
        <w:sectPr>
          <w:pgSz w:w="11880" w:h="15660"/>
          <w:pgMar w:top="220" w:right="0" w:bottom="266" w:left="7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4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718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>Acknowledgments</w:t>
      </w:r>
    </w:p>
    <w:p>
      <w:pPr>
        <w:autoSpaceDN w:val="0"/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AMCP acknowledges the contributions of many individuals </w:t>
      </w:r>
      <w:r>
        <w:rPr>
          <w:rFonts w:ascii="Arial" w:hAnsi="Arial" w:eastAsia="Lora"/>
          <w:b w:val="0"/>
          <w:i w:val="0"/>
          <w:color w:val="333333"/>
          <w:sz w:val="18"/>
        </w:rPr>
        <w:t>who have devoted substantial time, expertise, and commit-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 to the preparation of Version 5.0 of the AMCP Format </w:t>
      </w:r>
      <w:r>
        <w:rPr>
          <w:rFonts w:ascii="Arial" w:hAnsi="Arial" w:eastAsia="Lora"/>
          <w:b w:val="0"/>
          <w:i w:val="0"/>
          <w:color w:val="333333"/>
          <w:sz w:val="18"/>
        </w:rPr>
        <w:t>for Formulary Submissions.</w:t>
      </w:r>
    </w:p>
    <w:p>
      <w:pPr>
        <w:autoSpaceDN w:val="0"/>
        <w:autoSpaceDE w:val="0"/>
        <w:widowControl/>
        <w:spacing w:line="276" w:lineRule="auto" w:before="0" w:after="200"/>
        <w:ind w:left="720" w:right="288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Contributors from the AMCP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/>
          <w:i w:val="0"/>
          <w:color w:val="333333"/>
          <w:sz w:val="32"/>
        </w:rPr>
        <w:t xml:space="preserve">Format for Formulary Submissions </w:t>
      </w:r>
      <w:r>
        <w:rPr>
          <w:rFonts w:ascii="Arial" w:hAnsi="Arial" w:eastAsia="Asap"/>
          <w:b/>
          <w:i w:val="0"/>
          <w:color w:val="333333"/>
          <w:sz w:val="32"/>
        </w:rPr>
        <w:t>Committee</w:t>
      </w:r>
    </w:p>
    <w:p>
      <w:pPr>
        <w:autoSpaceDN w:val="0"/>
        <w:tabs>
          <w:tab w:pos="1180" w:val="left"/>
        </w:tabs>
        <w:autoSpaceDE w:val="0"/>
        <w:widowControl/>
        <w:spacing w:line="276" w:lineRule="auto" w:before="0" w:after="200"/>
        <w:ind w:left="960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 xml:space="preserve">2023–2024 Committee Members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Sherry Andes, PharmD, RPh, BCPS, BCACP, BCPP, BCGP,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PAHM, FAMCP, Chair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Elizabeth L. Brusig, PharmD, MBA, FAMCP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Kevin Chang, PharmD, BCPS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Timothy Chiu, PharmD, BCPS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Elizabeth Hill, PharmD, MBA, former AMCP Staff Liaison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Adam Hoye-Simek, PharmD, CDCES, RPh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Steven Kheloussi, PharmD, MBA, FAMCP, AMCP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Staff Liaison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Stephen J. Kogut, PhD, MBA, RPh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Jeff Lee, PharmD, FCCP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Beth A. Lesher, PharmD, BCPS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Dara Katcher Levy, JD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Aimee Loucks, PharmD, BCPS, CPHQ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Jennifer L. Mathieu, AMCP Interim Staff Liaison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Kristen Patti, PharmD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Alex Peaslee, PharmD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C.E. (Gene) Reeder, PhD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Annie Schuster, PharmD, FAMCP, AMCP Board Liaison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Sheetal Sheth, PharmD, BCOP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Jonathan Toft, PharmD, MBA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Ellen Whipple, PharmD, BSPharm, Vice Chair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Mark Wrobel, PharmD</w:t>
      </w:r>
    </w:p>
    <w:p>
      <w:pPr>
        <w:autoSpaceDN w:val="0"/>
        <w:tabs>
          <w:tab w:pos="1180" w:val="left"/>
        </w:tabs>
        <w:autoSpaceDE w:val="0"/>
        <w:widowControl/>
        <w:spacing w:line="276" w:lineRule="auto" w:before="0" w:after="200"/>
        <w:ind w:left="960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 xml:space="preserve">2022-2023 Committee Members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Sherry Andes, PharmD, RPh, BCPS, BCACP, BCPP, BCGP,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PAHM, FAMCP, Chair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Kevin Chang, PharmD, BCPS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Timothy Chiu, PharmD, BCPS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Jessica Daw, PharmD, MBA, AMCP Board Liaison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Raulo Frear, PharmD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Jennifer Graff, PharmD, former AMCP Staff Liaison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Elizabeth Hill, PharmD, MBA, former AMCP Staff Liaison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Adam Hoye-Simek, PharmD, CDCES, RPh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Stephen J. Kogut, PhD, MBA, RPh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Jeff Lee, PharmD, FCCP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Beth A. Lesher, PharmD, BCPS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Dara Katcher Levy, JD</w:t>
      </w:r>
    </w:p>
    <w:p>
      <w:pPr>
        <w:spacing w:line="276" w:lineRule="auto" w:after="200" w:before="0"/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396" w:right="86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Aimee Loucks, PharmD, BCPS, CPHQ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Alex Peaslee, PharmD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Tom Peddicord, PharmD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C.E. (Gene) Reeder, PhD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Patricia Thornewell, PharmD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Jonathan Toft, PharmD, MBA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Ellen Whipple, PharmD, BS Pharm, Vice Chair </w:t>
      </w:r>
      <w:r>
        <w:rPr>
          <w:rFonts w:ascii="Arial" w:hAnsi="Arial" w:eastAsia="Lora"/>
          <w:b w:val="0"/>
          <w:i w:val="0"/>
          <w:color w:val="333333"/>
          <w:sz w:val="18"/>
        </w:rPr>
        <w:t>Mark Wrobel, PharmD</w:t>
      </w:r>
    </w:p>
    <w:p>
      <w:pPr>
        <w:autoSpaceDN w:val="0"/>
        <w:tabs>
          <w:tab w:pos="616" w:val="left"/>
        </w:tabs>
        <w:autoSpaceDE w:val="0"/>
        <w:widowControl/>
        <w:spacing w:line="276" w:lineRule="auto" w:before="0" w:after="200"/>
        <w:ind w:left="396" w:right="0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 xml:space="preserve">2021–2022 Committee Members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Sherry Andes, PharmD, RPh, BCPS, BCACP, BCPP, BCGP,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PAHM, FAMCP, Vice Chair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Lisa Cashman, PharmD, Chair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Kevin Chang, PharmD, BCPS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Raulo Frear, PharmD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 Gleason, PharmD, BCPS, FCCP, FAMCP,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 Board Liaison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Cindy Giambrone, PharmD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Jennifer Graff, PharmD, former AMCP Staff Liaison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Beth A. Lesher, PharmD, BCPS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Dara Katcher Levy, JD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Amy Lugo, PharmD, BCPS, BC-ADM, FAPhA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Pete Penna, PharmD, Observer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Aracelis Rivera, PharmD, CPBS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Patricia Thornewell, PharmD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Ellen Whipple, PharmD, BSPharm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Stephanie Yu, PharmD, MS</w:t>
      </w:r>
    </w:p>
    <w:p>
      <w:pPr>
        <w:autoSpaceDN w:val="0"/>
        <w:autoSpaceDE w:val="0"/>
        <w:widowControl/>
        <w:spacing w:line="276" w:lineRule="auto" w:before="0" w:after="200"/>
        <w:ind w:left="156" w:right="20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AMCP Format 5.0 was updated by the AMCP Format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Formulary Submissions Committee. Work was initiated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by the 2021-2022 Committee, continued by the 2022-2023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Committee, and completed by the 2023-2024 Committee.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update process included a public comment period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during which time stakeholders from the pharmaceutical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industry—payers, academics, consultants, and professional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associations—submitted comments. </w:t>
      </w:r>
    </w:p>
    <w:p>
      <w:pPr>
        <w:autoSpaceDN w:val="0"/>
        <w:autoSpaceDE w:val="0"/>
        <w:widowControl/>
        <w:spacing w:line="276" w:lineRule="auto" w:before="0" w:after="200"/>
        <w:ind w:left="156" w:right="20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AMCP and the Format for Formulary Submissions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Committee wish to recognize Sean D. Sullivan, BSc Pharm,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PhD, and Richard N. Fry, RPh, for their long-standing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leadership and key contributions to previous versions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 Format. AMCP also acknowledges the following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their contributions to this revision: 2023-2024 AMCP Digital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Therapeutics Advisory Group; Dave Veenstra, PharmD, PhD;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Cate Lockhart, PharmD, PhD; and Adam Colborn, JD. </w:t>
      </w:r>
    </w:p>
    <w:p>
      <w:pPr>
        <w:spacing w:line="276" w:lineRule="auto" w:after="200" w:before="0"/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>Publisher’s Note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AMCP is pleased to provide this resource to its members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other stakeholders. As with previous versions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 </w:t>
      </w:r>
      <w:r>
        <w:rPr>
          <w:rFonts w:ascii="Arial" w:hAnsi="Arial" w:eastAsia="Lora"/>
          <w:b w:val="0"/>
          <w:i/>
          <w:color w:val="333333"/>
          <w:sz w:val="18"/>
        </w:rPr>
        <w:t>Format for Formulary Submissions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(AMCP </w:t>
      </w:r>
      <w:r>
        <w:rPr>
          <w:rFonts w:ascii="Arial" w:hAnsi="Arial" w:eastAsia="Lora"/>
          <w:b w:val="0"/>
          <w:i/>
          <w:color w:val="333333"/>
          <w:sz w:val="18"/>
        </w:rPr>
        <w:t>Format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),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updates to product dossiers are recommended whenever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new information becomes available. However, the AMCP </w:t>
      </w:r>
      <w:r>
        <w:rPr>
          <w:rFonts w:ascii="Arial" w:hAnsi="Arial" w:eastAsia="Lora"/>
          <w:b w:val="0"/>
          <w:i w:val="0"/>
          <w:color w:val="333333"/>
          <w:sz w:val="18"/>
        </w:rPr>
        <w:t>Format is not a mandate and instead serves as guid-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ance to describe the information needs of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decision-makers. Development and use of dossiers are 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discretion of the manufacturers and are subject to their </w:t>
      </w:r>
      <w:r>
        <w:rPr>
          <w:rFonts w:ascii="Arial" w:hAnsi="Arial" w:eastAsia="Lora"/>
          <w:b w:val="0"/>
          <w:i w:val="0"/>
          <w:color w:val="333333"/>
          <w:sz w:val="18"/>
        </w:rPr>
        <w:t>individual legal and regulatory compliance policies.</w:t>
      </w:r>
    </w:p>
    <w:p>
      <w:pPr>
        <w:autoSpaceDN w:val="0"/>
        <w:autoSpaceDE w:val="0"/>
        <w:widowControl/>
        <w:spacing w:line="276" w:lineRule="auto" w:before="0" w:after="200"/>
        <w:ind w:left="0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>Preface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current need to evaluate and balance considerations </w:t>
      </w:r>
      <w:r>
        <w:rPr>
          <w:rFonts w:ascii="Arial" w:hAnsi="Arial" w:eastAsia="Lora"/>
          <w:b w:val="0"/>
          <w:i w:val="0"/>
          <w:color w:val="333333"/>
          <w:sz w:val="18"/>
        </w:rPr>
        <w:t>related to clinical benefits, cost-effectiveness, and afford-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ability has never been greater due to the development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availability of new health technologies and treatments that </w:t>
      </w:r>
      <w:r>
        <w:rPr>
          <w:rFonts w:ascii="Arial" w:hAnsi="Arial" w:eastAsia="Lora"/>
          <w:b w:val="0"/>
          <w:i w:val="0"/>
          <w:color w:val="333333"/>
          <w:sz w:val="18"/>
        </w:rPr>
        <w:t>promise sustained durable effects and improved effective-</w:t>
      </w:r>
      <w:r>
        <w:rPr>
          <w:rFonts w:ascii="Arial" w:hAnsi="Arial" w:eastAsia="Lora"/>
          <w:b w:val="0"/>
          <w:i w:val="0"/>
          <w:color w:val="333333"/>
          <w:sz w:val="18"/>
        </w:rPr>
        <w:t>ness.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1,2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Since its initial release in 2000, the AMCP Format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has provided a framework to advise manufacturers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important evidence needed by health care decision-makers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(HCDMs) to evaluate new technologies for formulary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coverage consideration. The AMCP Format has been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basis for the development of dossiers by the industry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share clinical and economic evidence and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HCDMs who make formulary and coverage decisions. </w:t>
      </w:r>
      <w:r>
        <w:rPr>
          <w:rFonts w:ascii="Arial" w:hAnsi="Arial" w:eastAsia="Lora"/>
          <w:b w:val="0"/>
          <w:i w:val="0"/>
          <w:color w:val="333333"/>
          <w:sz w:val="18"/>
        </w:rPr>
        <w:t>While other value assessment frameworks exist,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the AMCP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Format is designed to provide a comprehensive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framework that considers all sources of information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formulary decision-making by HCDMs. Dossiers developed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communicated based on the guidance in the AMCP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Format are not considered promotional communications;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rather, these dossiers are responsive to the needs of </w:t>
      </w:r>
      <w:r>
        <w:rPr>
          <w:rFonts w:ascii="Arial" w:hAnsi="Arial" w:eastAsia="Lora"/>
          <w:b w:val="0"/>
          <w:i w:val="0"/>
          <w:color w:val="333333"/>
          <w:sz w:val="18"/>
        </w:rPr>
        <w:t>HCDMs in carrying out their responsibilities for the selec-</w:t>
      </w:r>
      <w:r>
        <w:rPr>
          <w:rFonts w:ascii="Arial" w:hAnsi="Arial" w:eastAsia="Lora"/>
          <w:b w:val="0"/>
          <w:i w:val="0"/>
          <w:color w:val="333333"/>
          <w:sz w:val="18"/>
        </w:rPr>
        <w:t>tion of products for coverage or reimbursement.</w:t>
      </w:r>
    </w:p>
    <w:p>
      <w:pPr>
        <w:autoSpaceDN w:val="0"/>
        <w:tabs>
          <w:tab w:pos="18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2020, the AMCP Format for Formulary Submissions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Committee updated the AMCP Format to Version 4.1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focus and modernize the bidirectional communication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between manufacturers and HCDMs specifically as it relates </w:t>
      </w:r>
      <w:r>
        <w:rPr>
          <w:rFonts w:ascii="Arial" w:hAnsi="Arial" w:eastAsia="Lora"/>
          <w:b w:val="0"/>
          <w:i w:val="0"/>
          <w:color w:val="333333"/>
          <w:sz w:val="18"/>
        </w:rPr>
        <w:t>to communication of pre-approval information.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3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AMCP Format Version 5.0 provides guidance on </w:t>
      </w:r>
      <w:r>
        <w:rPr>
          <w:rFonts w:ascii="Arial" w:hAnsi="Arial" w:eastAsia="Lora"/>
          <w:b w:val="0"/>
          <w:i w:val="0"/>
          <w:color w:val="333333"/>
          <w:sz w:val="18"/>
        </w:rPr>
        <w:t>developing pre-approval information exchange (PIE) docu-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ments; addresses digital therapeutics (DTx), real-world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evidence, and health disparities; and encourages brevity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streamlining of information throughout the dossier.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 need and are interested in receiving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from manufacturers about products seeking but having not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yet received United States Food and Drug Administration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(FDA) approval (also known as pipeline or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products) and unapproved uses of approved products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which FDA approval is being sought. This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assists HCDMs with their plans and budgets for future </w:t>
      </w:r>
      <w:r>
        <w:rPr>
          <w:rFonts w:ascii="Arial" w:hAnsi="Arial" w:eastAsia="Lora"/>
          <w:b w:val="0"/>
          <w:i w:val="0"/>
          <w:color w:val="333333"/>
          <w:sz w:val="18"/>
        </w:rPr>
        <w:t>coverage and reimbursement decisions well before prod-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ucts and new uses are approved by the FDA. The FDA final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guidance “Drug and Device Manufacturer Communications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Payors, Formulary Committees, and Similar Entities”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(FDA Final Guidance) released in June 2018 acknowledges </w:t>
      </w:r>
      <w:r>
        <w:rPr>
          <w:rFonts w:ascii="Arial" w:hAnsi="Arial" w:eastAsia="Lora"/>
          <w:b w:val="0"/>
          <w:i w:val="0"/>
          <w:color w:val="333333"/>
          <w:sz w:val="18"/>
        </w:rPr>
        <w:t>the needs of HCDMs to receive information about prod-</w:t>
      </w:r>
      <w:r>
        <w:rPr>
          <w:rFonts w:ascii="Arial" w:hAnsi="Arial" w:eastAsia="Lora"/>
          <w:b w:val="0"/>
          <w:i w:val="0"/>
          <w:color w:val="333333"/>
          <w:sz w:val="18"/>
        </w:rPr>
        <w:t>ucts in development.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Although that guidance applies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 communications that may otherwise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considered “promotion,” the AMCP Format applies to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development and communication of dossiers that  have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generally been considered responsive to HCDM needs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evidence and information for population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decision-making. In December 2022, the Pre-Approval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Exchange Act of 2022 (PIE Act) was signed </w:t>
      </w:r>
      <w:r>
        <w:rPr>
          <w:rFonts w:ascii="Arial" w:hAnsi="Arial" w:eastAsia="Lora"/>
          <w:b w:val="0"/>
          <w:i w:val="0"/>
          <w:color w:val="333333"/>
          <w:sz w:val="18"/>
        </w:rPr>
        <w:t>into law.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4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This legislation provided a clinical framework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by which pharmaceutical manufacturers could proactively </w:t>
      </w:r>
      <w:r>
        <w:rPr>
          <w:rFonts w:ascii="Arial" w:hAnsi="Arial" w:eastAsia="Lora"/>
          <w:b w:val="0"/>
          <w:i w:val="0"/>
          <w:color w:val="333333"/>
          <w:sz w:val="18"/>
        </w:rPr>
        <w:t>communicate pre-approval information to HCDMs.</w:t>
      </w:r>
    </w:p>
    <w:p>
      <w:pPr>
        <w:autoSpaceDN w:val="0"/>
        <w:autoSpaceDE w:val="0"/>
        <w:widowControl/>
        <w:spacing w:line="276" w:lineRule="auto" w:before="0" w:after="200"/>
        <w:ind w:left="156" w:right="67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AMCP encourages the use of dossiers based on the AMCP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Format Version 5.0 as a mechanism for manufacturers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communicate information about unapproved products,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approved products, and unapproved uses of 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products to HCDMs. Dossiers based on the AMCP Format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serve as a continuously evolving source of objective,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credible, and relevant information during the development </w:t>
      </w:r>
      <w:r>
        <w:rPr>
          <w:rFonts w:ascii="Arial" w:hAnsi="Arial" w:eastAsia="Lora"/>
          <w:b w:val="0"/>
          <w:i w:val="0"/>
          <w:color w:val="333333"/>
          <w:sz w:val="18"/>
        </w:rPr>
        <w:t>and commercial life cycle of products.</w:t>
      </w:r>
    </w:p>
    <w:p>
      <w:pPr>
        <w:autoSpaceDN w:val="0"/>
        <w:tabs>
          <w:tab w:pos="33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avoid confusion, throughout this document, the AMCP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Format for Formulary Submissions Committee has adopted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terminology used in the FDA Final Guidance to describe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approval status of a product or indication: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product, approved product, and unapproved use of 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approved product for which FDA approval is being sought.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manufacturers of drug products that have been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selected for Medicare negotiation under the Inflation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Reduction Act, there may be portions of this document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useful for the provision of related information to the </w:t>
      </w:r>
      <w:r>
        <w:rPr>
          <w:rFonts w:ascii="Arial" w:hAnsi="Arial" w:eastAsia="Lora"/>
          <w:b w:val="0"/>
          <w:i w:val="0"/>
          <w:color w:val="333333"/>
          <w:sz w:val="18"/>
        </w:rPr>
        <w:t>Centers for Medicare &amp; Medicaid Services (CMS).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5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6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718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>Role of the AMCP Format</w:t>
      </w:r>
    </w:p>
    <w:p>
      <w:pPr>
        <w:spacing w:line="276" w:lineRule="auto" w:after="200" w:before="0"/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evidentiary recommendations and guidelines outlined </w:t>
      </w:r>
      <w:r>
        <w:rPr>
          <w:rFonts w:ascii="Arial" w:hAnsi="Arial" w:eastAsia="Lora"/>
          <w:b w:val="0"/>
          <w:i w:val="0"/>
          <w:color w:val="333333"/>
          <w:sz w:val="18"/>
        </w:rPr>
        <w:t>in the AMCP Format are intended for use by manufactur-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ers to communicate clinical and economic evidence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to HCDMs who make or influence formulary,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coverage, policy, and reimbursement decisions for new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existing products. The AMCP Format is guidance, 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mandate. Manufacturers have final discretion on how to </w:t>
      </w:r>
      <w:r>
        <w:rPr>
          <w:rFonts w:ascii="Arial" w:hAnsi="Arial" w:eastAsia="Lora"/>
          <w:b w:val="0"/>
          <w:i w:val="0"/>
          <w:color w:val="333333"/>
          <w:sz w:val="18"/>
        </w:rPr>
        <w:t>communicate information for consideration by HCDMs.</w:t>
      </w:r>
    </w:p>
    <w:p>
      <w:pPr>
        <w:autoSpaceDN w:val="0"/>
        <w:tabs>
          <w:tab w:pos="900" w:val="left"/>
          <w:tab w:pos="1080" w:val="left"/>
        </w:tabs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The AMCP Format supports the informed review, assess-</w:t>
      </w:r>
      <w:r>
        <w:rPr>
          <w:rFonts w:ascii="Arial" w:hAnsi="Arial" w:eastAsia="Lora"/>
          <w:b w:val="0"/>
          <w:i w:val="0"/>
          <w:color w:val="333333"/>
          <w:sz w:val="18"/>
        </w:rPr>
        <w:t>ment, selection, and payment of medical products by: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Identifying the evidence needed for evaluating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clinical and economic value of medical products.</w:t>
      </w:r>
    </w:p>
    <w:p>
      <w:pPr>
        <w:autoSpaceDN w:val="0"/>
        <w:autoSpaceDE w:val="0"/>
        <w:widowControl/>
        <w:spacing w:line="276" w:lineRule="auto" w:before="0" w:after="200"/>
        <w:ind w:left="1080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Standardizing the synthesis and organization of the </w:t>
      </w:r>
      <w:r>
        <w:rPr>
          <w:rFonts w:ascii="Arial" w:hAnsi="Arial" w:eastAsia="Lora"/>
          <w:b w:val="0"/>
          <w:i w:val="0"/>
          <w:color w:val="333333"/>
          <w:sz w:val="18"/>
        </w:rPr>
        <w:t>evidence and information in a concise living docu-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ment, known as the “AMCP dossier” or “product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dossier,” that evolves with the life cycle of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from the pre-approval phase through the post- </w:t>
      </w:r>
      <w:r>
        <w:rPr>
          <w:rFonts w:ascii="Arial" w:hAnsi="Arial" w:eastAsia="Lora"/>
          <w:b w:val="0"/>
          <w:i w:val="0"/>
          <w:color w:val="333333"/>
          <w:sz w:val="18"/>
        </w:rPr>
        <w:t>approval period.</w:t>
      </w:r>
    </w:p>
    <w:p>
      <w:pPr>
        <w:autoSpaceDN w:val="0"/>
        <w:autoSpaceDE w:val="0"/>
        <w:widowControl/>
        <w:spacing w:line="276" w:lineRule="auto" w:before="0" w:after="200"/>
        <w:ind w:left="1080" w:right="15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Establishing a framework for the provision of objective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credible clinical and economic information needed </w:t>
      </w:r>
      <w:r>
        <w:rPr>
          <w:rFonts w:ascii="Arial" w:hAnsi="Arial" w:eastAsia="Lora"/>
          <w:b w:val="0"/>
          <w:i w:val="0"/>
          <w:color w:val="333333"/>
          <w:sz w:val="18"/>
        </w:rPr>
        <w:t>by HCDMs.</w:t>
      </w:r>
    </w:p>
    <w:p>
      <w:pPr>
        <w:autoSpaceDN w:val="0"/>
        <w:autoSpaceDE w:val="0"/>
        <w:widowControl/>
        <w:spacing w:line="276" w:lineRule="auto" w:before="0" w:after="200"/>
        <w:ind w:left="1080" w:right="15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Recommending economic analyses and models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project the cost-effectiveness and budgetary impact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HCDM’s organization and its patient or member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population, as well as to assess the overall economic </w:t>
      </w:r>
      <w:r>
        <w:rPr>
          <w:rFonts w:ascii="Arial" w:hAnsi="Arial" w:eastAsia="Lora"/>
          <w:b w:val="0"/>
          <w:i w:val="0"/>
          <w:color w:val="333333"/>
          <w:sz w:val="18"/>
        </w:rPr>
        <w:t>value of an approved product.</w:t>
      </w:r>
    </w:p>
    <w:p>
      <w:pPr>
        <w:autoSpaceDN w:val="0"/>
        <w:autoSpaceDE w:val="0"/>
        <w:widowControl/>
        <w:spacing w:line="276" w:lineRule="auto" w:before="0" w:after="200"/>
        <w:ind w:left="1080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Encouraging a clear and transparent bidirectional </w:t>
      </w:r>
      <w:r>
        <w:rPr>
          <w:rFonts w:ascii="Arial" w:hAnsi="Arial" w:eastAsia="Lora"/>
          <w:b w:val="0"/>
          <w:i w:val="0"/>
          <w:color w:val="333333"/>
          <w:sz w:val="18"/>
        </w:rPr>
        <w:t>communication and sharing process between manu-</w:t>
      </w:r>
      <w:r>
        <w:rPr>
          <w:rFonts w:ascii="Arial" w:hAnsi="Arial" w:eastAsia="Lora"/>
          <w:b w:val="0"/>
          <w:i w:val="0"/>
          <w:color w:val="333333"/>
          <w:sz w:val="18"/>
        </w:rPr>
        <w:t>facturers and HCDMs.</w:t>
      </w:r>
    </w:p>
    <w:p>
      <w:pPr>
        <w:autoSpaceDN w:val="0"/>
        <w:tabs>
          <w:tab w:pos="900" w:val="left"/>
          <w:tab w:pos="1080" w:val="left"/>
        </w:tabs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aim of the AMCP Format is to identify comprehensive </w:t>
      </w:r>
      <w:r>
        <w:rPr>
          <w:rFonts w:ascii="Arial" w:hAnsi="Arial" w:eastAsia="Lora"/>
          <w:b w:val="0"/>
          <w:i w:val="0"/>
          <w:color w:val="333333"/>
          <w:sz w:val="18"/>
        </w:rPr>
        <w:t>evidence and information elements that meet the evi-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dentiary needs of HCDMs. The AMCP Format is designed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encourage sharing of objective, credible, and relevant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on medical products. Specifically, the AMCP </w:t>
      </w:r>
      <w:r>
        <w:rPr>
          <w:rFonts w:ascii="Arial" w:hAnsi="Arial" w:eastAsia="Lora"/>
          <w:b w:val="0"/>
          <w:i w:val="0"/>
          <w:color w:val="333333"/>
          <w:sz w:val="18"/>
        </w:rPr>
        <w:t>Format seeks to meet two important goals: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Improve the timeliness, scope, quality, and relevance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clinical and economic evidence and information pro-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vided by manufacturers to HCDMs to enable HCDMs to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assess and compare the clinical outcomes and economic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consequences of a product relative to existing alterna-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tives. The AMCP Format furnishes manufacturers with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recommendations and guidelines on the nature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presentation of evidence and information expected.</w:t>
      </w:r>
    </w:p>
    <w:p>
      <w:pPr>
        <w:autoSpaceDN w:val="0"/>
        <w:autoSpaceDE w:val="0"/>
        <w:widowControl/>
        <w:spacing w:line="276" w:lineRule="auto" w:before="0" w:after="200"/>
        <w:ind w:left="1080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Streamline the evidence and information acquisition </w:t>
      </w:r>
      <w:r>
        <w:rPr>
          <w:rFonts w:ascii="Arial" w:hAnsi="Arial" w:eastAsia="Lora"/>
          <w:b w:val="0"/>
          <w:i w:val="0"/>
          <w:color w:val="333333"/>
          <w:sz w:val="18"/>
        </w:rPr>
        <w:t>and review process for HCDMs. A product’s manu-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facturer may be a valuable source of evidence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needed by HCDMs when planning for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assessing a product for formulary, coverage, policy,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reimbursement decisions. The standardized </w:t>
      </w:r>
    </w:p>
    <w:p>
      <w:pPr>
        <w:spacing w:line="276" w:lineRule="auto" w:after="200" w:before="0"/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516" w:right="20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presentation allows HCDMs to formally evaluate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completeness of submissions received and to easily add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the results of their own systematic literature reviews </w:t>
      </w:r>
      <w:r>
        <w:rPr>
          <w:rFonts w:ascii="Arial" w:hAnsi="Arial" w:eastAsia="Lora"/>
          <w:b w:val="0"/>
          <w:i w:val="0"/>
          <w:color w:val="333333"/>
          <w:sz w:val="18"/>
        </w:rPr>
        <w:t>and analyses.</w:t>
      </w:r>
    </w:p>
    <w:p>
      <w:pPr>
        <w:autoSpaceDN w:val="0"/>
        <w:autoSpaceDE w:val="0"/>
        <w:widowControl/>
        <w:spacing w:line="276" w:lineRule="auto" w:before="0" w:after="200"/>
        <w:ind w:left="156" w:right="20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AMCP developed the AMCP Format as a template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guidance for developing dossiers, which have become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among the most widely recognized standard source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 and economic evidence and information for HCDMs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request and receive from manufacturers for evaluating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products. AMCP encourages manufacturers to develop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communicate dossiers according to the AMCP Format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for HCDMs to use dossiers in their product evaluation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process. AMCP and the Format for Formulary Submissions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Committee recognize that, while other organizations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release formats, guidelines, and value frameworks,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adoption and use of dossiers developed according to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 Format should be regarded as a best practice for the </w:t>
      </w:r>
      <w:r>
        <w:rPr>
          <w:rFonts w:ascii="Arial" w:hAnsi="Arial" w:eastAsia="Lora"/>
          <w:b w:val="0"/>
          <w:i w:val="0"/>
          <w:color w:val="333333"/>
          <w:sz w:val="18"/>
        </w:rPr>
        <w:t>formulary review process by health care organizations.</w:t>
      </w:r>
    </w:p>
    <w:p>
      <w:pPr>
        <w:autoSpaceDN w:val="0"/>
        <w:tabs>
          <w:tab w:pos="336" w:val="left"/>
        </w:tabs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The AMCP Format provides recommendations for pre-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senting evidence and information in a dossier that 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necessary to support a comprehensive assessment of a </w:t>
      </w:r>
      <w:r>
        <w:rPr>
          <w:rFonts w:ascii="Arial" w:hAnsi="Arial" w:eastAsia="Lora"/>
          <w:b w:val="0"/>
          <w:i w:val="0"/>
          <w:color w:val="333333"/>
          <w:sz w:val="18"/>
        </w:rPr>
        <w:t>medical product such as clinical benefit, safety, and eco-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nomic impact. It is the manufacturer’s responsibility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convey such evidence and information in a truthful and </w:t>
      </w:r>
      <w:r>
        <w:rPr>
          <w:rFonts w:ascii="Arial" w:hAnsi="Arial" w:eastAsia="Lora"/>
          <w:b w:val="0"/>
          <w:i w:val="0"/>
          <w:color w:val="333333"/>
          <w:sz w:val="18"/>
        </w:rPr>
        <w:t>nonmisleading way that meets currently accepted stan-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dards for evidence-based medicine and health technology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assessment (HTA). Likewise, it is the HCDM’s responsibility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critically evaluate the evidence supplied according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currently accepted and published approaches to Pharmacy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Therapeutics (P&amp;T) Committee review processes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formulary decision-making best practices, which have been </w:t>
      </w:r>
      <w:r>
        <w:rPr>
          <w:rFonts w:ascii="Arial" w:hAnsi="Arial" w:eastAsia="Lora"/>
          <w:b w:val="0"/>
          <w:i w:val="0"/>
          <w:color w:val="333333"/>
          <w:sz w:val="18"/>
        </w:rPr>
        <w:t>reported in the literature.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6-8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Submission of dossiers based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AMCP Format by manufacturers to HCDMs does 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guarantee positive decisions or formulary acceptance.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Since 2000, the AMCP Format has provided guidance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on the development of approved product </w:t>
      </w:r>
      <w:r>
        <w:rPr>
          <w:rFonts w:ascii="Arial" w:hAnsi="Arial" w:eastAsia="Lora"/>
          <w:b w:val="0"/>
          <w:i w:val="0"/>
          <w:color w:val="333333"/>
          <w:sz w:val="18"/>
        </w:rPr>
        <w:t>dossiers, which are communicated to HCDMs only by unso-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licited requests (reactive communication), because these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dossiers may contain information that extends beyond,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are sometimes inconsistent with, products’ prescribing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information/package insert (PI) or FDA-approved labeling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(i.e., any and all off-label uses). The increasing need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 to evaluate products before regulatory approval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market launch has long been a concern and has been </w:t>
      </w:r>
      <w:r>
        <w:rPr>
          <w:rFonts w:ascii="Arial" w:hAnsi="Arial" w:eastAsia="Lora"/>
          <w:b w:val="0"/>
          <w:i w:val="0"/>
          <w:color w:val="333333"/>
          <w:sz w:val="18"/>
        </w:rPr>
        <w:t>recognized by the FDA and Congress.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3,9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The AMCP Format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Version 5.0 provides guidance on developing PIE resources </w:t>
      </w:r>
      <w:r>
        <w:rPr>
          <w:rFonts w:ascii="Arial" w:hAnsi="Arial" w:eastAsia="Lora"/>
          <w:b w:val="0"/>
          <w:i w:val="0"/>
          <w:color w:val="333333"/>
          <w:sz w:val="18"/>
        </w:rPr>
        <w:t>and addressing DTx, real-world evidence, and health dis-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parities, while encouraging brevity. </w:t>
      </w:r>
    </w:p>
    <w:p>
      <w:pPr>
        <w:spacing w:line="276" w:lineRule="auto" w:after="200" w:before="0"/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42.0" w:type="dxa"/>
      </w:tblPr>
      <w:tblGrid>
        <w:gridCol w:w="4871"/>
        <w:gridCol w:w="4871"/>
      </w:tblGrid>
      <w:tr>
        <w:trPr>
          <w:trHeight w:hRule="exact" w:val="38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>General Definitions And Considerations</w:t>
      </w:r>
    </w:p>
    <w:p>
      <w:pPr>
        <w:spacing w:line="276" w:lineRule="auto" w:after="200" w:before="0"/>
        <w:sectPr>
          <w:pgSz w:w="11880" w:h="15660"/>
          <w:pgMar w:top="360" w:right="0" w:bottom="266" w:left="6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2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defines certain key terms—dossier,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decision-maker (HCDM), manufacturer, product, approval, </w:t>
      </w:r>
      <w:r>
        <w:rPr>
          <w:rFonts w:ascii="Arial" w:hAnsi="Arial" w:eastAsia="Lora"/>
          <w:b w:val="0"/>
          <w:i w:val="0"/>
          <w:color w:val="333333"/>
          <w:sz w:val="18"/>
        </w:rPr>
        <w:t>communication between manufacturers and HCDMs, confi-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dentiality, updating dossiers, dossier page limits, submission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dossiers, and pre-approval information exchange—that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used throughout the AMCP Format and provide certain </w:t>
      </w:r>
      <w:r>
        <w:rPr>
          <w:rFonts w:ascii="Arial" w:hAnsi="Arial" w:eastAsia="Lora"/>
          <w:b w:val="0"/>
          <w:i w:val="0"/>
          <w:color w:val="333333"/>
          <w:sz w:val="18"/>
        </w:rPr>
        <w:t>logistical considerations on the development and com-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munication of dossiers based on the AMCP Format. </w:t>
      </w:r>
    </w:p>
    <w:p>
      <w:pPr>
        <w:autoSpaceDN w:val="0"/>
        <w:autoSpaceDE w:val="0"/>
        <w:widowControl/>
        <w:spacing w:line="276" w:lineRule="auto" w:before="0" w:after="200"/>
        <w:ind w:left="22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Dossier</w:t>
      </w:r>
    </w:p>
    <w:p>
      <w:pPr>
        <w:autoSpaceDN w:val="0"/>
        <w:autoSpaceDE w:val="0"/>
        <w:widowControl/>
        <w:spacing w:line="276" w:lineRule="auto" w:before="0" w:after="200"/>
        <w:ind w:left="22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According to the AMCP Format, a “dossier” refers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comprehensive and concise report containing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economic evidence and information about a medical </w:t>
      </w:r>
      <w:r>
        <w:rPr>
          <w:rFonts w:ascii="Arial" w:hAnsi="Arial" w:eastAsia="Lora"/>
          <w:b w:val="0"/>
          <w:i w:val="0"/>
          <w:color w:val="333333"/>
          <w:sz w:val="18"/>
        </w:rPr>
        <w:t>product that is developed and communicated by the manu-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facturer to HCDMs for the purpose of formulary, coverage, </w:t>
      </w:r>
      <w:r>
        <w:rPr>
          <w:rFonts w:ascii="Arial" w:hAnsi="Arial" w:eastAsia="Lora"/>
          <w:b w:val="0"/>
          <w:i w:val="0"/>
          <w:color w:val="333333"/>
          <w:sz w:val="18"/>
        </w:rPr>
        <w:t>policy, and reimbursement decision-making.</w:t>
      </w:r>
    </w:p>
    <w:p>
      <w:pPr>
        <w:autoSpaceDN w:val="0"/>
        <w:autoSpaceDE w:val="0"/>
        <w:widowControl/>
        <w:spacing w:line="276" w:lineRule="auto" w:before="0" w:after="200"/>
        <w:ind w:left="22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In 2019, the AMCP Format Version 4.1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10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expanded its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recommendations to provide guidance on the development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communication of dossiers for unapproved products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unapproved uses of approved products for which FDA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approval is being sought in order to meet HCDMs’ evidence </w:t>
      </w:r>
      <w:r>
        <w:rPr>
          <w:rFonts w:ascii="Arial" w:hAnsi="Arial" w:eastAsia="Lora"/>
          <w:b w:val="0"/>
          <w:i w:val="0"/>
          <w:color w:val="333333"/>
          <w:sz w:val="18"/>
        </w:rPr>
        <w:t>and information needs, adding to the long-standing guid-</w:t>
      </w:r>
      <w:r>
        <w:rPr>
          <w:rFonts w:ascii="Arial" w:hAnsi="Arial" w:eastAsia="Lora"/>
          <w:b w:val="0"/>
          <w:i w:val="0"/>
          <w:color w:val="333333"/>
          <w:sz w:val="18"/>
        </w:rPr>
        <w:t>ance for the traditional dossier for approved products.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It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important to understand the characteristics of dossiers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developed at different  phases of a product’s life cycle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the rationale for such differences. However, it is also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important to highlight that while HCDMs’ evidentiary needs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generally the same whenever they are reviewing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assessing products for formulary, coverage, policy,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reimbursement decisions, the type and amount of available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evidence and information is dependent on the life cycle </w:t>
      </w:r>
      <w:r>
        <w:rPr>
          <w:rFonts w:ascii="Arial" w:hAnsi="Arial" w:eastAsia="Lora"/>
          <w:b w:val="0"/>
          <w:i w:val="0"/>
          <w:color w:val="333333"/>
          <w:sz w:val="18"/>
        </w:rPr>
        <w:t>of the product (e.g., clinical development phase vs. post-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marketing phase vs. loss of patent exclusivity). Thus, it is </w:t>
      </w:r>
      <w:r>
        <w:rPr>
          <w:rFonts w:ascii="Arial" w:hAnsi="Arial" w:eastAsia="Lora"/>
          <w:b w:val="0"/>
          <w:i w:val="0"/>
          <w:color w:val="333333"/>
          <w:sz w:val="18"/>
        </w:rPr>
        <w:t>important to define the following:</w:t>
      </w:r>
    </w:p>
    <w:p>
      <w:pPr>
        <w:autoSpaceDN w:val="0"/>
        <w:tabs>
          <w:tab w:pos="382" w:val="left"/>
          <w:tab w:pos="562" w:val="left"/>
        </w:tabs>
        <w:autoSpaceDE w:val="0"/>
        <w:widowControl/>
        <w:spacing w:line="276" w:lineRule="auto" w:before="0" w:after="200"/>
        <w:ind w:left="202" w:right="144" w:firstLine="0"/>
        <w:jc w:val="left"/>
      </w:pPr>
      <w:r>
        <w:rPr>
          <w:rFonts w:ascii="Arial" w:hAnsi="Arial" w:eastAsia="Lora"/>
          <w:b w:val="0"/>
          <w:i/>
          <w:color w:val="333333"/>
          <w:sz w:val="18"/>
        </w:rPr>
        <w:t>1. Unapproved Product Dossier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Contains information about a product for which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initial FDA approval will be or is being sought.</w:t>
      </w:r>
    </w:p>
    <w:p>
      <w:pPr>
        <w:autoSpaceDN w:val="0"/>
        <w:autoSpaceDE w:val="0"/>
        <w:widowControl/>
        <w:spacing w:line="276" w:lineRule="auto" w:before="0" w:after="200"/>
        <w:ind w:left="288" w:right="144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>• Is used by manufacturers to communicate informa-</w:t>
      </w:r>
      <w:r>
        <w:rPr>
          <w:rFonts w:ascii="Arial" w:hAnsi="Arial" w:eastAsia="Lora"/>
          <w:b w:val="0"/>
          <w:i w:val="0"/>
          <w:color w:val="333333"/>
          <w:sz w:val="18"/>
        </w:rPr>
        <w:t>tion to HCDMs before FDA approval of the product.</w:t>
      </w:r>
    </w:p>
    <w:p>
      <w:pPr>
        <w:autoSpaceDN w:val="0"/>
        <w:tabs>
          <w:tab w:pos="382" w:val="left"/>
          <w:tab w:pos="562" w:val="left"/>
        </w:tabs>
        <w:autoSpaceDE w:val="0"/>
        <w:widowControl/>
        <w:spacing w:line="276" w:lineRule="auto" w:before="0" w:after="200"/>
        <w:ind w:left="202" w:right="144" w:firstLine="0"/>
        <w:jc w:val="left"/>
      </w:pPr>
      <w:r>
        <w:rPr>
          <w:rFonts w:ascii="Arial" w:hAnsi="Arial" w:eastAsia="Lora"/>
          <w:b w:val="0"/>
          <w:i/>
          <w:color w:val="333333"/>
          <w:sz w:val="18"/>
        </w:rPr>
        <w:t>2. Approved Product Dossier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Contains information about a product that has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received FDA approval.</w:t>
      </w:r>
    </w:p>
    <w:p>
      <w:pPr>
        <w:autoSpaceDN w:val="0"/>
        <w:autoSpaceDE w:val="0"/>
        <w:widowControl/>
        <w:spacing w:line="276" w:lineRule="auto" w:before="0" w:after="200"/>
        <w:ind w:left="562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Is used by manufacturers to respond to unsolicited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requests from HCDMs after FDA approval of the </w:t>
      </w:r>
      <w:r>
        <w:rPr>
          <w:rFonts w:ascii="Arial" w:hAnsi="Arial" w:eastAsia="Lora"/>
          <w:b w:val="0"/>
          <w:i w:val="0"/>
          <w:color w:val="333333"/>
          <w:sz w:val="18"/>
        </w:rPr>
        <w:t>product (dossier contains on-label and any/all off-</w:t>
      </w:r>
      <w:r>
        <w:rPr>
          <w:rFonts w:ascii="Arial" w:hAnsi="Arial" w:eastAsia="Lora"/>
          <w:b w:val="0"/>
          <w:i w:val="0"/>
          <w:color w:val="333333"/>
          <w:sz w:val="18"/>
        </w:rPr>
        <w:t>label information).</w:t>
      </w:r>
    </w:p>
    <w:p>
      <w:pPr>
        <w:autoSpaceDN w:val="0"/>
        <w:tabs>
          <w:tab w:pos="382" w:val="left"/>
        </w:tabs>
        <w:autoSpaceDE w:val="0"/>
        <w:widowControl/>
        <w:spacing w:line="276" w:lineRule="auto" w:before="0" w:after="200"/>
        <w:ind w:left="202" w:right="144" w:firstLine="0"/>
        <w:jc w:val="left"/>
      </w:pPr>
      <w:r>
        <w:rPr>
          <w:rFonts w:ascii="Arial" w:hAnsi="Arial" w:eastAsia="Lora"/>
          <w:b w:val="0"/>
          <w:i/>
          <w:color w:val="333333"/>
          <w:sz w:val="18"/>
        </w:rPr>
        <w:t>3. Unapproved Use Dossier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Contains information about off-label uses for which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698" w:header="720" w:footer="720" w:gutter="0"/>
          <w:cols w:num="2" w:equalWidth="0">
            <w:col w:w="5254" w:space="0"/>
            <w:col w:w="592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8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the manufacturer is seeking FDA approval.</w:t>
      </w:r>
    </w:p>
    <w:p>
      <w:pPr>
        <w:autoSpaceDN w:val="0"/>
        <w:autoSpaceDE w:val="0"/>
        <w:widowControl/>
        <w:spacing w:line="276" w:lineRule="auto" w:before="0" w:after="200"/>
        <w:ind w:left="686" w:right="576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Is used by manufacturers to communicate informa-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to HCDMs about unapproved uses of an 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for which the manufacturer is seeking FDA </w:t>
      </w:r>
      <w:r>
        <w:rPr>
          <w:rFonts w:ascii="Arial" w:hAnsi="Arial" w:eastAsia="Lora"/>
          <w:b w:val="0"/>
          <w:i w:val="0"/>
          <w:color w:val="333333"/>
          <w:sz w:val="18"/>
        </w:rPr>
        <w:t>approval.</w:t>
      </w:r>
    </w:p>
    <w:p>
      <w:pPr>
        <w:autoSpaceDN w:val="0"/>
        <w:autoSpaceDE w:val="0"/>
        <w:widowControl/>
        <w:spacing w:line="276" w:lineRule="auto" w:before="0" w:after="200"/>
        <w:ind w:left="146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PRODUCT DOSSIER LIFE CYCLE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dossiers developed by manufacturers can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viewed as living documents that evolve and are updated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when new evidence and information become available over </w:t>
      </w:r>
      <w:r>
        <w:rPr>
          <w:rFonts w:ascii="Arial" w:hAnsi="Arial" w:eastAsia="Lora"/>
          <w:b w:val="0"/>
          <w:i w:val="0"/>
          <w:color w:val="333333"/>
          <w:sz w:val="18"/>
        </w:rPr>
        <w:t>the course of the product’s life cycle.</w:t>
      </w:r>
    </w:p>
    <w:p>
      <w:pPr>
        <w:autoSpaceDN w:val="0"/>
        <w:autoSpaceDE w:val="0"/>
        <w:widowControl/>
        <w:spacing w:line="276" w:lineRule="auto" w:before="0" w:after="200"/>
        <w:ind w:left="146" w:right="694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To illustrate, if the manufacturer chooses to develop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 Unapproved Product Dossier, it is updated during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pre-approval period as evidence and information become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available. At the time of FDA approval of the product,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should retire the Unapproved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 by converting it to an Approved Product Dossier.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Approved Product Dossier is then updated throughout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post-approval period. An Unapproved Product Dossier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an Approved Product Dossier do not coexist during the </w:t>
      </w:r>
      <w:r>
        <w:rPr>
          <w:rFonts w:ascii="Arial" w:hAnsi="Arial" w:eastAsia="Lora"/>
          <w:b w:val="0"/>
          <w:i w:val="0"/>
          <w:color w:val="333333"/>
          <w:sz w:val="18"/>
        </w:rPr>
        <w:t>product life cycle. See Figure 1.</w:t>
      </w:r>
    </w:p>
    <w:p>
      <w:pPr>
        <w:autoSpaceDN w:val="0"/>
        <w:autoSpaceDE w:val="0"/>
        <w:widowControl/>
        <w:spacing w:line="276" w:lineRule="auto" w:before="0" w:after="200"/>
        <w:ind w:left="146" w:right="576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Subsequently, the manufacturer may choose to develop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 Unapproved Use Dossier during the post-approval </w:t>
      </w:r>
      <w:r>
        <w:rPr>
          <w:rFonts w:ascii="Arial" w:hAnsi="Arial" w:eastAsia="Lora"/>
          <w:b w:val="0"/>
          <w:i w:val="0"/>
          <w:color w:val="333333"/>
          <w:sz w:val="18"/>
        </w:rPr>
        <w:t>period. The Unapproved Use Dossier is a separate docu-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 that the manufacturer may use to communicate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with HCDMs on an unapproved use for which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is seeking FDA approval. While the </w:t>
      </w:r>
      <w:r>
        <w:rPr>
          <w:rFonts w:ascii="Arial" w:hAnsi="Arial" w:eastAsia="Lora"/>
          <w:b w:val="0"/>
          <w:i w:val="0"/>
          <w:color w:val="333333"/>
          <w:sz w:val="18"/>
        </w:rPr>
        <w:t>Approved Product Dossier includes evidence and informa-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about the approved uses and any and all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uses that are supported by evidence, an Unapproved Use </w:t>
      </w:r>
      <w:r>
        <w:rPr>
          <w:rFonts w:ascii="Arial" w:hAnsi="Arial" w:eastAsia="Lora"/>
          <w:b w:val="0"/>
          <w:i w:val="0"/>
          <w:color w:val="333333"/>
          <w:sz w:val="18"/>
        </w:rPr>
        <w:t>dossier only includes information on any and all unap-</w:t>
      </w:r>
      <w:r>
        <w:rPr>
          <w:rFonts w:ascii="Arial" w:hAnsi="Arial" w:eastAsia="Lora"/>
          <w:b w:val="0"/>
          <w:i w:val="0"/>
          <w:color w:val="333333"/>
          <w:sz w:val="18"/>
        </w:rPr>
        <w:t>proved uses for which FDA approval is being sought.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3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AMCP Format for Formulary Submissions Committee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recognizes that the manufacturer may need to maintain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two documents during the post-marketing period (e.g.,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Approved Product Dossier containing all approved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information and the Unapproved Use Dossier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containing information on only the unapproved use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which FDA approval is being sought). If there are multiple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uses for which FDA approval is being sought, </w:t>
      </w:r>
      <w:r>
        <w:rPr>
          <w:rFonts w:ascii="Arial" w:hAnsi="Arial" w:eastAsia="Lora"/>
          <w:b w:val="0"/>
          <w:i w:val="0"/>
          <w:color w:val="333333"/>
          <w:sz w:val="18"/>
        </w:rPr>
        <w:t>it is at the manufacturer’s discretion to include all unap-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proved uses in one Unapproved Use Dossier or develop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separate Unapproved Use Dossiers for each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use. Finally, once an unapproved use is approved by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FDA, the Approved Product Dossier should be updated,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Unapproved Use Dossier should be retired for that use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updated by removing information for the newly approved </w:t>
      </w:r>
      <w:r>
        <w:rPr>
          <w:rFonts w:ascii="Arial" w:hAnsi="Arial" w:eastAsia="Lora"/>
          <w:b w:val="0"/>
          <w:i w:val="0"/>
          <w:color w:val="333333"/>
          <w:sz w:val="18"/>
        </w:rPr>
        <w:t>use from the Unapproved Use Dossier.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698" w:header="720" w:footer="720" w:gutter="0"/>
          <w:cols w:num="2" w:equalWidth="0">
            <w:col w:w="5254" w:space="0"/>
            <w:col w:w="592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  <w:r>
        <w:rPr>
          <w:rFonts w:ascii="Arial" w:hAnsi="Arial"/>
          <w:color w:val="333333"/>
          <w:sz w:val="21"/>
        </w:rP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546100</wp:posOffset>
            </wp:positionH>
            <wp:positionV relativeFrom="page">
              <wp:posOffset>1981200</wp:posOffset>
            </wp:positionV>
            <wp:extent cx="6464300" cy="104140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64300" cy="1041400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Arial" w:hAnsi="Arial"/>
          <w:color w:val="333333"/>
          <w:sz w:val="21"/>
        </w:rP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4381500</wp:posOffset>
            </wp:positionH>
            <wp:positionV relativeFrom="page">
              <wp:posOffset>3073400</wp:posOffset>
            </wp:positionV>
            <wp:extent cx="1790700" cy="4699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46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3263"/>
        <w:gridCol w:w="3263"/>
        <w:gridCol w:w="3263"/>
      </w:tblGrid>
      <w:tr>
        <w:trPr>
          <w:trHeight w:hRule="exact" w:val="1444"/>
        </w:trPr>
        <w:tc>
          <w:tcPr>
            <w:tcW w:type="dxa" w:w="394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8</w:t>
            </w:r>
          </w:p>
        </w:tc>
        <w:tc>
          <w:tcPr>
            <w:tcW w:type="dxa" w:w="10086"/>
            <w:gridSpan w:val="2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  <w:tr>
        <w:trPr>
          <w:trHeight w:hRule="exact" w:val="390"/>
        </w:trPr>
        <w:tc>
          <w:tcPr>
            <w:tcW w:type="dxa" w:w="1380"/>
            <w:gridSpan w:val="2"/>
            <w:tcBorders>
              <w:top w:sz="3.5999999046325684" w:val="single" w:color="#474B55"/>
              <w:bottom w:sz="16.0" w:val="single" w:color="#474B55"/>
            </w:tcBorders>
            <w:shd w:fill="474b5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>FIGURE 1</w:t>
            </w:r>
          </w:p>
        </w:tc>
        <w:tc>
          <w:tcPr>
            <w:tcW w:type="dxa" w:w="9100"/>
            <w:tcBorders>
              <w:top w:sz="3.5999999046325684" w:val="single" w:color="#474B55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8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20"/>
              </w:rPr>
              <w:t>AMCP Dossier Relative to Major Milestone Events of a Product’s Life Cycle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0.0" w:type="dxa"/>
      </w:tblPr>
      <w:tblGrid>
        <w:gridCol w:w="1223"/>
        <w:gridCol w:w="1223"/>
        <w:gridCol w:w="1223"/>
        <w:gridCol w:w="1223"/>
        <w:gridCol w:w="1223"/>
        <w:gridCol w:w="1223"/>
        <w:gridCol w:w="1223"/>
        <w:gridCol w:w="1223"/>
      </w:tblGrid>
      <w:tr>
        <w:trPr>
          <w:trHeight w:hRule="exact" w:val="210"/>
        </w:trPr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5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4"/>
              </w:rPr>
              <w:t xml:space="preserve">Product Dossier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4"/>
              </w:rPr>
              <w:t xml:space="preserve">is a living document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4"/>
              </w:rPr>
              <w:t>that evolves over time.</w:t>
            </w:r>
          </w:p>
        </w:tc>
        <w:tc>
          <w:tcPr>
            <w:tcW w:type="dxa" w:w="31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80" w:right="2016" w:hanging="44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 xml:space="preserve">UNAPPROVED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 xml:space="preserve">PRODUCT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>DOSSIER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9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>APPROVED</w:t>
            </w:r>
          </w:p>
        </w:tc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44" w:right="576" w:firstLine="0"/>
              <w:jc w:val="center"/>
            </w:pPr>
            <w:r>
              <w:rPr>
                <w:color w:val="333333"/>
                <w:w w:val="98.0066696802775"/>
                <w:rFonts w:ascii="Arial" w:hAnsi="Arial" w:eastAsia="Asap"/>
                <w:b/>
                <w:i w:val="0"/>
                <w:sz w:val="12"/>
              </w:rPr>
              <w:t xml:space="preserve">sNDA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color w:val="333333"/>
                <w:w w:val="98.0066696802775"/>
                <w:rFonts w:ascii="Arial" w:hAnsi="Arial" w:eastAsia="Asap"/>
                <w:b/>
                <w:i w:val="0"/>
                <w:sz w:val="12"/>
              </w:rPr>
              <w:t>SUBMISSION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20" w:right="288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 xml:space="preserve">REVISED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>APPROVED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98.0066696802775"/>
                <w:rFonts w:ascii="Arial" w:hAnsi="Arial" w:eastAsia="Asap"/>
                <w:b/>
                <w:i w:val="0"/>
                <w:sz w:val="12"/>
              </w:rPr>
              <w:t>PATENT EXPIRY</w:t>
            </w:r>
          </w:p>
        </w:tc>
      </w:tr>
      <w:tr>
        <w:trPr>
          <w:trHeight w:hRule="exact" w:val="46"/>
        </w:trPr>
        <w:tc>
          <w:tcPr>
            <w:tcW w:type="dxa" w:w="1223"/>
            <w:vMerge/>
            <w:tcBorders/>
          </w:tcPr>
          <w:p/>
        </w:tc>
        <w:tc>
          <w:tcPr>
            <w:tcW w:type="dxa" w:w="3669"/>
            <w:gridSpan w:val="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20" w:right="288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 xml:space="preserve">PRODUCT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>DOSSIER</w:t>
            </w:r>
          </w:p>
        </w:tc>
        <w:tc>
          <w:tcPr>
            <w:tcW w:type="dxa" w:w="1223"/>
            <w:vMerge/>
            <w:tcBorders/>
          </w:tcPr>
          <w:p/>
        </w:tc>
      </w:tr>
      <w:tr>
        <w:trPr>
          <w:trHeight w:hRule="exact" w:val="674"/>
        </w:trPr>
        <w:tc>
          <w:tcPr>
            <w:tcW w:type="dxa" w:w="1223"/>
            <w:vMerge/>
            <w:tcBorders/>
          </w:tcPr>
          <w:p/>
        </w:tc>
        <w:tc>
          <w:tcPr>
            <w:tcW w:type="dxa" w:w="3669"/>
            <w:gridSpan w:val="3"/>
            <w:vMerge/>
            <w:tcBorders/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44" w:right="432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 xml:space="preserve">PRODUCT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>DOSSIER</w:t>
            </w:r>
          </w:p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</w:tr>
      <w:tr>
        <w:trPr>
          <w:trHeight w:hRule="exact" w:val="700"/>
        </w:trPr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374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4"/>
              </w:rPr>
              <w:t>PHASE 1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3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4"/>
              </w:rPr>
              <w:t>PHASE 2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14"/>
              </w:rPr>
              <w:t>PHASE 3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44" w:right="432" w:firstLine="0"/>
              <w:jc w:val="center"/>
            </w:pPr>
            <w:r>
              <w:rPr>
                <w:color w:val="333333"/>
                <w:w w:val="98.0066696802775"/>
                <w:rFonts w:ascii="Arial" w:hAnsi="Arial" w:eastAsia="Asap"/>
                <w:b/>
                <w:i w:val="0"/>
                <w:sz w:val="12"/>
              </w:rPr>
              <w:t xml:space="preserve">NDA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color w:val="333333"/>
                <w:w w:val="98.0066696802775"/>
                <w:rFonts w:ascii="Arial" w:hAnsi="Arial" w:eastAsia="Asap"/>
                <w:b/>
                <w:i w:val="0"/>
                <w:sz w:val="12"/>
              </w:rPr>
              <w:t>SUBMISSION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44" w:firstLine="0"/>
              <w:jc w:val="center"/>
            </w:pPr>
            <w:r>
              <w:rPr>
                <w:color w:val="333333"/>
                <w:w w:val="98.0066696802775"/>
                <w:rFonts w:ascii="Arial" w:hAnsi="Arial" w:eastAsia="Asap"/>
                <w:b/>
                <w:i w:val="0"/>
                <w:sz w:val="12"/>
              </w:rPr>
              <w:t xml:space="preserve">FDA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color w:val="333333"/>
                <w:w w:val="98.0066696802775"/>
                <w:rFonts w:ascii="Arial" w:hAnsi="Arial" w:eastAsia="Asap"/>
                <w:b/>
                <w:i w:val="0"/>
                <w:sz w:val="12"/>
              </w:rPr>
              <w:t xml:space="preserve">APPROVAL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color w:val="333333"/>
                <w:w w:val="98.0066696802775"/>
                <w:rFonts w:ascii="Arial" w:hAnsi="Arial" w:eastAsia="Asap"/>
                <w:b/>
                <w:i w:val="0"/>
                <w:sz w:val="12"/>
              </w:rPr>
              <w:t>of PRODUCT</w:t>
            </w:r>
          </w:p>
        </w:tc>
        <w:tc>
          <w:tcPr>
            <w:tcW w:type="dxa" w:w="1223"/>
            <w:vMerge/>
            <w:tcBorders/>
          </w:tcPr>
          <w:p/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76" w:right="144" w:firstLine="0"/>
              <w:jc w:val="center"/>
            </w:pPr>
            <w:r>
              <w:rPr>
                <w:color w:val="333333"/>
                <w:w w:val="98.0066696802775"/>
                <w:rFonts w:ascii="Arial" w:hAnsi="Arial" w:eastAsia="Asap"/>
                <w:b/>
                <w:i w:val="0"/>
                <w:sz w:val="12"/>
              </w:rPr>
              <w:t xml:space="preserve">FDA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color w:val="333333"/>
                <w:w w:val="98.0066696802775"/>
                <w:rFonts w:ascii="Arial" w:hAnsi="Arial" w:eastAsia="Asap"/>
                <w:b/>
                <w:i w:val="0"/>
                <w:sz w:val="12"/>
              </w:rPr>
              <w:t xml:space="preserve">APPROVAL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color w:val="333333"/>
                <w:w w:val="98.0066696802775"/>
                <w:rFonts w:ascii="Arial" w:hAnsi="Arial" w:eastAsia="Asap"/>
                <w:b/>
                <w:i w:val="0"/>
                <w:sz w:val="12"/>
              </w:rPr>
              <w:t>of NEW USE</w:t>
            </w:r>
          </w:p>
        </w:tc>
        <w:tc>
          <w:tcPr>
            <w:tcW w:type="dxa" w:w="1223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52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50" w:right="0" w:firstLine="0"/>
              <w:jc w:val="left"/>
            </w:pPr>
            <w:r>
              <w:rPr>
                <w:color w:val="333333"/>
                <w:w w:val="98.0066696802775"/>
                <w:rFonts w:ascii="Arial" w:hAnsi="Arial" w:eastAsia="Lora"/>
                <w:b/>
                <w:i w:val="0"/>
                <w:sz w:val="12"/>
              </w:rPr>
              <w:t>EARLY</w:t>
            </w:r>
          </w:p>
        </w:tc>
        <w:tc>
          <w:tcPr>
            <w:tcW w:type="dxa" w:w="1223"/>
            <w:vMerge/>
            <w:tcBorders/>
          </w:tcPr>
          <w:p/>
        </w:tc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46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>UNAPPROVED USE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228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>UNAPPROVED USE</w:t>
            </w:r>
          </w:p>
        </w:tc>
        <w:tc>
          <w:tcPr>
            <w:tcW w:type="dxa" w:w="1223"/>
            <w:vMerge/>
            <w:tcBorders/>
          </w:tcPr>
          <w:p/>
        </w:tc>
      </w:tr>
      <w:tr>
        <w:trPr>
          <w:trHeight w:hRule="exact" w:val="56"/>
        </w:trPr>
        <w:tc>
          <w:tcPr>
            <w:tcW w:type="dxa" w:w="524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3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4"/>
              </w:rPr>
              <w:t xml:space="preserve">An Unapproved Use Dossier is a separate document that may coexist with an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4"/>
              </w:rPr>
              <w:t>Approved Product Dossier while seeking FDA for the unapproved use</w:t>
            </w:r>
          </w:p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</w:tr>
      <w:tr>
        <w:trPr>
          <w:trHeight w:hRule="exact" w:val="332"/>
        </w:trPr>
        <w:tc>
          <w:tcPr>
            <w:tcW w:type="dxa" w:w="4892"/>
            <w:gridSpan w:val="4"/>
            <w:vMerge/>
            <w:tcBorders/>
          </w:tcPr>
          <w:p/>
        </w:tc>
        <w:tc>
          <w:tcPr>
            <w:tcW w:type="dxa" w:w="1223"/>
            <w:vMerge/>
            <w:tcBorders/>
          </w:tcPr>
          <w:p/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88" w:right="864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 xml:space="preserve">PRODUCT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>DOSSIER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20" w:right="288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 xml:space="preserve">PRODUCT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/>
                <w:i w:val="0"/>
                <w:color w:val="333333"/>
                <w:sz w:val="7"/>
              </w:rPr>
              <w:t>DOSSIER</w:t>
            </w:r>
          </w:p>
        </w:tc>
        <w:tc>
          <w:tcPr>
            <w:tcW w:type="dxa" w:w="122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6" w:lineRule="auto" w:before="0" w:after="200"/>
        <w:ind w:left="720" w:right="0" w:firstLine="0"/>
        <w:jc w:val="left"/>
      </w:pPr>
      <w:r>
        <w:rPr>
          <w:rFonts w:ascii="Arial" w:hAnsi="Arial" w:eastAsia="Lora"/>
          <w:b w:val="0"/>
          <w:i/>
          <w:color w:val="333333"/>
          <w:sz w:val="16"/>
        </w:rPr>
        <w:t>For illustrative purposes only. Timeline is not to scale.</w:t>
      </w:r>
    </w:p>
    <w:p>
      <w:pPr>
        <w:autoSpaceDN w:val="0"/>
        <w:autoSpaceDE w:val="0"/>
        <w:widowControl/>
        <w:spacing w:line="276" w:lineRule="auto" w:before="0" w:after="200"/>
        <w:ind w:left="720" w:right="0" w:firstLine="0"/>
        <w:jc w:val="left"/>
      </w:pPr>
      <w:r>
        <w:rPr>
          <w:rFonts w:ascii="Arial" w:hAnsi="Arial" w:eastAsia="Lora"/>
          <w:b w:val="0"/>
          <w:i/>
          <w:color w:val="333333"/>
          <w:sz w:val="16"/>
        </w:rPr>
        <w:t xml:space="preserve">Milestone events shown may vary and may not be all-inclusive of a product’s life cycle. Manufacturer has discretion on the development of </w:t>
      </w:r>
      <w:r>
        <w:rPr>
          <w:rFonts w:ascii="Arial" w:hAnsi="Arial" w:eastAsia="Lora"/>
          <w:b w:val="0"/>
          <w:i/>
          <w:color w:val="333333"/>
          <w:sz w:val="16"/>
        </w:rPr>
        <w:t>dossiers at all stages of the product’s life cycle.</w:t>
      </w:r>
    </w:p>
    <w:p>
      <w:pPr>
        <w:autoSpaceDN w:val="0"/>
        <w:autoSpaceDE w:val="0"/>
        <w:widowControl/>
        <w:spacing w:line="276" w:lineRule="auto" w:before="0" w:after="200"/>
        <w:ind w:left="720" w:right="1440" w:firstLine="0"/>
        <w:jc w:val="left"/>
      </w:pPr>
      <w:r>
        <w:rPr>
          <w:rFonts w:ascii="Arial" w:hAnsi="Arial" w:eastAsia="Lora"/>
          <w:b w:val="0"/>
          <w:i w:val="0"/>
          <w:color w:val="333333"/>
          <w:sz w:val="16"/>
        </w:rPr>
        <w:t xml:space="preserve">AMCP = Academy of Managed Care Pharmacy; FDA = U.S. Food and Drug Administration; NDA = new drug application; </w:t>
      </w:r>
      <w:r>
        <w:rPr>
          <w:rFonts w:ascii="Arial" w:hAnsi="Arial" w:eastAsia="Lora"/>
          <w:b w:val="0"/>
          <w:i w:val="0"/>
          <w:color w:val="333333"/>
          <w:sz w:val="16"/>
        </w:rPr>
        <w:t>sNDA = supplemental new drug application.</w:t>
      </w:r>
    </w:p>
    <w:p>
      <w:pPr>
        <w:spacing w:line="276" w:lineRule="auto" w:after="200" w:before="0"/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720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In summary, an Unapproved Product Dossier is con-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verted into the Approved Product Dossier at the time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FDA approval. During the post-marketing period, 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Use Dossier may be developed separately from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Approved Product Dossier if FDA approval is being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sought for the unapproved use. Following FDA approval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new use, the Unapproved Use Dossier is either retired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updated (if it contains more than one unapproved use)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the Approved Product Dossier is updated to reflect the </w:t>
      </w:r>
      <w:r>
        <w:rPr>
          <w:rFonts w:ascii="Arial" w:hAnsi="Arial" w:eastAsia="Lora"/>
          <w:b w:val="0"/>
          <w:i w:val="0"/>
          <w:color w:val="333333"/>
          <w:sz w:val="18"/>
        </w:rPr>
        <w:t>approved use.</w:t>
      </w:r>
    </w:p>
    <w:p>
      <w:pPr>
        <w:autoSpaceDN w:val="0"/>
        <w:autoSpaceDE w:val="0"/>
        <w:widowControl/>
        <w:spacing w:line="276" w:lineRule="auto" w:before="0" w:after="200"/>
        <w:ind w:left="720" w:right="156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evidence and information elements recommended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the AMCP Format are guidelines only; there is room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 discretion. It is fully understood that certain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elements may not be provided by manufacturers for a </w:t>
      </w:r>
    </w:p>
    <w:p>
      <w:pPr>
        <w:spacing w:line="276" w:lineRule="auto" w:after="200" w:before="0"/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variety of reasons (e.g., timing, availability, regulatory, legal,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compliance, confidentiality, or manufacturer discretion). </w:t>
      </w:r>
    </w:p>
    <w:p>
      <w:pPr>
        <w:autoSpaceDN w:val="0"/>
        <w:autoSpaceDE w:val="0"/>
        <w:widowControl/>
        <w:spacing w:line="276" w:lineRule="auto" w:before="0" w:after="200"/>
        <w:ind w:left="156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Creation and communication of dossiers by manufactur-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ers must comply with current laws, regulations, and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manufacturers’ own policies, procedures, and compliance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programs. At all times, development and communication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dossiers are at the discretion of manufacturers (e.g., a </w:t>
      </w:r>
      <w:r>
        <w:rPr>
          <w:rFonts w:ascii="Arial" w:hAnsi="Arial" w:eastAsia="Lora"/>
          <w:b w:val="0"/>
          <w:i w:val="0"/>
          <w:color w:val="333333"/>
          <w:sz w:val="18"/>
        </w:rPr>
        <w:t>manufacturer may opt out of creating and providing dos-</w:t>
      </w:r>
      <w:r>
        <w:rPr>
          <w:rFonts w:ascii="Arial" w:hAnsi="Arial" w:eastAsia="Lora"/>
          <w:b w:val="0"/>
          <w:i w:val="0"/>
          <w:color w:val="333333"/>
          <w:sz w:val="18"/>
        </w:rPr>
        <w:t>siers to HCDMs).</w:t>
      </w:r>
    </w:p>
    <w:p>
      <w:pPr>
        <w:autoSpaceDN w:val="0"/>
        <w:autoSpaceDE w:val="0"/>
        <w:widowControl/>
        <w:spacing w:line="276" w:lineRule="auto" w:before="0" w:after="200"/>
        <w:ind w:left="156" w:right="20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Table 1 summarizes key characteristics of each type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dossier. Readers should refer to the more detailed guidance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evidentiary needs and recommendations about each </w:t>
      </w:r>
      <w:r>
        <w:rPr>
          <w:rFonts w:ascii="Arial" w:hAnsi="Arial" w:eastAsia="Lora"/>
          <w:b w:val="0"/>
          <w:i w:val="0"/>
          <w:color w:val="333333"/>
          <w:sz w:val="18"/>
        </w:rPr>
        <w:t>type of dossier described later within the AMCP Format.</w:t>
      </w:r>
    </w:p>
    <w:p>
      <w:pPr>
        <w:spacing w:line="276" w:lineRule="auto" w:after="200" w:before="0"/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2.00000000000003" w:type="dxa"/>
      </w:tblPr>
      <w:tblGrid>
        <w:gridCol w:w="3247"/>
        <w:gridCol w:w="3247"/>
        <w:gridCol w:w="3247"/>
      </w:tblGrid>
      <w:tr>
        <w:trPr>
          <w:trHeight w:hRule="exact" w:val="1444"/>
        </w:trPr>
        <w:tc>
          <w:tcPr>
            <w:tcW w:type="dxa" w:w="1194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8770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378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9</w:t>
            </w:r>
          </w:p>
        </w:tc>
      </w:tr>
      <w:tr>
        <w:trPr>
          <w:trHeight w:hRule="exact" w:val="562"/>
        </w:trPr>
        <w:tc>
          <w:tcPr>
            <w:tcW w:type="dxa" w:w="1194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8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>TABLE 1</w:t>
            </w:r>
          </w:p>
        </w:tc>
        <w:tc>
          <w:tcPr>
            <w:tcW w:type="dxa" w:w="8770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60" w:right="1152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20"/>
              </w:rPr>
              <w:t xml:space="preserve">Comparison of Dossiers Developed for an Unapproved Product, Approved Product,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20"/>
              </w:rPr>
              <w:t>and Unapproved Use of an Approved Product</w:t>
            </w:r>
          </w:p>
        </w:tc>
        <w:tc>
          <w:tcPr>
            <w:tcW w:type="dxa" w:w="378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623"/>
        <w:gridCol w:w="1623"/>
        <w:gridCol w:w="1623"/>
        <w:gridCol w:w="1623"/>
        <w:gridCol w:w="1623"/>
        <w:gridCol w:w="1623"/>
      </w:tblGrid>
      <w:tr>
        <w:trPr>
          <w:trHeight w:hRule="exact" w:val="326"/>
        </w:trPr>
        <w:tc>
          <w:tcPr>
            <w:tcW w:type="dxa" w:w="2686"/>
            <w:tcBorders>
              <w:top w:sz="16.0" w:val="single" w:color="#474B55"/>
              <w:end w:sz="4.4079999923706055" w:val="single" w:color="#FFFFFF"/>
              <w:bottom w:sz="8.824000358581543" w:val="single" w:color="#FFFFFF"/>
            </w:tcBorders>
            <w:shd w:fill="c6c8c7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750"/>
            <w:gridSpan w:val="2"/>
            <w:tcBorders>
              <w:start w:sz="4.4079999923706055" w:val="single" w:color="#FFFFFF"/>
              <w:top w:sz="16.0" w:val="single" w:color="#474B55"/>
              <w:end w:sz="4.4079999923706055" w:val="single" w:color="#FFFFFF"/>
              <w:bottom w:sz="8.824000358581543" w:val="single" w:color="#FFFFFF"/>
            </w:tcBorders>
            <w:shd w:fill="c6c8c7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Unapproved Product Dossier</w:t>
            </w:r>
          </w:p>
        </w:tc>
        <w:tc>
          <w:tcPr>
            <w:tcW w:type="dxa" w:w="2272"/>
            <w:tcBorders>
              <w:start w:sz="4.4079999923706055" w:val="single" w:color="#FFFFFF"/>
              <w:top w:sz="16.0" w:val="single" w:color="#474B55"/>
              <w:end w:sz="4.4079999923706055" w:val="single" w:color="#FFFFFF"/>
              <w:bottom w:sz="8.824000358581543" w:val="single" w:color="#FFFFFF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Approved Product Dossier</w:t>
            </w:r>
          </w:p>
        </w:tc>
        <w:tc>
          <w:tcPr>
            <w:tcW w:type="dxa" w:w="2768"/>
            <w:gridSpan w:val="2"/>
            <w:tcBorders>
              <w:start w:sz="4.4079999923706055" w:val="single" w:color="#FFFFFF"/>
              <w:top w:sz="16.0" w:val="single" w:color="#474B55"/>
              <w:bottom w:sz="8.824000358581543" w:val="single" w:color="#FFFFFF"/>
            </w:tcBorders>
            <w:shd w:fill="c6c8c7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Unapproved Use Dossier</w:t>
            </w:r>
          </w:p>
        </w:tc>
      </w:tr>
      <w:tr>
        <w:trPr>
          <w:trHeight w:hRule="exact" w:val="1916"/>
        </w:trPr>
        <w:tc>
          <w:tcPr>
            <w:tcW w:type="dxa" w:w="2686"/>
            <w:tcBorders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8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What is it?</w:t>
            </w:r>
          </w:p>
        </w:tc>
        <w:tc>
          <w:tcPr>
            <w:tcW w:type="dxa" w:w="2750"/>
            <w:gridSpan w:val="2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 document containing factual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presentations of evidence supporting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the development of an unapproved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product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No characterizations/ conclusions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should be made regarding the safety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or effectiveness of the unapproved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product</w:t>
            </w:r>
          </w:p>
        </w:tc>
        <w:tc>
          <w:tcPr>
            <w:tcW w:type="dxa" w:w="2272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Comprehensive document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containing clinical and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economic evidence and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information about an FDA-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approved product, including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unapproved use information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supported by evidence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2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Used to convey the overall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value proposition of the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product</w:t>
            </w:r>
          </w:p>
        </w:tc>
        <w:tc>
          <w:tcPr>
            <w:tcW w:type="dxa" w:w="2768"/>
            <w:gridSpan w:val="2"/>
            <w:tcBorders>
              <w:start w:sz="4.4079999923706055" w:val="single" w:color="#FFFFFF"/>
              <w:top w:sz="8.824000358581543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 document containing factual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presentations of evidence supporting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the development of unapproved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use(s) for which FDA approval is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being sought for an FDA-approved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product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2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No characterizations/ conclusions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should be made regarding the safety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or effectiveness of the approved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product for unapproved use(s)</w:t>
            </w:r>
          </w:p>
        </w:tc>
      </w:tr>
      <w:tr>
        <w:trPr>
          <w:trHeight w:hRule="exact" w:val="1338"/>
        </w:trPr>
        <w:tc>
          <w:tcPr>
            <w:tcW w:type="dxa" w:w="2686"/>
            <w:tcBorders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8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How is it used?</w:t>
            </w:r>
          </w:p>
        </w:tc>
        <w:tc>
          <w:tcPr>
            <w:tcW w:type="dxa" w:w="2750"/>
            <w:gridSpan w:val="2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Used per the manufacturer’s discre-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tion to communicate information to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HCDMs before FDA approval of the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product</w:t>
            </w:r>
          </w:p>
        </w:tc>
        <w:tc>
          <w:tcPr>
            <w:tcW w:type="dxa" w:w="2272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Used by the manufacturer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to respond to unsolicited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requests from HCDMs after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FDA approval of the product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(dossier contains approved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and unapproved use[s]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information)</w:t>
            </w:r>
          </w:p>
        </w:tc>
        <w:tc>
          <w:tcPr>
            <w:tcW w:type="dxa" w:w="2768"/>
            <w:gridSpan w:val="2"/>
            <w:tcBorders>
              <w:start w:sz="4.4079999923706055" w:val="single" w:color="#C6C8C7"/>
              <w:top w:sz="4.4079999923706055" w:val="single" w:color="#FFFFFF"/>
              <w:bottom w:sz="8.824000358581543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Used per the manufacturer’s discre-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tion to communicate information to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HCDMs about unapproved use(s) for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which FDA approval is being sought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for an FDA-approved product</w:t>
            </w:r>
          </w:p>
        </w:tc>
      </w:tr>
      <w:tr>
        <w:trPr>
          <w:trHeight w:hRule="exact" w:val="1408"/>
        </w:trPr>
        <w:tc>
          <w:tcPr>
            <w:tcW w:type="dxa" w:w="2686"/>
            <w:tcBorders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8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Can the product value proposition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or value story be communicated?</w:t>
            </w:r>
          </w:p>
        </w:tc>
        <w:tc>
          <w:tcPr>
            <w:tcW w:type="dxa" w:w="2750"/>
            <w:gridSpan w:val="2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Factual evidence grounded in clinical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and economic evidence and informa-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tion may be provided.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No characterizations or conclusions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should be made regarding the safety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or effectiveness of the unapproved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product</w:t>
            </w:r>
          </w:p>
        </w:tc>
        <w:tc>
          <w:tcPr>
            <w:tcW w:type="dxa" w:w="2272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Value that is grounded in clini-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cal and economic evidence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and information should be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described</w:t>
            </w:r>
          </w:p>
        </w:tc>
        <w:tc>
          <w:tcPr>
            <w:tcW w:type="dxa" w:w="2768"/>
            <w:gridSpan w:val="2"/>
            <w:tcBorders>
              <w:start w:sz="4.4079999923706055" w:val="single" w:color="#FFFFFF"/>
              <w:top w:sz="8.824000358581543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Factual evidence grounded in clinical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and economic information may be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provided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2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No characterizations or conclusions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should be made regarding the safety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or effectiveness of the approved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product for unapproved use(s)</w:t>
            </w:r>
          </w:p>
        </w:tc>
      </w:tr>
      <w:tr>
        <w:trPr>
          <w:trHeight w:hRule="exact" w:val="1408"/>
        </w:trPr>
        <w:tc>
          <w:tcPr>
            <w:tcW w:type="dxa" w:w="2686"/>
            <w:tcBorders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8" w:right="144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When should the manufacturer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have the dossier ready for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HCDMs?</w:t>
            </w:r>
          </w:p>
        </w:tc>
        <w:tc>
          <w:tcPr>
            <w:tcW w:type="dxa" w:w="2750"/>
            <w:gridSpan w:val="2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432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At the manufacturer’s discretion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Typically, 6-12 months prior to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anticipated FDA approval.</w:t>
            </w:r>
          </w:p>
        </w:tc>
        <w:tc>
          <w:tcPr>
            <w:tcW w:type="dxa" w:w="2272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Any time after FDA approval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of the product; at the discre-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tion of the manufacturer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2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Typically, soon after FDA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approval and availability of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the product approved label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and price</w:t>
            </w:r>
          </w:p>
        </w:tc>
        <w:tc>
          <w:tcPr>
            <w:tcW w:type="dxa" w:w="2768"/>
            <w:gridSpan w:val="2"/>
            <w:tcBorders>
              <w:start w:sz="4.4079999923706055" w:val="single" w:color="#C6C8C7"/>
              <w:top w:sz="4.4079999923706055" w:val="single" w:color="#FFFFFF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Any time while the manufacturer is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seeking FDA approval for unapproved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use(s) of the approved product at the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discretion of the manufacturer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2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Typically, based on a key milestone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at the manufacturer’s discretion</w:t>
            </w:r>
          </w:p>
        </w:tc>
      </w:tr>
      <w:tr>
        <w:trPr>
          <w:trHeight w:hRule="exact" w:val="686"/>
        </w:trPr>
        <w:tc>
          <w:tcPr>
            <w:tcW w:type="dxa" w:w="2686"/>
            <w:tcBorders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8" w:right="144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Who from the manufacturer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should communicate or provide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the dossier?</w:t>
            </w:r>
          </w:p>
        </w:tc>
        <w:tc>
          <w:tcPr>
            <w:tcW w:type="dxa" w:w="7790"/>
            <w:gridSpan w:val="5"/>
            <w:tcBorders>
              <w:start w:sz="4.4079999923706055" w:val="single" w:color="#FFFFFF"/>
              <w:top w:sz="8.824000358581543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Personnel with appropriate medical/clinical/scientific credentials, expertise, and responsibilities</w:t>
            </w:r>
          </w:p>
        </w:tc>
      </w:tr>
      <w:tr>
        <w:trPr>
          <w:trHeight w:hRule="exact" w:val="1580"/>
        </w:trPr>
        <w:tc>
          <w:tcPr>
            <w:tcW w:type="dxa" w:w="2686"/>
            <w:tcBorders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44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What clinical content about the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product should be in the dossier?</w:t>
            </w:r>
          </w:p>
        </w:tc>
        <w:tc>
          <w:tcPr>
            <w:tcW w:type="dxa" w:w="2684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Factual presentation of clinical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evidence for the unapproved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product that is available at the time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of communication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No characterizations/ conclusions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should be made regarding the safety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or effectiveness of the unapproved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product</w:t>
            </w:r>
          </w:p>
        </w:tc>
        <w:tc>
          <w:tcPr>
            <w:tcW w:type="dxa" w:w="2402"/>
            <w:gridSpan w:val="3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Clinical evidence and informa-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tion regarding an approved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product, including any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unapproved use(s) supported by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evidence</w:t>
            </w:r>
          </w:p>
        </w:tc>
        <w:tc>
          <w:tcPr>
            <w:tcW w:type="dxa" w:w="2704"/>
            <w:tcBorders>
              <w:start w:sz="4.4079999923706055" w:val="single" w:color="#C6C8C7"/>
              <w:top w:sz="4.4079999923706055" w:val="single" w:color="#FFFFFF"/>
              <w:bottom w:sz="8.82400035858154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Factual presentation of clinical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evidence for unapproved use of an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approved product that is available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at the time of communication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No characterizations/ conclusions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should be made regarding the safety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or effectiveness of the unapproved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use</w:t>
            </w:r>
          </w:p>
        </w:tc>
      </w:tr>
      <w:tr>
        <w:trPr>
          <w:trHeight w:hRule="exact" w:val="1238"/>
        </w:trPr>
        <w:tc>
          <w:tcPr>
            <w:tcW w:type="dxa" w:w="2686"/>
            <w:tcBorders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8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What economic content about the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product should be in  the dossier?</w:t>
            </w:r>
          </w:p>
        </w:tc>
        <w:tc>
          <w:tcPr>
            <w:tcW w:type="dxa" w:w="2684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Anticipated product price (may be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reflected as a range)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4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The manufacturer has discretion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on whether and how to provide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economic information</w:t>
            </w:r>
          </w:p>
        </w:tc>
        <w:tc>
          <w:tcPr>
            <w:tcW w:type="dxa" w:w="2402"/>
            <w:gridSpan w:val="3"/>
            <w:tcBorders>
              <w:start w:sz="4.4079999923706055" w:val="single" w:color="#FFFFFF"/>
              <w:top w:sz="8.824000358581543" w:val="single" w:color="#FFFFFF"/>
              <w:end w:sz="4.4079999923706055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Product price, health economics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and outcomes research, eco-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nomic models on budget impact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and cost-effectiveness</w:t>
            </w:r>
          </w:p>
        </w:tc>
        <w:tc>
          <w:tcPr>
            <w:tcW w:type="dxa" w:w="2704"/>
            <w:tcBorders>
              <w:start w:sz="4.4079999923706055" w:val="single" w:color="#FFFFFF"/>
              <w:top w:sz="8.824000358581543" w:val="single" w:color="#FFFFFF"/>
              <w:bottom w:sz="4.4079999923706055" w:val="single" w:color="#FFFFFF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Current product price or anticipated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new product price or range if unap-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proved use(s) are approved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4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The manufacturer has discretion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on whether and how to provide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economic information</w:t>
            </w:r>
          </w:p>
        </w:tc>
      </w:tr>
      <w:tr>
        <w:trPr>
          <w:trHeight w:hRule="exact" w:val="1068"/>
        </w:trPr>
        <w:tc>
          <w:tcPr>
            <w:tcW w:type="dxa" w:w="2686"/>
            <w:tcBorders>
              <w:top w:sz="4.4079999923706055" w:val="single" w:color="#FFFFFF"/>
              <w:end w:sz="4.4079999923706055" w:val="single" w:color="#C6C8C7"/>
              <w:bottom w:sz="16.0" w:val="single" w:color="#474B55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8" w:right="432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When should the dossier be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updated?</w:t>
            </w:r>
          </w:p>
        </w:tc>
        <w:tc>
          <w:tcPr>
            <w:tcW w:type="dxa" w:w="2684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16.0" w:val="single" w:color="#474B55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When new information becomes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available and at the discretion of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the manufacturer</w:t>
            </w:r>
          </w:p>
        </w:tc>
        <w:tc>
          <w:tcPr>
            <w:tcW w:type="dxa" w:w="2402"/>
            <w:gridSpan w:val="3"/>
            <w:tcBorders>
              <w:start w:sz="4.4079999923706055" w:val="single" w:color="#C6C8C7"/>
              <w:top w:sz="4.4079999923706055" w:val="single" w:color="#FFFFFF"/>
              <w:end w:sz="4.4079999923706055" w:val="single" w:color="#C6C8C7"/>
              <w:bottom w:sz="16.0" w:val="single" w:color="#474B55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When new information becomes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available for approved or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unapproved indications at the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discretion of the manufacturer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2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When new use(s) are approved</w:t>
            </w:r>
          </w:p>
        </w:tc>
        <w:tc>
          <w:tcPr>
            <w:tcW w:type="dxa" w:w="2704"/>
            <w:tcBorders>
              <w:start w:sz="4.4079999923706055" w:val="single" w:color="#C6C8C7"/>
              <w:top w:sz="4.4079999923706055" w:val="single" w:color="#FFFFFF"/>
              <w:bottom w:sz="16.0" w:val="single" w:color="#474B55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4" w:right="352" w:firstLine="0"/>
              <w:jc w:val="both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When new information becomes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available at the discretion of the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manufacturer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150" w:right="0" w:firstLine="0"/>
        <w:jc w:val="left"/>
      </w:pPr>
      <w:r>
        <w:rPr>
          <w:rFonts w:ascii="Arial" w:hAnsi="Arial" w:eastAsia="Lora"/>
          <w:b w:val="0"/>
          <w:i/>
          <w:color w:val="333333"/>
          <w:sz w:val="18"/>
        </w:rPr>
        <w:t>FDA = U.S. Food and Drug Administration; HCDM = health care decision-maker.</w:t>
      </w:r>
    </w:p>
    <w:p>
      <w:pPr>
        <w:spacing w:line="276" w:lineRule="auto" w:after="200" w:before="0"/>
        <w:sectPr>
          <w:pgSz w:w="11880" w:h="15660"/>
          <w:pgMar w:top="360" w:right="0" w:bottom="266" w:left="7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904"/>
        <w:gridCol w:w="490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10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3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74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Health Care Decision-Maker </w:t>
      </w:r>
    </w:p>
    <w:p>
      <w:pPr>
        <w:autoSpaceDN w:val="0"/>
        <w:autoSpaceDE w:val="0"/>
        <w:widowControl/>
        <w:spacing w:line="276" w:lineRule="auto" w:before="0" w:after="200"/>
        <w:ind w:left="74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term “health care decision-maker” (HCDM) is used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throughout this document to refer to any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>personnel, committee, or organization that uses an evi-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dence-based process for making health care coverage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reimbursement decisions for patient populations, including,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but not limited to payers, health plans, integrated delivery </w:t>
      </w:r>
      <w:r>
        <w:rPr>
          <w:rFonts w:ascii="Arial" w:hAnsi="Arial" w:eastAsia="Lora"/>
          <w:b w:val="0"/>
          <w:i w:val="0"/>
          <w:color w:val="333333"/>
          <w:sz w:val="18"/>
        </w:rPr>
        <w:t>systems, pharmacy benefit management companies, spe-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cialty pharmacies, health insurance companies, medical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groups, hospitals, health systems, P&amp;T Committees, HTA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organizations, clinical practice guideline bodies, and other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organized health care systems that make or influence </w:t>
      </w:r>
      <w:r>
        <w:rPr>
          <w:rFonts w:ascii="Arial" w:hAnsi="Arial" w:eastAsia="Lora"/>
          <w:b w:val="0"/>
          <w:i w:val="0"/>
          <w:color w:val="333333"/>
          <w:sz w:val="18"/>
        </w:rPr>
        <w:t>population-based health care decisions.</w:t>
      </w:r>
    </w:p>
    <w:p>
      <w:pPr>
        <w:autoSpaceDN w:val="0"/>
        <w:autoSpaceDE w:val="0"/>
        <w:widowControl/>
        <w:spacing w:line="276" w:lineRule="auto" w:before="0" w:after="200"/>
        <w:ind w:left="74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Manufacturer</w:t>
      </w:r>
    </w:p>
    <w:p>
      <w:pPr>
        <w:autoSpaceDN w:val="0"/>
        <w:autoSpaceDE w:val="0"/>
        <w:widowControl/>
        <w:spacing w:line="276" w:lineRule="auto" w:before="0" w:after="200"/>
        <w:ind w:left="740" w:right="156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term “manufacturer” is used throughout this document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refer to any company that develops, manufactures,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markets medical products, such as pharmaceuticals, DTx, </w:t>
      </w:r>
      <w:r>
        <w:rPr>
          <w:rFonts w:ascii="Arial" w:hAnsi="Arial" w:eastAsia="Lora"/>
          <w:b w:val="0"/>
          <w:i w:val="0"/>
          <w:color w:val="333333"/>
          <w:sz w:val="18"/>
        </w:rPr>
        <w:t>diagnostic tests, or medical devices.</w:t>
      </w:r>
    </w:p>
    <w:p>
      <w:pPr>
        <w:autoSpaceDN w:val="0"/>
        <w:autoSpaceDE w:val="0"/>
        <w:widowControl/>
        <w:spacing w:line="276" w:lineRule="auto" w:before="0" w:after="200"/>
        <w:ind w:left="74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Product</w:t>
      </w:r>
    </w:p>
    <w:p>
      <w:pPr>
        <w:autoSpaceDN w:val="0"/>
        <w:autoSpaceDE w:val="0"/>
        <w:widowControl/>
        <w:spacing w:line="276" w:lineRule="auto" w:before="0" w:after="200"/>
        <w:ind w:left="74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term “product” used throughout this document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includes medical products such as pharmaceuticals, DTx,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diagnostic tests, or medical devices. The AMCP Format </w:t>
      </w:r>
      <w:r>
        <w:rPr>
          <w:rFonts w:ascii="Arial" w:hAnsi="Arial" w:eastAsia="Lora"/>
          <w:b w:val="0"/>
          <w:i w:val="0"/>
          <w:color w:val="333333"/>
          <w:sz w:val="18"/>
        </w:rPr>
        <w:t>was originally developed to address evidence for pharma-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ceutical products (drugs, biologics, and vaccines); however,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today, the AMCP Format aims to also provide guidance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developing dossiers for nonpharmaceutical products, such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 DTx, tests (e.g., companion diagnostic tests [CDTs]),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medical devices (e.g., syringes, glucometers, wearable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technology) that may be relevant to formulary and medical </w:t>
      </w:r>
      <w:r>
        <w:rPr>
          <w:rFonts w:ascii="Arial" w:hAnsi="Arial" w:eastAsia="Lora"/>
          <w:b w:val="0"/>
          <w:i w:val="0"/>
          <w:color w:val="333333"/>
          <w:sz w:val="18"/>
        </w:rPr>
        <w:t>policy decisions.</w:t>
      </w:r>
    </w:p>
    <w:p>
      <w:pPr>
        <w:autoSpaceDN w:val="0"/>
        <w:autoSpaceDE w:val="0"/>
        <w:widowControl/>
        <w:spacing w:line="276" w:lineRule="auto" w:before="0" w:after="200"/>
        <w:ind w:left="74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Approval</w:t>
      </w:r>
    </w:p>
    <w:p>
      <w:pPr>
        <w:autoSpaceDN w:val="0"/>
        <w:autoSpaceDE w:val="0"/>
        <w:widowControl/>
        <w:spacing w:line="276" w:lineRule="auto" w:before="0" w:after="200"/>
        <w:ind w:left="740" w:right="156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term “approval” is used throughout this document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general term to reflect the appropriate FDA regulatory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decision-making process needed before the product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commercialized. These decision-making processes may </w:t>
      </w:r>
      <w:r>
        <w:rPr>
          <w:rFonts w:ascii="Arial" w:hAnsi="Arial" w:eastAsia="Lora"/>
          <w:b w:val="0"/>
          <w:i w:val="0"/>
          <w:color w:val="333333"/>
          <w:sz w:val="18"/>
        </w:rPr>
        <w:t>include FDA approval, clearance, licensures, etc.</w:t>
      </w:r>
    </w:p>
    <w:p>
      <w:pPr>
        <w:autoSpaceDN w:val="0"/>
        <w:autoSpaceDE w:val="0"/>
        <w:widowControl/>
        <w:spacing w:line="276" w:lineRule="auto" w:before="0" w:after="200"/>
        <w:ind w:left="740" w:right="1296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Communication Between </w:t>
      </w:r>
      <w:r>
        <w:rPr>
          <w:rFonts w:ascii="Arial" w:hAnsi="Arial" w:eastAsia="Asap"/>
          <w:b/>
          <w:i w:val="0"/>
          <w:color w:val="333333"/>
          <w:sz w:val="32"/>
        </w:rPr>
        <w:t>Manufacturers And HCDMs</w:t>
      </w:r>
    </w:p>
    <w:p>
      <w:pPr>
        <w:autoSpaceDN w:val="0"/>
        <w:autoSpaceDE w:val="0"/>
        <w:widowControl/>
        <w:spacing w:line="276" w:lineRule="auto" w:before="0" w:after="200"/>
        <w:ind w:left="740" w:right="156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AMCP Format for Formulary Submissions Committee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strongly recommends that manufacturer personnel with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appropriate medical, scientific, or clinical training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credentials are the most appropriate to communicate, </w:t>
      </w:r>
    </w:p>
    <w:p>
      <w:pPr>
        <w:spacing w:line="276" w:lineRule="auto" w:after="200" w:before="0"/>
        <w:sectPr>
          <w:type w:val="continuous"/>
          <w:pgSz w:w="11880" w:h="15660"/>
          <w:pgMar w:top="360" w:right="632" w:bottom="266" w:left="0" w:header="720" w:footer="720" w:gutter="0"/>
          <w:cols w:num="2" w:equalWidth="0">
            <w:col w:w="598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20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provide, present, share, and discuss Unapproved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Dossiers and Unapproved Use Dossiers and their contents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HCDMs. This recommendation is based on feedback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by AMCP Format for Formulary Submissions Committee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members and individual stakeholders representing payer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organizations who have expressed the preference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appropriately trained and credentialed personnel with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 or scientific degrees (e.g., PharmD, MD, PhD)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who possess medical, scientific, or health economics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outcomes research roles and responsibilities within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 to deliver clinical and economic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(e.g., not sales, marketing, or account managers). However, </w:t>
      </w:r>
      <w:r>
        <w:rPr>
          <w:rFonts w:ascii="Arial" w:hAnsi="Arial" w:eastAsia="Lora"/>
          <w:b w:val="0"/>
          <w:i w:val="0"/>
          <w:color w:val="333333"/>
          <w:sz w:val="18"/>
        </w:rPr>
        <w:t>manufacturers may use their own discretion on this issue.</w:t>
      </w: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COMMUNICATION OF HEALTH CARE ECONOMIC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/>
          <w:i w:val="0"/>
          <w:color w:val="333333"/>
          <w:sz w:val="20"/>
        </w:rPr>
        <w:t xml:space="preserve">INFORMATION FOR APPROVED PRODUCTS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Communication between HCDMs and manufacturers is </w:t>
      </w:r>
      <w:r>
        <w:rPr>
          <w:rFonts w:ascii="Arial" w:hAnsi="Arial" w:eastAsia="Lora"/>
          <w:b w:val="0"/>
          <w:i w:val="0"/>
          <w:color w:val="333333"/>
          <w:sz w:val="18"/>
        </w:rPr>
        <w:t>strictly regulated by the FDA.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11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The FDA considers many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types of proactive communication between manufacturers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HCDMs to be subject to promotional requirements.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Federal Food, Drug, and Cosmetic Act was amended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1997, in part, to allow a different evidentiary standard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“health care economic information” (HCEI) provided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limited audience of “formulary committees and similar </w:t>
      </w:r>
      <w:r>
        <w:rPr>
          <w:rFonts w:ascii="Arial" w:hAnsi="Arial" w:eastAsia="Lora"/>
          <w:b w:val="0"/>
          <w:i w:val="0"/>
          <w:color w:val="333333"/>
          <w:sz w:val="18"/>
        </w:rPr>
        <w:t>entities.”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12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In 2016, the 21st Century Cures Act Section 3037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expanded and modernized Section 114 of the Food and Drug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Administration Modernization Act (FDAMA), which related </w:t>
      </w:r>
      <w:r>
        <w:rPr>
          <w:rFonts w:ascii="Arial" w:hAnsi="Arial" w:eastAsia="Lora"/>
          <w:b w:val="0"/>
          <w:i w:val="0"/>
          <w:color w:val="333333"/>
          <w:sz w:val="18"/>
        </w:rPr>
        <w:t>to communication of HCEI.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13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The 2018 FDA Final Guidance </w:t>
      </w:r>
      <w:r>
        <w:rPr>
          <w:rFonts w:ascii="Arial" w:hAnsi="Arial" w:eastAsia="Lora"/>
          <w:b w:val="0"/>
          <w:i w:val="0"/>
          <w:color w:val="333333"/>
          <w:sz w:val="18"/>
        </w:rPr>
        <w:t>clarifies common questions regarding manufacturers’ pro-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active communication of HCEI regarding drugs and devices </w:t>
      </w:r>
      <w:r>
        <w:rPr>
          <w:rFonts w:ascii="Arial" w:hAnsi="Arial" w:eastAsia="Lora"/>
          <w:b w:val="0"/>
          <w:i w:val="0"/>
          <w:color w:val="333333"/>
          <w:sz w:val="18"/>
        </w:rPr>
        <w:t>to payers, formulary committees, or other similar entities.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3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HCEI, as defined by FDAMA Section 114 and further clarified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by the 21st Century Cures Act and the FDA Final Guidance,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subject to competent and reliable scientific evidence.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PIE Act was enacted as Section 3630 of the Consolidated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Appropriations Act of 2023 and codified the FDA Final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Guidance as part of FDAMA Section 114, effective January </w:t>
      </w:r>
      <w:r>
        <w:rPr>
          <w:rFonts w:ascii="Arial" w:hAnsi="Arial" w:eastAsia="Lora"/>
          <w:b w:val="0"/>
          <w:i w:val="0"/>
          <w:color w:val="333333"/>
          <w:sz w:val="18"/>
        </w:rPr>
        <w:t>1, 2023.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4 </w:t>
      </w: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COMMUNICATION OF APPROVED PRODUCT DOSSIERS </w:t>
      </w:r>
      <w:r>
        <w:rPr>
          <w:rFonts w:ascii="Arial" w:hAnsi="Arial" w:eastAsia="Lora"/>
          <w:b w:val="0"/>
          <w:i w:val="0"/>
          <w:color w:val="333333"/>
          <w:sz w:val="18"/>
        </w:rPr>
        <w:t>The FDA Final Guidance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does not affect or change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manufacturer’s ability to develop and communicate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Approved Product Dossiers that are provided to HCDMs </w:t>
      </w:r>
      <w:r>
        <w:rPr>
          <w:rFonts w:ascii="Arial" w:hAnsi="Arial" w:eastAsia="Lora"/>
          <w:b w:val="0"/>
          <w:i w:val="0"/>
          <w:color w:val="333333"/>
          <w:sz w:val="18"/>
        </w:rPr>
        <w:t>upon an unsolicited request.</w:t>
      </w:r>
    </w:p>
    <w:p>
      <w:pPr>
        <w:autoSpaceDN w:val="0"/>
        <w:autoSpaceDE w:val="0"/>
        <w:widowControl/>
        <w:spacing w:line="276" w:lineRule="auto" w:before="0" w:after="200"/>
        <w:ind w:left="156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unsolicited request process continues to be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mechanism through which the traditional Approved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Dossiers are communicated and provided to HCDMs. This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largely because, for an Approved Product Dossier,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 Format calls for information that may be inconsistent </w:t>
      </w:r>
      <w:r>
        <w:rPr>
          <w:rFonts w:ascii="Arial" w:hAnsi="Arial" w:eastAsia="Lora"/>
          <w:b w:val="0"/>
          <w:i w:val="0"/>
          <w:color w:val="333333"/>
          <w:sz w:val="18"/>
        </w:rPr>
        <w:t>with a product’s FDA-approved labeling or does not oth-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erwise meet substantiation requirements for promotional </w:t>
      </w:r>
    </w:p>
    <w:p>
      <w:pPr>
        <w:spacing w:line="276" w:lineRule="auto" w:after="200" w:before="0"/>
        <w:sectPr>
          <w:type w:val="nextColumn"/>
          <w:pgSz w:w="11880" w:h="15660"/>
          <w:pgMar w:top="360" w:right="632" w:bottom="266" w:left="0" w:header="720" w:footer="720" w:gutter="0"/>
          <w:cols w:num="2" w:equalWidth="0">
            <w:col w:w="5984" w:space="0"/>
            <w:col w:w="526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communications. In December 2011, the FDA issued draft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guidance entitled “Guidance for Industry: Responding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Unsolicited Requests for Off-label Information About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Prescription Drugs and Medical Devices,” which outlines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FDA’s current thinking on the way manufacturers can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respond to unsolicited requests for information about </w:t>
      </w:r>
      <w:r>
        <w:rPr>
          <w:rFonts w:ascii="Arial" w:hAnsi="Arial" w:eastAsia="Lora"/>
          <w:b w:val="0"/>
          <w:i w:val="0"/>
          <w:color w:val="333333"/>
          <w:sz w:val="18"/>
        </w:rPr>
        <w:t>products.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14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Manufacturers should follow this FDA guid-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ance for the provision of an Approved Product Dossier in </w:t>
      </w:r>
      <w:r>
        <w:rPr>
          <w:rFonts w:ascii="Arial" w:hAnsi="Arial" w:eastAsia="Lora"/>
          <w:b w:val="0"/>
          <w:i w:val="0"/>
          <w:color w:val="333333"/>
          <w:sz w:val="18"/>
        </w:rPr>
        <w:t>response to an unsolicited request. The request for infor-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mation must be truly unsolicited. Specifically, the inquiry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must be initiated by the requester (formulated in their own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mind) without prompting, suggestion, or solicitation by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or its employees. Manufacturers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place a statement on the Approved Product Dossier that it is </w:t>
      </w:r>
      <w:r>
        <w:rPr>
          <w:rFonts w:ascii="Arial" w:hAnsi="Arial" w:eastAsia="Lora"/>
          <w:b w:val="0"/>
          <w:i w:val="0"/>
          <w:color w:val="333333"/>
          <w:sz w:val="18"/>
        </w:rPr>
        <w:t>being provided in response to an unsolicited request.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COMMUNICATION OF UNAPPROVED PRODUCT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/>
          <w:i w:val="0"/>
          <w:color w:val="333333"/>
          <w:sz w:val="20"/>
        </w:rPr>
        <w:t xml:space="preserve">DOSSIERS AND UNAPPROVED USE DOSSIERS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HCDMs need and are interested in receiving informa-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about unapproved products and unapproved uses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approved products for the purpose of early planning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budgeting for future coverage and reimbursement </w:t>
      </w:r>
      <w:r>
        <w:rPr>
          <w:rFonts w:ascii="Arial" w:hAnsi="Arial" w:eastAsia="Lora"/>
          <w:b w:val="0"/>
          <w:i w:val="0"/>
          <w:color w:val="333333"/>
          <w:sz w:val="18"/>
        </w:rPr>
        <w:t>decisions before FDA approval.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AMCP recommends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provide HCDMs with Unapproved Product </w:t>
      </w:r>
      <w:r>
        <w:rPr>
          <w:rFonts w:ascii="Arial" w:hAnsi="Arial" w:eastAsia="Lora"/>
          <w:b w:val="0"/>
          <w:i w:val="0"/>
          <w:color w:val="333333"/>
          <w:sz w:val="18"/>
        </w:rPr>
        <w:t>and Unapproved Use Dossiers 6 to 12 months before antici-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pated FDA approval or when information may be of most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relevance to HCDM budget forecasting. Historically, it has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been challenging for HCDMs to obtain, and manufacturers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communicate, such information when needed. To address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need, guidance on Unapproved Product Dossiers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Use Dossiers were first included in Version 4.1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AMCP Format. HCDMs and manufacturers need to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cognizant that the availability of evidence and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at different points in a product’s life cycle varies. It is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manufacturer’s responsibility to include the most objective,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relevant, and timely information in Unapproved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Dossiers and Unapproved Use Dossiers when it becomes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available. It is the HCDM’s responsibility to review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and ask questions to gain a full understanding </w:t>
      </w:r>
      <w:r>
        <w:rPr>
          <w:rFonts w:ascii="Arial" w:hAnsi="Arial" w:eastAsia="Lora"/>
          <w:b w:val="0"/>
          <w:i w:val="0"/>
          <w:color w:val="333333"/>
          <w:sz w:val="18"/>
        </w:rPr>
        <w:t>of a product’s profile.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ADDITIONAL CONSIDERATIONS FOR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/>
          <w:i w:val="0"/>
          <w:color w:val="333333"/>
          <w:sz w:val="20"/>
        </w:rPr>
        <w:t xml:space="preserve">MANUFACTURERS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Given the complex regulatory and legal environment,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should consider and establish their own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acceptable policies and procedures for developing and </w:t>
      </w:r>
      <w:r>
        <w:rPr>
          <w:rFonts w:ascii="Arial" w:hAnsi="Arial" w:eastAsia="Lora"/>
          <w:b w:val="0"/>
          <w:i w:val="0"/>
          <w:color w:val="333333"/>
          <w:sz w:val="18"/>
        </w:rPr>
        <w:t>updating dossiers as well as communicating and dis-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seminating dossiers, including the handling of requests.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example, consider policies and procedures to address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following inexhaustive list: (1) What specifically constitutes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request for a dossier versus a request for other medical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672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information; (2) How to fulfill requests for dossiers that have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multiple indications or products for which a manufacturer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has more than one dossier; (3) How to handle requests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future updates to dossiers; (4) When to develop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Dossiers and Unapproved Use Dossiers; and (5)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How to communicate Unapproved Product Dossiers and </w:t>
      </w:r>
      <w:r>
        <w:rPr>
          <w:rFonts w:ascii="Arial" w:hAnsi="Arial" w:eastAsia="Lora"/>
          <w:b w:val="0"/>
          <w:i w:val="0"/>
          <w:color w:val="333333"/>
          <w:sz w:val="18"/>
        </w:rPr>
        <w:t>Unapproved Use Dossiers.</w:t>
      </w:r>
    </w:p>
    <w:p>
      <w:pPr>
        <w:autoSpaceDN w:val="0"/>
        <w:tabs>
          <w:tab w:pos="33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BIDIRECTIONAL COMMUNICATION OF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Substantial ongoing and bidirectional communication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feedback between the HCDM and manufacturer is critical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throughout the product evaluation process to manage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expectations and maximize the quality of available evidence.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one hand, HCDMs often view and criticize dossiers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from manufacturers as lacking independence or objectivity.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other hand, manufacturers invest significant time, </w:t>
      </w:r>
      <w:r>
        <w:rPr>
          <w:rFonts w:ascii="Arial" w:hAnsi="Arial" w:eastAsia="Lora"/>
          <w:b w:val="0"/>
          <w:i w:val="0"/>
          <w:color w:val="333333"/>
          <w:sz w:val="18"/>
        </w:rPr>
        <w:t>resources, and costs in developing credible and evidence-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based dossiers per the AMCP Format. Often, after a dossier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requested and received by the HCDM, the manufacturer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left with no feedback, comments, or conversation with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HCDM about the product information contained in the </w:t>
      </w:r>
      <w:r>
        <w:rPr>
          <w:rFonts w:ascii="Arial" w:hAnsi="Arial" w:eastAsia="Lora"/>
          <w:b w:val="0"/>
          <w:i w:val="0"/>
          <w:color w:val="333333"/>
          <w:sz w:val="18"/>
        </w:rPr>
        <w:t>dossier.</w:t>
      </w:r>
    </w:p>
    <w:p>
      <w:pPr>
        <w:autoSpaceDN w:val="0"/>
        <w:autoSpaceDE w:val="0"/>
        <w:widowControl/>
        <w:spacing w:line="276" w:lineRule="auto" w:before="0" w:after="200"/>
        <w:ind w:left="156" w:right="576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To address the perception that dossiers lack independence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objectivity and in return for receiving a comprehensive </w:t>
      </w:r>
      <w:r>
        <w:rPr>
          <w:rFonts w:ascii="Arial" w:hAnsi="Arial" w:eastAsia="Lora"/>
          <w:b w:val="0"/>
          <w:i w:val="0"/>
          <w:color w:val="333333"/>
          <w:sz w:val="18"/>
        </w:rPr>
        <w:t>dossier, HCDMs are encouraged to share with manufactur-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ers concerns or questions about the evidence presented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the dossier, such as assumptions incorporated into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models or completeness of clinical studies or </w:t>
      </w:r>
      <w:r>
        <w:rPr>
          <w:rFonts w:ascii="Arial" w:hAnsi="Arial" w:eastAsia="Lora"/>
          <w:b w:val="0"/>
          <w:i w:val="0"/>
          <w:color w:val="333333"/>
          <w:sz w:val="18"/>
        </w:rPr>
        <w:t>substantiation of the proposed value proposition, to facili-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tate a productive dialogue. Feedback from HCDMs can help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improve the quality of dossiers developed and provided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by manufacturers. Feedback may include information 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 completeness, objectiveness, relevance, usability, </w:t>
      </w:r>
      <w:r>
        <w:rPr>
          <w:rFonts w:ascii="Arial" w:hAnsi="Arial" w:eastAsia="Lora"/>
          <w:b w:val="0"/>
          <w:i w:val="0"/>
          <w:color w:val="333333"/>
          <w:sz w:val="18"/>
        </w:rPr>
        <w:t>readability, and other user experiences with the docu-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ment. Manufacturers and HCDMs should view bidirectional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discussions about evidence and information in dossiers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process to facilitate the HCDM’s understanding of the </w:t>
      </w:r>
      <w:r>
        <w:rPr>
          <w:rFonts w:ascii="Arial" w:hAnsi="Arial" w:eastAsia="Lora"/>
          <w:b w:val="0"/>
          <w:i w:val="0"/>
          <w:color w:val="333333"/>
          <w:sz w:val="18"/>
        </w:rPr>
        <w:t>product evidence and information; educate the manufac-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turer on the HCDM’s evidentiary needs and perceived gaps;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improve the quality, content, and layout of the dossier. </w:t>
      </w:r>
      <w:r>
        <w:rPr>
          <w:rFonts w:ascii="Arial" w:hAnsi="Arial" w:eastAsia="Lora"/>
          <w:b w:val="0"/>
          <w:i w:val="0"/>
          <w:color w:val="333333"/>
          <w:sz w:val="18"/>
        </w:rPr>
        <w:t>A shared vision to facilitate bidirectional communica-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between HCDMs and manufacturers is necessary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ensure and support appropriate evidence-based product </w:t>
      </w:r>
      <w:r>
        <w:rPr>
          <w:rFonts w:ascii="Arial" w:hAnsi="Arial" w:eastAsia="Lora"/>
          <w:b w:val="0"/>
          <w:i w:val="0"/>
          <w:color w:val="333333"/>
          <w:sz w:val="18"/>
        </w:rPr>
        <w:t>evaluation.</w:t>
      </w:r>
    </w:p>
    <w:p>
      <w:pPr>
        <w:autoSpaceDN w:val="0"/>
        <w:autoSpaceDE w:val="0"/>
        <w:widowControl/>
        <w:spacing w:line="276" w:lineRule="auto" w:before="0" w:after="200"/>
        <w:ind w:left="156" w:right="576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It is important for HCDMs to communicate to manufactur-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ers basic information such as product review timelines,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evaluation process, and any perceived evidence gaps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might exist. This allows the manufacturer an opportunity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respond with timely, relevant, and specific information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meets the needs of the HCDM. If the manufacturer is unable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provide certain information, it is better for the HCDM 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12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to understand the limitations and reasons upfront. Early,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ongoing dialogue between the HCDM and manufacturer is </w:t>
      </w:r>
      <w:r>
        <w:rPr>
          <w:rFonts w:ascii="Arial" w:hAnsi="Arial" w:eastAsia="Lora"/>
          <w:b w:val="0"/>
          <w:i w:val="0"/>
          <w:color w:val="333333"/>
          <w:sz w:val="18"/>
        </w:rPr>
        <w:t>a critical success factor in optimizing the exchange of rel-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evant, credible, and timely clinical and economic evidence </w:t>
      </w:r>
      <w:r>
        <w:rPr>
          <w:rFonts w:ascii="Arial" w:hAnsi="Arial" w:eastAsia="Lora"/>
          <w:b w:val="0"/>
          <w:i w:val="0"/>
          <w:color w:val="333333"/>
          <w:sz w:val="18"/>
        </w:rPr>
        <w:t>for decision-making.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Dossiers timed for product launch may rely to a greater </w:t>
      </w:r>
      <w:r>
        <w:rPr>
          <w:rFonts w:ascii="Arial" w:hAnsi="Arial" w:eastAsia="Lora"/>
          <w:b w:val="0"/>
          <w:i w:val="0"/>
          <w:color w:val="333333"/>
          <w:sz w:val="18"/>
        </w:rPr>
        <w:t>extent on modeled projections based on clinical trial evi-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dence and assumptions related to market uptake. However,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new evidence describing the actual use and effect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in a real-world setting should be developed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 formulary, coverage, policy, and reimbursement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decision-making across the product life cycle. Ongoing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generation of real-world evidence serves the important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purpose of further defining and validating claims related </w:t>
      </w:r>
      <w:r>
        <w:rPr>
          <w:rFonts w:ascii="Arial" w:hAnsi="Arial" w:eastAsia="Lora"/>
          <w:b w:val="0"/>
          <w:i w:val="0"/>
          <w:color w:val="333333"/>
          <w:sz w:val="18"/>
        </w:rPr>
        <w:t>to product value. As such, ongoing and bidirectional com-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munication between manufacturers and HCDMs can help </w:t>
      </w:r>
      <w:r>
        <w:rPr>
          <w:rFonts w:ascii="Arial" w:hAnsi="Arial" w:eastAsia="Lora"/>
          <w:b w:val="0"/>
          <w:i w:val="0"/>
          <w:color w:val="333333"/>
          <w:sz w:val="18"/>
        </w:rPr>
        <w:t>inform that evidence.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To foster bidirectional communication, HCDMs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request and offer manufacturers the opportunity to meet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discuss the clinical and economic evidence in the </w:t>
      </w:r>
      <w:r>
        <w:rPr>
          <w:rFonts w:ascii="Arial" w:hAnsi="Arial" w:eastAsia="Lora"/>
          <w:b w:val="0"/>
          <w:i w:val="0"/>
          <w:color w:val="333333"/>
          <w:sz w:val="18"/>
        </w:rPr>
        <w:t>dossier, and vice versa as both sides have legitimate busi-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ness reasons for understanding each other’s perspectives.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 should welcome presentations from or discussions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appropriate manufacturer personnel (e.g., medical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personnel, health economists) to address specific questions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they may have about the dossier or the product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question. HCDMs are encouraged to meet face-to-face with </w:t>
      </w:r>
      <w:r>
        <w:rPr>
          <w:rFonts w:ascii="Arial" w:hAnsi="Arial" w:eastAsia="Lora"/>
          <w:b w:val="0"/>
          <w:i w:val="0"/>
          <w:color w:val="333333"/>
          <w:sz w:val="18"/>
        </w:rPr>
        <w:t>appropriate manufacturer personnel for scientific informa-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exchange as well as commercial personnel responsible </w:t>
      </w:r>
      <w:r>
        <w:rPr>
          <w:rFonts w:ascii="Arial" w:hAnsi="Arial" w:eastAsia="Lora"/>
          <w:b w:val="0"/>
          <w:i w:val="0"/>
          <w:color w:val="333333"/>
          <w:sz w:val="18"/>
        </w:rPr>
        <w:t>for market access and contracting discussions.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As stated earlier, one should view the dossier as a living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document that may start out as an Unapproved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Dossier, evolve as more evidence and information becomes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available, and ultimately be updated and revised to become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Approved Product Dossier. HCDMs should provide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feedback and insights to manufacturers on the emerging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evidence throughout the development and life cycle of the </w:t>
      </w:r>
      <w:r>
        <w:rPr>
          <w:rFonts w:ascii="Arial" w:hAnsi="Arial" w:eastAsia="Lora"/>
          <w:b w:val="0"/>
          <w:i w:val="0"/>
          <w:color w:val="333333"/>
          <w:sz w:val="18"/>
        </w:rPr>
        <w:t>product and related dossiers. Manufacturers may con-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sider surveying HCDMs who have received the dossier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feedback regarding the content and quality of the dossier.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 and manufacturers should consider and implement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additional ways to increase communications between both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stakeholders. This bidirectional communication process </w:t>
      </w:r>
      <w:r>
        <w:rPr>
          <w:rFonts w:ascii="Arial" w:hAnsi="Arial" w:eastAsia="Lora"/>
          <w:b w:val="0"/>
          <w:i w:val="0"/>
          <w:color w:val="333333"/>
          <w:sz w:val="18"/>
        </w:rPr>
        <w:t>will help improve transparency and the quality of informa-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sharing to support improved decision-making and </w:t>
      </w:r>
      <w:r>
        <w:rPr>
          <w:rFonts w:ascii="Arial" w:hAnsi="Arial" w:eastAsia="Lora"/>
          <w:b w:val="0"/>
          <w:i w:val="0"/>
          <w:color w:val="333333"/>
          <w:sz w:val="18"/>
        </w:rPr>
        <w:t>optimize patient care.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Confidentiality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confidentiality of evidence dossiers has been an area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concern since AMCP published the first version of 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AMCP Format in October 2000. Manufacturers have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expressed concern that confidential information submitted </w:t>
      </w:r>
      <w:r>
        <w:rPr>
          <w:rFonts w:ascii="Arial" w:hAnsi="Arial" w:eastAsia="Lora"/>
          <w:b w:val="0"/>
          <w:i w:val="0"/>
          <w:color w:val="333333"/>
          <w:sz w:val="18"/>
        </w:rPr>
        <w:t>as part of a dossier (e.g., unpublished studies, HCEI, eco-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nomic modeling data) will become publicly available, thus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exposing sensitive data to competitors. Concerns may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addressed with the execution of appropriate confidentiality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agreements between the HCDM and the manufacturer.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 should be aware that the ability of manufacturers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provide complete information is dependent on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recipient preserving the confidentiality of that information.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We note that evidence dossiers submitted to government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authorities in the United States (U.S.), the United Kingdom,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certain other countries are made available to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public; however, commercial-in-confidence information,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when properly identified by the manufacturer, is redacted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the online version of the report. Special arrangements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public HCDMs, which require public disclosure of </w:t>
      </w:r>
      <w:r>
        <w:rPr>
          <w:rFonts w:ascii="Arial" w:hAnsi="Arial" w:eastAsia="Lora"/>
          <w:b w:val="0"/>
          <w:i w:val="0"/>
          <w:color w:val="333333"/>
          <w:sz w:val="18"/>
        </w:rPr>
        <w:t>information received, may be necessary.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Manufacturers may require HCDMs to sign a confidential-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ity agreement before providing a dossier. Such agreements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also be required where prepublication data are shared.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 should be willing to sign such agreements and </w:t>
      </w:r>
      <w:r>
        <w:rPr>
          <w:rFonts w:ascii="Arial" w:hAnsi="Arial" w:eastAsia="Lora"/>
          <w:b w:val="0"/>
          <w:i w:val="0"/>
          <w:color w:val="333333"/>
          <w:sz w:val="18"/>
        </w:rPr>
        <w:t>adhere to their terms.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Product dossiers prepared in accordance with the evi-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dence recommendations contained in the AMCP Format </w:t>
      </w:r>
      <w:r>
        <w:rPr>
          <w:rFonts w:ascii="Arial" w:hAnsi="Arial" w:eastAsia="Lora"/>
          <w:b w:val="0"/>
          <w:i w:val="0"/>
          <w:color w:val="333333"/>
          <w:sz w:val="18"/>
        </w:rPr>
        <w:t>may contain HCEI and other information deemed pro-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prietary by the company. Manufacturers should place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statement on the dossier when a confidentiality agreement </w:t>
      </w:r>
      <w:r>
        <w:rPr>
          <w:rFonts w:ascii="Arial" w:hAnsi="Arial" w:eastAsia="Lora"/>
          <w:b w:val="0"/>
          <w:i w:val="0"/>
          <w:color w:val="333333"/>
          <w:sz w:val="18"/>
        </w:rPr>
        <w:t>is executed.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Updating Dossiers</w:t>
      </w:r>
    </w:p>
    <w:p>
      <w:pPr>
        <w:autoSpaceDN w:val="0"/>
        <w:tabs>
          <w:tab w:pos="338" w:val="left"/>
          <w:tab w:pos="51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UPDATING DOSSIERS FOR APPROVED PRODUCTS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common question from manufacturers is, “When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dossier be updated?” The AMCP Format for Formulary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Submissions Committee recommends that dossiers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reviewed and updated when there are significant changes </w:t>
      </w:r>
      <w:r>
        <w:rPr>
          <w:rFonts w:ascii="Arial" w:hAnsi="Arial" w:eastAsia="Lora"/>
          <w:b w:val="0"/>
          <w:i w:val="0"/>
          <w:color w:val="333333"/>
          <w:sz w:val="18"/>
        </w:rPr>
        <w:t>(e.g., changes to the prescribing information, line exten-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sions, new safety information, or any information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materially affects the overall evidence). Ideally, dossier </w:t>
      </w:r>
      <w:r>
        <w:rPr>
          <w:rFonts w:ascii="Arial" w:hAnsi="Arial" w:eastAsia="Lora"/>
          <w:b w:val="0"/>
          <w:i w:val="0"/>
          <w:color w:val="333333"/>
          <w:sz w:val="18"/>
        </w:rPr>
        <w:t>updates should be evidence-based (i.e., updates are trig-</w:t>
      </w:r>
      <w:r>
        <w:rPr>
          <w:rFonts w:ascii="Arial" w:hAnsi="Arial" w:eastAsia="Lora"/>
          <w:b w:val="0"/>
          <w:i w:val="0"/>
          <w:color w:val="333333"/>
          <w:sz w:val="18"/>
        </w:rPr>
        <w:t>gered by availability of new evidence), for example: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The manufacturer files a supplemental application to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FDA for a new indication; the regulatory decisions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be included in the dossier whether the new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indication is approved or denied.</w:t>
      </w:r>
    </w:p>
    <w:p>
      <w:pPr>
        <w:autoSpaceDN w:val="0"/>
        <w:tabs>
          <w:tab w:pos="518" w:val="left"/>
        </w:tabs>
        <w:autoSpaceDE w:val="0"/>
        <w:widowControl/>
        <w:spacing w:line="276" w:lineRule="auto" w:before="0" w:after="200"/>
        <w:ind w:left="33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The FDA issues advisory statements about the use of 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product (e.g., establishes a new boxed warning).</w:t>
      </w:r>
    </w:p>
    <w:p>
      <w:pPr>
        <w:autoSpaceDN w:val="0"/>
        <w:tabs>
          <w:tab w:pos="518" w:val="left"/>
        </w:tabs>
        <w:autoSpaceDE w:val="0"/>
        <w:widowControl/>
        <w:spacing w:line="276" w:lineRule="auto" w:before="0" w:after="200"/>
        <w:ind w:left="33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Significant new clinical or economic evidence becomes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available, such as: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50"/>
        <w:gridCol w:w="4850"/>
      </w:tblGrid>
      <w:tr>
        <w:trPr>
          <w:trHeight w:hRule="exact" w:val="362"/>
        </w:trPr>
        <w:tc>
          <w:tcPr>
            <w:tcW w:type="dxa" w:w="58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40" w:header="720" w:footer="720" w:gutter="0"/>
          <w:cols/>
          <w:docGrid w:linePitch="360"/>
        </w:sectPr>
      </w:pP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New data to further support the use of the product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for the approved indication.</w:t>
      </w: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Identification of patients or subpopulations who may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or may not benefit from receiving the product.</w:t>
      </w: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Demonstration of real-world effectiveness and long-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term effectiveness.</w:t>
      </w:r>
    </w:p>
    <w:p>
      <w:pPr>
        <w:autoSpaceDN w:val="0"/>
        <w:autoSpaceDE w:val="0"/>
        <w:widowControl/>
        <w:spacing w:line="276" w:lineRule="auto" w:before="0" w:after="200"/>
        <w:ind w:left="360" w:right="0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Elucidation of long-term safety.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When updating a dossier, the manufacturer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conduct revisions to incorporate new evidence, delete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obsolete information, and revise content and format to keep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dossier concise and relevant. The manufacturer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update the dossier by rewriting a new version of the dossier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amending the existing dossier with a supplemental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document that acknowledges new evidence with proper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citations, identifies obsolete information in the existing </w:t>
      </w:r>
      <w:r>
        <w:rPr>
          <w:rFonts w:ascii="Arial" w:hAnsi="Arial" w:eastAsia="Lora"/>
          <w:b w:val="0"/>
          <w:i w:val="0"/>
          <w:color w:val="333333"/>
          <w:sz w:val="18"/>
        </w:rPr>
        <w:t>dossier, and describes any additional relevant informa-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to the HCDM. The manufacturer should provide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 with a way to identify newly added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(e.g., highlight revised/new sections or content, describe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changes in an appendix, include a summary of changes in </w:t>
      </w:r>
      <w:r>
        <w:rPr>
          <w:rFonts w:ascii="Arial" w:hAnsi="Arial" w:eastAsia="Lora"/>
          <w:b w:val="0"/>
          <w:i w:val="0"/>
          <w:color w:val="333333"/>
          <w:sz w:val="18"/>
        </w:rPr>
        <w:t>a cover letter).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When a manufacturer reviews a dossier for potential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revision and determines that a revision is not necessary,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should be indicated on the title page of the dossier.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absence of new evidence, dossiers should be evaluated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technical accuracy on an annual basis (e.g., changes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price, new model assumptions). All dossiers should include </w:t>
      </w:r>
      <w:r>
        <w:rPr>
          <w:rFonts w:ascii="Arial" w:hAnsi="Arial" w:eastAsia="Lora"/>
          <w:b w:val="0"/>
          <w:i w:val="0"/>
          <w:color w:val="333333"/>
          <w:sz w:val="18"/>
        </w:rPr>
        <w:t>the original date of issue as well as the dates of any revi-</w:t>
      </w:r>
      <w:r>
        <w:rPr>
          <w:rFonts w:ascii="Arial" w:hAnsi="Arial" w:eastAsia="Lora"/>
          <w:b w:val="0"/>
          <w:i w:val="0"/>
          <w:color w:val="333333"/>
          <w:sz w:val="18"/>
        </w:rPr>
        <w:t>sions or reviews for potential revisions.</w:t>
      </w:r>
    </w:p>
    <w:p>
      <w:pPr>
        <w:autoSpaceDN w:val="0"/>
        <w:autoSpaceDE w:val="0"/>
        <w:widowControl/>
        <w:spacing w:line="276" w:lineRule="auto" w:before="0" w:after="200"/>
        <w:ind w:left="0" w:right="146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When an HCDM requests a dossier that is under revision,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may supply the current (last completed)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version of the dossier, inform the requester of the status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dossier and the expected time frame for completion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revision, and offer to send the revised version when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completed. Alternatively, the manufacturer may provide the </w:t>
      </w:r>
      <w:r>
        <w:rPr>
          <w:rFonts w:ascii="Arial" w:hAnsi="Arial" w:eastAsia="Lora"/>
          <w:b w:val="0"/>
          <w:i w:val="0"/>
          <w:color w:val="333333"/>
          <w:sz w:val="18"/>
        </w:rPr>
        <w:t>updated version when completed.</w:t>
      </w:r>
    </w:p>
    <w:p>
      <w:pPr>
        <w:autoSpaceDN w:val="0"/>
        <w:autoSpaceDE w:val="0"/>
        <w:widowControl/>
        <w:spacing w:line="276" w:lineRule="auto" w:before="0" w:after="200"/>
        <w:ind w:left="0" w:right="146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Another common question from manufacturers is, “Can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 updated dossier be provided to HCDMs who have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previously requested and received a dossier?” In general,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should not freely and automatically send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updated Approved Product Dossiers to previous requesters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without an unsolicited request. However, HCDMs may, 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time of the original Approved Product Dossier request,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a statement that they would like to receive updated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dossiers, if any, subsequent to the first dossier received.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request for updated dossiers must be for the same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as the original request, and the request must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specify a specific length of time (e.g., for 6 or 12 months,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at the discretion of the manufacturer’s policies). While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 Format does not specify a maximum length of time,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AMCP Format for Formulary Submissions Committee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40" w:header="720" w:footer="720" w:gutter="0"/>
          <w:cols w:num="2" w:equalWidth="0">
            <w:col w:w="5234" w:space="0"/>
            <w:col w:w="5906" w:space="0"/>
          </w:cols>
          <w:docGrid w:linePitch="360"/>
        </w:sectPr>
      </w:pPr>
    </w:p>
    <w:p>
      <w:pPr>
        <w:autoSpaceDN w:val="0"/>
        <w:tabs>
          <w:tab w:pos="326" w:val="left"/>
        </w:tabs>
        <w:autoSpaceDE w:val="0"/>
        <w:widowControl/>
        <w:spacing w:line="276" w:lineRule="auto" w:before="0" w:after="200"/>
        <w:ind w:left="14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recommends that the request for updated dossiers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be indefinite and that manufacturers should determine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their own policies and procedures. Allowance for this </w:t>
      </w:r>
      <w:r>
        <w:rPr>
          <w:rFonts w:ascii="Arial" w:hAnsi="Arial" w:eastAsia="Lora"/>
          <w:b w:val="0"/>
          <w:i w:val="0"/>
          <w:color w:val="333333"/>
          <w:sz w:val="18"/>
        </w:rPr>
        <w:t>process will prevent HCDMs from having to submit numer-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ous requests for updated information, especially since they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not be aware when updated dossiers may be available.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addition, the explicitness of the unsolicited request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an updated Approved Product Dossier within a specific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time frame will help manufacturers maintain compliance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the unsolicited request process. Whether to fulfill 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unsolicited request for the dossier is at the discretion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manufacturer. There may be rare instances where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 may decide to proactively send an updated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Approved Product Dossier to an HCDM who had recently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previously received the dossier; for example,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 is being updated at the time of original request,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there are significant errors in the previous version that was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sent, or there are significant new patient safety warnings </w:t>
      </w:r>
      <w:r>
        <w:rPr>
          <w:rFonts w:ascii="Arial" w:hAnsi="Arial" w:eastAsia="Lora"/>
          <w:b w:val="0"/>
          <w:i w:val="0"/>
          <w:color w:val="333333"/>
          <w:sz w:val="18"/>
        </w:rPr>
        <w:t>such as boxed warnings.</w:t>
      </w:r>
    </w:p>
    <w:p>
      <w:pPr>
        <w:autoSpaceDN w:val="0"/>
        <w:autoSpaceDE w:val="0"/>
        <w:widowControl/>
        <w:spacing w:line="276" w:lineRule="auto" w:before="0" w:after="200"/>
        <w:ind w:left="146" w:right="67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may decide that an Approved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 will no longer be kept current (e.g., the product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near the end of its branded lifespan or has lost exclusivity).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If the manufacturer continues to provide the last version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an Approved Product Dossier to requesters, then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status (date created and/or date of last update) should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indicated on the dossier. If the manufacturer discontinues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availability of the Approved Product Dossier, then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rationale for its discontinuation should be provided to </w:t>
      </w:r>
      <w:r>
        <w:rPr>
          <w:rFonts w:ascii="Arial" w:hAnsi="Arial" w:eastAsia="Lora"/>
          <w:b w:val="0"/>
          <w:i w:val="0"/>
          <w:color w:val="333333"/>
          <w:sz w:val="18"/>
        </w:rPr>
        <w:t>requesters of that dossier.</w:t>
      </w:r>
    </w:p>
    <w:p>
      <w:pPr>
        <w:autoSpaceDN w:val="0"/>
        <w:autoSpaceDE w:val="0"/>
        <w:widowControl/>
        <w:spacing w:line="276" w:lineRule="auto" w:before="0" w:after="200"/>
        <w:ind w:left="146" w:right="576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Following the initial FDA approval, a product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receive FDA approval for additional uses during its life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cycle. Development and organization of the 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Dossier for a product with multiple FDA-approved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indications should be handled at the discretion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manufacturer. For example, a manufacturer may develop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separate sections for each indication within the same </w:t>
      </w:r>
      <w:r>
        <w:rPr>
          <w:rFonts w:ascii="Arial" w:hAnsi="Arial" w:eastAsia="Lora"/>
          <w:b w:val="0"/>
          <w:i w:val="0"/>
          <w:color w:val="333333"/>
          <w:sz w:val="18"/>
        </w:rPr>
        <w:t>dossier or may develop separate dossiers for each indica-</w:t>
      </w:r>
      <w:r>
        <w:rPr>
          <w:rFonts w:ascii="Arial" w:hAnsi="Arial" w:eastAsia="Lora"/>
          <w:b w:val="0"/>
          <w:i w:val="0"/>
          <w:color w:val="333333"/>
          <w:sz w:val="18"/>
        </w:rPr>
        <w:t>tion or group of indications.</w:t>
      </w:r>
    </w:p>
    <w:p>
      <w:pPr>
        <w:autoSpaceDN w:val="0"/>
        <w:autoSpaceDE w:val="0"/>
        <w:widowControl/>
        <w:spacing w:line="276" w:lineRule="auto" w:before="0" w:after="200"/>
        <w:ind w:left="146" w:right="576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It is at the manufacturer’s discretion whether updates are </w:t>
      </w:r>
      <w:r>
        <w:rPr>
          <w:rFonts w:ascii="Arial" w:hAnsi="Arial" w:eastAsia="Lora"/>
          <w:b w:val="0"/>
          <w:i w:val="0"/>
          <w:color w:val="333333"/>
          <w:sz w:val="18"/>
        </w:rPr>
        <w:t>required for any sections of the dossier to provide informa-</w:t>
      </w:r>
      <w:r>
        <w:rPr>
          <w:rFonts w:ascii="Arial" w:hAnsi="Arial" w:eastAsia="Lora"/>
          <w:b w:val="0"/>
          <w:i w:val="0"/>
          <w:color w:val="333333"/>
          <w:sz w:val="18"/>
        </w:rPr>
        <w:t>tion that is concise, relevant, and objective.</w:t>
      </w:r>
    </w:p>
    <w:p>
      <w:pPr>
        <w:autoSpaceDN w:val="0"/>
        <w:autoSpaceDE w:val="0"/>
        <w:widowControl/>
        <w:spacing w:line="276" w:lineRule="auto" w:before="0" w:after="200"/>
        <w:ind w:left="146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UPDATING DOSSIERS FOR DIGITAL THERAPEUTICS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Updates to dossiers for DTx are recommended when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changes directly affect the effectiveness or safety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or how patient care is delivered, such as changes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a care algorithm or changes in patient usability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impact effectiveness or safety. Updates that impact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how patient data will be stored, shared, or utilized do 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typically require an update to a digital therapeutic dossier.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However, communication with HCDMs may be warranted. 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40" w:header="720" w:footer="720" w:gutter="0"/>
          <w:cols w:num="2" w:equalWidth="0">
            <w:col w:w="5234" w:space="0"/>
            <w:col w:w="590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14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720" w:right="154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In general, digital therapeutic dossiers do not need to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updated when there are minor updates or changes to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that do not impact patient care or the 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>or safety of the product.</w:t>
      </w:r>
    </w:p>
    <w:p>
      <w:pPr>
        <w:autoSpaceDN w:val="0"/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UPDATING DOSSIERS FOR UNAPPROVED PRODUCTS </w:t>
      </w:r>
      <w:r>
        <w:rPr>
          <w:rFonts w:ascii="Arial" w:hAnsi="Arial" w:eastAsia="Asap"/>
          <w:b/>
          <w:i w:val="0"/>
          <w:color w:val="333333"/>
          <w:sz w:val="20"/>
        </w:rPr>
        <w:t xml:space="preserve">AND UNAPPROVED USES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may use discretion on when to develop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how often to update Unapproved Product Dossiers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Unapproved Use Dossiers to ensure their usefulness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HCDMs. Certain time points or milestones may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considered for triggering the update of an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or an Unapproved Use Dossier, such as initiation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completion of a phase 3 trial or application/submission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FDA approval. AMCP and the AMCP Format for Formulary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Submissions Committee do not intend to prescribe specific </w:t>
      </w:r>
      <w:r>
        <w:rPr>
          <w:rFonts w:ascii="Arial" w:hAnsi="Arial" w:eastAsia="Lora"/>
          <w:b w:val="0"/>
          <w:i w:val="0"/>
          <w:color w:val="333333"/>
          <w:sz w:val="18"/>
        </w:rPr>
        <w:t>time points or frequency of updates.</w:t>
      </w:r>
    </w:p>
    <w:p>
      <w:pPr>
        <w:autoSpaceDN w:val="0"/>
        <w:autoSpaceDE w:val="0"/>
        <w:widowControl/>
        <w:spacing w:line="276" w:lineRule="auto" w:before="0" w:after="200"/>
        <w:ind w:left="72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Dossier Page Limits </w:t>
      </w:r>
    </w:p>
    <w:p>
      <w:pPr>
        <w:autoSpaceDN w:val="0"/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AMCP Format provides guidance regarding page limit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recommendations for individual sections of a dossier.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These recommendations are for general guidance only, as </w:t>
      </w:r>
      <w:r>
        <w:rPr>
          <w:rFonts w:ascii="Arial" w:hAnsi="Arial" w:eastAsia="Lora"/>
          <w:b w:val="0"/>
          <w:i w:val="0"/>
          <w:color w:val="333333"/>
          <w:sz w:val="18"/>
        </w:rPr>
        <w:t>there are many factors that may influence the appropri-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ate section length for a product. Manufacturers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present relevant evidence and product information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concisely and clearly as possible to streamline the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acquisition and review process. Manufacturers should 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overly verbose or superfluous content to meet page </w:t>
      </w:r>
      <w:r>
        <w:rPr>
          <w:rFonts w:ascii="Arial" w:hAnsi="Arial" w:eastAsia="Lora"/>
          <w:b w:val="0"/>
          <w:i w:val="0"/>
          <w:color w:val="333333"/>
          <w:sz w:val="18"/>
        </w:rPr>
        <w:t>recommendations.</w:t>
      </w:r>
    </w:p>
    <w:p>
      <w:pPr>
        <w:spacing w:line="276" w:lineRule="auto" w:after="200" w:before="0"/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Submission Of Dossiers 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should submit dossiers in an electronic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format rather than in print. Electronic formats may include </w:t>
      </w:r>
      <w:r>
        <w:rPr>
          <w:rFonts w:ascii="Arial" w:hAnsi="Arial" w:eastAsia="Lora"/>
          <w:b w:val="0"/>
          <w:i w:val="0"/>
          <w:color w:val="333333"/>
          <w:sz w:val="18"/>
        </w:rPr>
        <w:t>email, online platforms (e.g., Formulary Decisions, manu-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facturer websites), or other electronic technologies. This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will help reduce resource expenditures and improve health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care system staff’s ability to transfer evidence directly into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P&amp;T Committee submission monographs. This includes any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models provided in the dossier, which should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presented electronically (e.g., Microsoft Excel workbook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 alternative electronic format that is agreed upon by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requesting organization and the manufacturer) to facilitate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ongoing dialogue as well as allow flexibility for user-defined </w:t>
      </w:r>
      <w:r>
        <w:rPr>
          <w:rFonts w:ascii="Arial" w:hAnsi="Arial" w:eastAsia="Lora"/>
          <w:b w:val="0"/>
          <w:i w:val="0"/>
          <w:color w:val="333333"/>
          <w:sz w:val="18"/>
        </w:rPr>
        <w:t>analyses.</w:t>
      </w:r>
    </w:p>
    <w:p>
      <w:pPr>
        <w:autoSpaceDN w:val="0"/>
        <w:autoSpaceDE w:val="0"/>
        <w:widowControl/>
        <w:spacing w:line="276" w:lineRule="auto" w:before="0" w:after="200"/>
        <w:ind w:left="158" w:right="1296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Pre-Approval Information </w:t>
      </w:r>
      <w:r>
        <w:rPr>
          <w:rFonts w:ascii="Arial" w:hAnsi="Arial" w:eastAsia="Asap"/>
          <w:b/>
          <w:i w:val="0"/>
          <w:color w:val="333333"/>
          <w:sz w:val="32"/>
        </w:rPr>
        <w:t xml:space="preserve">Exchange 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PIE is used by manufacturers and HCDMs to facilitate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exchange of product-specific information that may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relevant to HCDM budgets and formulary decision-making. </w:t>
      </w:r>
      <w:r>
        <w:rPr>
          <w:rFonts w:ascii="Arial" w:hAnsi="Arial" w:eastAsia="Lora"/>
          <w:b w:val="0"/>
          <w:i w:val="0"/>
          <w:color w:val="333333"/>
          <w:sz w:val="18"/>
        </w:rPr>
        <w:t>PIE communications are typically initiated by manufactur-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ers and are generally created in tandem with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Dossiers or Unapproved Use Dossiers.  PIE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generally include information from ongoing and completed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trials, important timeline information, and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>relevant to patient access.  AMCP encourages manufactur-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ers to proactively engage with HCDMs in a timely fashion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support critical planning processes, and manufacturers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continue to update HCDMs as new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>becomes available.</w:t>
      </w:r>
    </w:p>
    <w:p>
      <w:pPr>
        <w:spacing w:line="276" w:lineRule="auto" w:after="200" w:before="0"/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720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>Special Content Considerations</w:t>
      </w:r>
    </w:p>
    <w:p>
      <w:pPr>
        <w:spacing w:line="276" w:lineRule="auto" w:after="200" w:before="0"/>
        <w:sectPr>
          <w:type w:val="continuous"/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72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Biosimilars</w:t>
      </w:r>
    </w:p>
    <w:p>
      <w:pPr>
        <w:autoSpaceDN w:val="0"/>
        <w:tabs>
          <w:tab w:pos="900" w:val="left"/>
        </w:tabs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 biosimilar is defined as a biological product that “is highly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similar to the reference product notwithstanding minor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differences in clinically inactive components” and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“there are no clinically meaningful differences between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biological product and the reference product in terms of the </w:t>
      </w:r>
      <w:r>
        <w:rPr>
          <w:rFonts w:ascii="Arial" w:hAnsi="Arial" w:eastAsia="Lora"/>
          <w:b w:val="0"/>
          <w:i w:val="0"/>
          <w:color w:val="333333"/>
          <w:sz w:val="18"/>
        </w:rPr>
        <w:t>safety,  purity, and potency of the product.”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15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According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FDA, for a product to be a biosimilar or interchangeable,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must submit a 351(k) biologics license </w:t>
      </w:r>
      <w:r>
        <w:rPr>
          <w:rFonts w:ascii="Arial" w:hAnsi="Arial" w:eastAsia="Lora"/>
          <w:b w:val="0"/>
          <w:i w:val="0"/>
          <w:color w:val="333333"/>
          <w:sz w:val="18"/>
        </w:rPr>
        <w:t>application (BLA) that demonstrates biosimilarity.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15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FDA has provided guidance on the analyses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testing that are required to demonstrate biosimilarity and </w:t>
      </w:r>
    </w:p>
    <w:p>
      <w:pPr>
        <w:spacing w:line="276" w:lineRule="auto" w:after="200" w:before="0"/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20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>interchangeability.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16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Companies that develop biosimilars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incorporate these considerations into dossiers to </w:t>
      </w:r>
      <w:r>
        <w:rPr>
          <w:rFonts w:ascii="Arial" w:hAnsi="Arial" w:eastAsia="Lora"/>
          <w:b w:val="0"/>
          <w:i w:val="0"/>
          <w:color w:val="333333"/>
          <w:sz w:val="18"/>
        </w:rPr>
        <w:t>allow HCDMs to fully evaluate these products.</w:t>
      </w:r>
    </w:p>
    <w:p>
      <w:pPr>
        <w:autoSpaceDN w:val="0"/>
        <w:autoSpaceDE w:val="0"/>
        <w:widowControl/>
        <w:spacing w:line="276" w:lineRule="auto" w:before="0" w:after="200"/>
        <w:ind w:left="156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Because biosimilar products, as well as multiple indica-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 for a biosimilar product, may gain FDA approval based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evidence that was generated for the reference biologic,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biosimilar companies must clearly document whether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 trials and other studies (e.g., pharmacokinetic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studies) were conducted with the reference biologic or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biosimilar product. HCDMs should be able to distinguish </w:t>
      </w:r>
      <w:r>
        <w:rPr>
          <w:rFonts w:ascii="Arial" w:hAnsi="Arial" w:eastAsia="Lora"/>
          <w:b w:val="0"/>
          <w:i w:val="0"/>
          <w:color w:val="333333"/>
          <w:sz w:val="18"/>
        </w:rPr>
        <w:t>whether biosimilars are supported by direct or extrapo-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lated evidence. </w:t>
      </w:r>
    </w:p>
    <w:p>
      <w:pPr>
        <w:spacing w:line="276" w:lineRule="auto" w:after="200" w:before="0"/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4.0" w:type="dxa"/>
      </w:tblPr>
      <w:tblGrid>
        <w:gridCol w:w="4862"/>
        <w:gridCol w:w="4862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16" w:header="720" w:footer="720" w:gutter="0"/>
          <w:cols/>
          <w:docGrid w:linePitch="360"/>
        </w:sectPr>
      </w:pPr>
    </w:p>
    <w:p>
      <w:pPr>
        <w:autoSpaceDN w:val="0"/>
        <w:tabs>
          <w:tab w:pos="184" w:val="left"/>
          <w:tab w:pos="364" w:val="left"/>
        </w:tabs>
        <w:autoSpaceDE w:val="0"/>
        <w:widowControl/>
        <w:spacing w:line="276" w:lineRule="auto" w:before="0" w:after="200"/>
        <w:ind w:left="4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Additional information on FDA guidance related to bio-</w:t>
      </w:r>
      <w:r>
        <w:rPr>
          <w:rFonts w:ascii="Arial" w:hAnsi="Arial" w:eastAsia="Lora"/>
          <w:b w:val="0"/>
          <w:i w:val="0"/>
          <w:color w:val="333333"/>
          <w:sz w:val="18"/>
        </w:rPr>
        <w:t>similars may be found in the following: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Considerations in Demonstrating Interchangeability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a Reference Product: Guidance for Industry. May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2019.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16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Biologics Price Competition and Innovation Act of 2009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(BPCI Act).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17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Guidance for Industry: Scientific Considerations in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Demonstrating Biosimilarity to a Reference Product. </w:t>
      </w:r>
    </w:p>
    <w:p>
      <w:pPr>
        <w:autoSpaceDN w:val="0"/>
        <w:tabs>
          <w:tab w:pos="364" w:val="left"/>
        </w:tabs>
        <w:autoSpaceDE w:val="0"/>
        <w:widowControl/>
        <w:spacing w:line="276" w:lineRule="auto" w:before="0" w:after="200"/>
        <w:ind w:left="184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April 2015.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18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Guidance for Industry: Development of Therapeutic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Protein Biosimilars: Comparative Analytical Assessment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Other Quality-Related Considerations Guidance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for Industry. April 2019.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19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Nonproprietary Naming of Biological Products: Update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Guidance for Industry. March 2019.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20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Reference Product Exclusivity for Biological Products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Filed Under Section 351(a) of the Public Health Service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Act. Draft Guidance. August 2014.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21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Clinical Pharmacology Data to Support a Demonstration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Biosimilarity to a Reference Product. Draft Guidance. </w:t>
      </w:r>
    </w:p>
    <w:p>
      <w:pPr>
        <w:autoSpaceDN w:val="0"/>
        <w:tabs>
          <w:tab w:pos="364" w:val="left"/>
        </w:tabs>
        <w:autoSpaceDE w:val="0"/>
        <w:widowControl/>
        <w:spacing w:line="276" w:lineRule="auto" w:before="0" w:after="200"/>
        <w:ind w:left="184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December 2016.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22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Questions and Answers on Biosimilar Development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the BPCI Act. December 2018.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15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New and Revised Draft Q&amp;As on Biosimilar Development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and the BPCI Act (revision 2). December 2018.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23</w:t>
      </w:r>
    </w:p>
    <w:p>
      <w:pPr>
        <w:autoSpaceDN w:val="0"/>
        <w:autoSpaceDE w:val="0"/>
        <w:widowControl/>
        <w:spacing w:line="276" w:lineRule="auto" w:before="0" w:after="200"/>
        <w:ind w:left="4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Companion Diagnostic Tests</w:t>
      </w:r>
    </w:p>
    <w:p>
      <w:pPr>
        <w:autoSpaceDN w:val="0"/>
        <w:tabs>
          <w:tab w:pos="184" w:val="left"/>
        </w:tabs>
        <w:autoSpaceDE w:val="0"/>
        <w:widowControl/>
        <w:spacing w:line="276" w:lineRule="auto" w:before="0" w:after="200"/>
        <w:ind w:left="4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CDTs have been defined in various ways and have been </w:t>
      </w:r>
      <w:r>
        <w:rPr>
          <w:rFonts w:ascii="Arial" w:hAnsi="Arial" w:eastAsia="Lora"/>
          <w:b w:val="0"/>
          <w:i w:val="0"/>
          <w:color w:val="333333"/>
          <w:sz w:val="18"/>
        </w:rPr>
        <w:t>referred to as pharmacogenomics, pharmacogenetics, tar-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geted therapy, personalized medicine, precision medicine,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biomarker testing, etc. The FDA definition describes a CDT, </w:t>
      </w:r>
      <w:r>
        <w:rPr>
          <w:rFonts w:ascii="Arial" w:hAnsi="Arial" w:eastAsia="Lora"/>
          <w:b w:val="0"/>
          <w:i w:val="0"/>
          <w:color w:val="333333"/>
          <w:sz w:val="18"/>
        </w:rPr>
        <w:t>or an in vitro companion diagnostic device, as one that pro-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vides information that is essential for the safe and effective </w:t>
      </w:r>
      <w:r>
        <w:rPr>
          <w:rFonts w:ascii="Arial" w:hAnsi="Arial" w:eastAsia="Lora"/>
          <w:b w:val="0"/>
          <w:i w:val="0"/>
          <w:color w:val="333333"/>
          <w:sz w:val="18"/>
        </w:rPr>
        <w:t>use of a corresponding therapeutic product.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24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More specifically, in the AMCP Format, a CDT is defined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 a laboratory test or assay that provides predictive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differential information about a patient’s response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anticipated response to drug therapy. This contrasts with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diagnostic or prognostic tests, which provide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>about the disease process rather than response to treat-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ment. The Companion test Assessment Tool (CAT) was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developed to assist HCDMs in determining whether a full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technology review is necessary and, if so, what factors are </w:t>
      </w:r>
      <w:r>
        <w:rPr>
          <w:rFonts w:ascii="Arial" w:hAnsi="Arial" w:eastAsia="Lora"/>
          <w:b w:val="0"/>
          <w:i w:val="0"/>
          <w:color w:val="333333"/>
          <w:sz w:val="18"/>
        </w:rPr>
        <w:t>likely to be most influential in the CDT’s overall value.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25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There are multiple sources for background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>regarding CDTs. In addition, various other analyses evalu-</w:t>
      </w:r>
      <w:r>
        <w:rPr>
          <w:rFonts w:ascii="Arial" w:hAnsi="Arial" w:eastAsia="Lora"/>
          <w:b w:val="0"/>
          <w:i w:val="0"/>
          <w:color w:val="333333"/>
          <w:sz w:val="18"/>
        </w:rPr>
        <w:t>ating frameworks and cost-effectiveness are available.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26-31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16" w:header="720" w:footer="720" w:gutter="0"/>
          <w:cols w:num="2" w:equalWidth="0">
            <w:col w:w="5248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DOSSIERS FROM PHARMACEUTICAL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/>
          <w:i w:val="0"/>
          <w:color w:val="333333"/>
          <w:sz w:val="20"/>
        </w:rPr>
        <w:t xml:space="preserve">MANUFACTURERS VERSUS CDT MANUFACTURERS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Implementation of dossier requests for CDTs using the </w:t>
      </w:r>
      <w:r>
        <w:rPr>
          <w:rFonts w:ascii="Arial" w:hAnsi="Arial" w:eastAsia="Lora"/>
          <w:b w:val="0"/>
          <w:i w:val="0"/>
          <w:color w:val="333333"/>
          <w:sz w:val="18"/>
        </w:rPr>
        <w:t>AMCP Format may be complicated by the variety of poten-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tial relationships between a pharmaceutical manufacturer </w:t>
      </w:r>
      <w:r>
        <w:rPr>
          <w:rFonts w:ascii="Arial" w:hAnsi="Arial" w:eastAsia="Lora"/>
          <w:b w:val="0"/>
          <w:i w:val="0"/>
          <w:color w:val="333333"/>
          <w:sz w:val="18"/>
        </w:rPr>
        <w:t>and CDT manufacturer/developer.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following are possible CDT development scenarios, in </w:t>
      </w:r>
      <w:r>
        <w:rPr>
          <w:rFonts w:ascii="Arial" w:hAnsi="Arial" w:eastAsia="Lora"/>
          <w:b w:val="0"/>
          <w:i w:val="0"/>
          <w:color w:val="333333"/>
          <w:sz w:val="18"/>
        </w:rPr>
        <w:t>no preferential order: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CDT co-developed with the pharmaceutical and FDA-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approved together with the pharmaceutical.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CDT developed independently of the pharmaceutical,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typically after approval of the pharmaceutical.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CDT developed independently and targeted for a class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of medications.</w:t>
      </w:r>
    </w:p>
    <w:p>
      <w:pPr>
        <w:autoSpaceDN w:val="0"/>
        <w:autoSpaceDE w:val="0"/>
        <w:widowControl/>
        <w:spacing w:line="276" w:lineRule="auto" w:before="0" w:after="200"/>
        <w:ind w:left="156" w:right="576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In each of these scenarios, the pharmaceutical manufac-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turer may or may not be the same as the CDT manufacturer/ </w:t>
      </w:r>
      <w:r>
        <w:rPr>
          <w:rFonts w:ascii="Arial" w:hAnsi="Arial" w:eastAsia="Lora"/>
          <w:b w:val="0"/>
          <w:i w:val="0"/>
          <w:color w:val="333333"/>
          <w:sz w:val="18"/>
        </w:rPr>
        <w:t>developer. In the case where the pharmaceutical manufac-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turer is different from the CDT manufacturer/developer, </w:t>
      </w:r>
      <w:r>
        <w:rPr>
          <w:rFonts w:ascii="Arial" w:hAnsi="Arial" w:eastAsia="Lora"/>
          <w:b w:val="0"/>
          <w:i w:val="0"/>
          <w:color w:val="333333"/>
          <w:sz w:val="18"/>
        </w:rPr>
        <w:t>the two companies may or may not have business agree-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ments to work collaboratively in the development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marketing of the drug and CDT. Obtaining evidence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CDTs may also be complicated when a clinical laboratory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test is not reviewed, cleared, or approved by the FDA (a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laboratory developed test when testing is a service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a product or kit). Thus, depending on the development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pathway, manufacturers and CDT developers may have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different responsibilities and processes regarding evidence </w:t>
      </w:r>
      <w:r>
        <w:rPr>
          <w:rFonts w:ascii="Arial" w:hAnsi="Arial" w:eastAsia="Lora"/>
          <w:b w:val="0"/>
          <w:i w:val="0"/>
          <w:color w:val="333333"/>
          <w:sz w:val="18"/>
        </w:rPr>
        <w:t>submission to HCDMs.</w:t>
      </w:r>
    </w:p>
    <w:p>
      <w:pPr>
        <w:autoSpaceDN w:val="0"/>
        <w:tabs>
          <w:tab w:pos="33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Given the potential complexity of regulatory processes,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data sources, and manufacturer relationships, the AMCP </w:t>
      </w:r>
      <w:r>
        <w:rPr>
          <w:rFonts w:ascii="Arial" w:hAnsi="Arial" w:eastAsia="Lora"/>
          <w:b w:val="0"/>
          <w:i w:val="0"/>
          <w:color w:val="333333"/>
          <w:sz w:val="18"/>
        </w:rPr>
        <w:t>Format includes the following recommendations for devel-</w:t>
      </w:r>
      <w:r>
        <w:rPr>
          <w:rFonts w:ascii="Arial" w:hAnsi="Arial" w:eastAsia="Lora"/>
          <w:b w:val="0"/>
          <w:i w:val="0"/>
          <w:color w:val="333333"/>
          <w:sz w:val="18"/>
        </w:rPr>
        <w:t>oping dossiers with CDT evidence: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The CDT is co-developed with a pharmaceutical.</w:t>
      </w:r>
    </w:p>
    <w:p>
      <w:pPr>
        <w:autoSpaceDN w:val="0"/>
        <w:autoSpaceDE w:val="0"/>
        <w:widowControl/>
        <w:spacing w:line="276" w:lineRule="auto" w:before="0" w:after="200"/>
        <w:ind w:left="696" w:right="672" w:hanging="180"/>
        <w:jc w:val="both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should provide CDT evidence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part of the pharmaceutical dossier in the AMCP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Format because the evidence for the safety, efficacy,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value of the pharmaceutical is inherently linked </w:t>
      </w:r>
      <w:r>
        <w:rPr>
          <w:rFonts w:ascii="Arial" w:hAnsi="Arial" w:eastAsia="Lora"/>
          <w:b w:val="0"/>
          <w:i w:val="0"/>
          <w:color w:val="333333"/>
          <w:sz w:val="18"/>
        </w:rPr>
        <w:t>to the CDT.</w:t>
      </w:r>
    </w:p>
    <w:p>
      <w:pPr>
        <w:autoSpaceDN w:val="0"/>
        <w:tabs>
          <w:tab w:pos="516" w:val="left"/>
          <w:tab w:pos="1050" w:val="left"/>
          <w:tab w:pos="1636" w:val="left"/>
          <w:tab w:pos="1976" w:val="left"/>
          <w:tab w:pos="3074" w:val="left"/>
          <w:tab w:pos="4538" w:val="left"/>
          <w:tab w:pos="4908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CDT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developed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independently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pharmaceutical.</w:t>
      </w:r>
    </w:p>
    <w:p>
      <w:pPr>
        <w:autoSpaceDN w:val="0"/>
        <w:autoSpaceDE w:val="0"/>
        <w:widowControl/>
        <w:spacing w:line="276" w:lineRule="auto" w:before="0" w:after="200"/>
        <w:ind w:left="696" w:right="576" w:hanging="18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If the CDT is required in the drug label, the manufac-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turer should, if possible, provide data on the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validity, clinical utility, and economic value of both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pharmaceutical and CDT in the drug dossier. </w:t>
      </w:r>
    </w:p>
    <w:p>
      <w:pPr>
        <w:autoSpaceDN w:val="0"/>
        <w:autoSpaceDE w:val="0"/>
        <w:widowControl/>
        <w:spacing w:line="276" w:lineRule="auto" w:before="0" w:after="200"/>
        <w:ind w:left="69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on analytic validity should be provided </w:t>
      </w:r>
      <w:r>
        <w:rPr>
          <w:rFonts w:ascii="Arial" w:hAnsi="Arial" w:eastAsia="Lora"/>
          <w:b w:val="0"/>
          <w:i w:val="0"/>
          <w:color w:val="333333"/>
          <w:sz w:val="18"/>
        </w:rPr>
        <w:t>if feasible.</w:t>
      </w:r>
    </w:p>
    <w:p>
      <w:pPr>
        <w:autoSpaceDN w:val="0"/>
        <w:autoSpaceDE w:val="0"/>
        <w:widowControl/>
        <w:spacing w:line="276" w:lineRule="auto" w:before="0" w:after="200"/>
        <w:ind w:left="696" w:right="672" w:hanging="180"/>
        <w:jc w:val="both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If the CDT is not required in the pharmaceutical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label, then the CDT developer should provide a “CDT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dossier” that provides information as out lined in this </w:t>
      </w:r>
      <w:r>
        <w:rPr>
          <w:rFonts w:ascii="Arial" w:hAnsi="Arial" w:eastAsia="Lora"/>
          <w:b w:val="0"/>
          <w:i w:val="0"/>
          <w:color w:val="333333"/>
          <w:sz w:val="18"/>
        </w:rPr>
        <w:t>section.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16" w:header="720" w:footer="720" w:gutter="0"/>
          <w:cols w:num="2" w:equalWidth="0">
            <w:col w:w="5248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16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1080" w:val="left"/>
        </w:tabs>
        <w:autoSpaceDE w:val="0"/>
        <w:widowControl/>
        <w:spacing w:line="276" w:lineRule="auto" w:before="0" w:after="200"/>
        <w:ind w:left="90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The CDT is developed independently and is targeted for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 class of medications.</w:t>
      </w:r>
    </w:p>
    <w:p>
      <w:pPr>
        <w:autoSpaceDN w:val="0"/>
        <w:tabs>
          <w:tab w:pos="1260" w:val="left"/>
        </w:tabs>
        <w:autoSpaceDE w:val="0"/>
        <w:widowControl/>
        <w:spacing w:line="276" w:lineRule="auto" w:before="0" w:after="200"/>
        <w:ind w:left="108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CDT developer should provide a “CDT dossier”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that provides information as outlined in this section.</w:t>
      </w:r>
    </w:p>
    <w:p>
      <w:pPr>
        <w:autoSpaceDN w:val="0"/>
        <w:autoSpaceDE w:val="0"/>
        <w:widowControl/>
        <w:spacing w:line="276" w:lineRule="auto" w:before="0" w:after="200"/>
        <w:ind w:left="720" w:right="1296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Comparative Effectiveness </w:t>
      </w:r>
      <w:r>
        <w:rPr>
          <w:rFonts w:ascii="Arial" w:hAnsi="Arial" w:eastAsia="Asap"/>
          <w:b/>
          <w:i w:val="0"/>
          <w:color w:val="333333"/>
          <w:sz w:val="32"/>
        </w:rPr>
        <w:t>Research</w:t>
      </w:r>
    </w:p>
    <w:p>
      <w:pPr>
        <w:autoSpaceDN w:val="0"/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While the AMCP Format does not require manufacturers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use any particular research design to present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benefit, safety, cost-effectiveness, or financial impact </w:t>
      </w:r>
      <w:r>
        <w:rPr>
          <w:rFonts w:ascii="Arial" w:hAnsi="Arial" w:eastAsia="Lora"/>
          <w:b w:val="0"/>
          <w:i w:val="0"/>
          <w:color w:val="333333"/>
          <w:sz w:val="18"/>
        </w:rPr>
        <w:t>of their products, it does strongly recommend that manu-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facturers include evidence from comparative 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>research (CER) studies as they become available.</w:t>
      </w:r>
    </w:p>
    <w:p>
      <w:pPr>
        <w:autoSpaceDN w:val="0"/>
        <w:autoSpaceDE w:val="0"/>
        <w:widowControl/>
        <w:spacing w:line="276" w:lineRule="auto" w:before="0" w:after="200"/>
        <w:ind w:left="720" w:right="154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Initial approval of products by the FDA is based 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randomized controlled trials (RCTs) comparing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placebo or, more preferably, a relevant active comparator.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Because of their highly controlled research settings, RCTs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considered the gold standard for clinical research with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high internal validity. </w:t>
      </w:r>
    </w:p>
    <w:p>
      <w:pPr>
        <w:autoSpaceDN w:val="0"/>
        <w:autoSpaceDE w:val="0"/>
        <w:widowControl/>
        <w:spacing w:line="276" w:lineRule="auto" w:before="0" w:after="200"/>
        <w:ind w:left="720" w:right="154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Real-world data from CER is usually not available at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time of new product launch. However, in subsequent years,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real-world CER may be conducted by manufacturers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well as by other researchers, and the new evidence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incorporated into the dossiers. RCTs and CER can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complement each other by generating evidence to answer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questions that may be more appropriate in one study design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the other. For example, sometimes, it is not ethical or </w:t>
      </w:r>
      <w:r>
        <w:rPr>
          <w:rFonts w:ascii="Arial" w:hAnsi="Arial" w:eastAsia="Lora"/>
          <w:b w:val="0"/>
          <w:i w:val="0"/>
          <w:color w:val="333333"/>
          <w:sz w:val="18"/>
        </w:rPr>
        <w:t>feasible to conduct RCTs.</w:t>
      </w:r>
    </w:p>
    <w:p>
      <w:pPr>
        <w:autoSpaceDN w:val="0"/>
        <w:tabs>
          <w:tab w:pos="900" w:val="left"/>
        </w:tabs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There are many study designs that may be used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conduct CER. The AMCP Format does not dictate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process by which evidence is developed, nor does it provide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methodological guidance. The reader is referred to other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sources for more background information on various study </w:t>
      </w:r>
      <w:r>
        <w:rPr>
          <w:rFonts w:ascii="Arial" w:hAnsi="Arial" w:eastAsia="Lora"/>
          <w:b w:val="0"/>
          <w:i w:val="0"/>
          <w:color w:val="333333"/>
          <w:sz w:val="18"/>
        </w:rPr>
        <w:t>designs such as Bayesian and adaptive trials,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32,33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pragmatic </w:t>
      </w:r>
      <w:r>
        <w:rPr>
          <w:rFonts w:ascii="Arial" w:hAnsi="Arial" w:eastAsia="Lora"/>
          <w:b w:val="0"/>
          <w:i w:val="0"/>
          <w:color w:val="333333"/>
          <w:sz w:val="18"/>
        </w:rPr>
        <w:t>clinical trials,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34,35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prospective observational studies,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36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ret-</w:t>
      </w:r>
      <w:r>
        <w:rPr>
          <w:rFonts w:ascii="Arial" w:hAnsi="Arial" w:eastAsia="Lora"/>
          <w:b w:val="0"/>
          <w:i w:val="0"/>
          <w:color w:val="333333"/>
          <w:sz w:val="18"/>
        </w:rPr>
        <w:t>rospective observational studies,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37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systematic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reviews including indirect treatment comparisons and </w:t>
      </w:r>
      <w:r>
        <w:rPr>
          <w:rFonts w:ascii="Arial" w:hAnsi="Arial" w:eastAsia="Lora"/>
          <w:b w:val="0"/>
          <w:i w:val="0"/>
          <w:color w:val="333333"/>
          <w:sz w:val="18"/>
        </w:rPr>
        <w:t>network meta-analyses,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38-41 </w:t>
      </w:r>
      <w:r>
        <w:rPr>
          <w:rFonts w:ascii="Arial" w:hAnsi="Arial" w:eastAsia="Lora"/>
          <w:b w:val="0"/>
          <w:i w:val="0"/>
          <w:color w:val="333333"/>
          <w:sz w:val="18"/>
        </w:rPr>
        <w:t>and modeling studies.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42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assessing evidence from CER studies, various tools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be used to evaluate different types of outcomes </w:t>
      </w:r>
      <w:r>
        <w:rPr>
          <w:rFonts w:ascii="Arial" w:hAnsi="Arial" w:eastAsia="Lora"/>
          <w:b w:val="0"/>
          <w:i w:val="0"/>
          <w:color w:val="333333"/>
          <w:sz w:val="18"/>
        </w:rPr>
        <w:t>research,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43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including prospective and retrospective </w:t>
      </w:r>
      <w:r>
        <w:rPr>
          <w:rFonts w:ascii="Arial" w:hAnsi="Arial" w:eastAsia="Lora"/>
          <w:b w:val="0"/>
          <w:i w:val="0"/>
          <w:color w:val="333333"/>
          <w:sz w:val="18"/>
        </w:rPr>
        <w:t>observational studies,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44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modeling studies,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45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and indirect </w:t>
      </w:r>
      <w:r>
        <w:rPr>
          <w:rFonts w:ascii="Arial" w:hAnsi="Arial" w:eastAsia="Lora"/>
          <w:b w:val="0"/>
          <w:i w:val="0"/>
          <w:color w:val="333333"/>
          <w:sz w:val="18"/>
        </w:rPr>
        <w:t>treatment comparison studies.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46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HCDMs may also use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tools to assess the body of evidence, such as Institute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 and Economic Review (ICER)  Evidence Rating </w:t>
      </w:r>
      <w:r>
        <w:rPr>
          <w:rFonts w:ascii="Arial" w:hAnsi="Arial" w:eastAsia="Lora"/>
          <w:b w:val="0"/>
          <w:i w:val="0"/>
          <w:color w:val="333333"/>
          <w:sz w:val="18"/>
        </w:rPr>
        <w:t>Matrix,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47-49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Grading of Recommendations Assessment, </w:t>
      </w:r>
      <w:r>
        <w:rPr>
          <w:rFonts w:ascii="Arial" w:hAnsi="Arial" w:eastAsia="Lora"/>
          <w:b w:val="0"/>
          <w:i w:val="0"/>
          <w:color w:val="333333"/>
          <w:sz w:val="18"/>
        </w:rPr>
        <w:t>Development and Evaluation (GRADE),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50-52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and refer to good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practices recommended by The Professional Society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Health Economics and Outcomes Research (ISPOR) and the </w:t>
      </w:r>
      <w:r>
        <w:rPr>
          <w:rFonts w:ascii="Arial" w:hAnsi="Arial" w:eastAsia="Lora"/>
          <w:b w:val="0"/>
          <w:i w:val="0"/>
          <w:color w:val="333333"/>
          <w:sz w:val="18"/>
        </w:rPr>
        <w:t>International Society for Pharmacoepidemiology (ISPE).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53</w:t>
      </w:r>
    </w:p>
    <w:p>
      <w:pPr>
        <w:spacing w:line="276" w:lineRule="auto" w:after="200" w:before="0"/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Digital Therapeutics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AMCP defines DTx as products—including software, appli-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cations (i.e., apps), or programs—designed to stand alone </w:t>
      </w:r>
      <w:r>
        <w:rPr>
          <w:rFonts w:ascii="Arial" w:hAnsi="Arial" w:eastAsia="Lora"/>
          <w:b w:val="0"/>
          <w:i w:val="0"/>
          <w:color w:val="333333"/>
          <w:sz w:val="18"/>
        </w:rPr>
        <w:t>or work in combination with existing medications or treat-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ments to help patients prevent, treat, and/or manage their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diseases, while ensuring optimal health outcomes from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therapy. A key distinguishing feature of a DTx product,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either prescription or nonprescription, is that it makes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health claim that is validated by a third party (e.g.,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regulatory authority). However, definitions of digital health,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DTx, and digital health technology (DHT) differ across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various sources and are generally broad, encompassing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many types of products (see Table 2). DTx are generally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considered a subset or subcategory of DHT, which includes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full spectrum of digital technologies (i.e., health system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tools, clinician-facing tools, and patient-facing wellness;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care support; and monitoring, diagnostic, and therapeutic </w:t>
      </w:r>
      <w:r>
        <w:rPr>
          <w:rFonts w:ascii="Arial" w:hAnsi="Arial" w:eastAsia="Lora"/>
          <w:b w:val="0"/>
          <w:i w:val="0"/>
          <w:color w:val="333333"/>
          <w:sz w:val="18"/>
        </w:rPr>
        <w:t>products).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role of the AMCP Format with DTx is the same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prescription pharmaceuticals: to convey evidentiary </w:t>
      </w:r>
      <w:r>
        <w:rPr>
          <w:rFonts w:ascii="Arial" w:hAnsi="Arial" w:eastAsia="Lora"/>
          <w:b w:val="0"/>
          <w:i w:val="0"/>
          <w:color w:val="333333"/>
          <w:sz w:val="18"/>
        </w:rPr>
        <w:t>needs. The goal of the dossier is to standardize com-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munication of the evidence and supplemental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evaluation of multiple types of products based 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their benefit/risk profile, alternative options, and place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therapy. Given the volume of DTx products coming to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market, standardized resources will be critical in allowing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 to systematically evaluate DTx for coverage or to </w:t>
      </w:r>
      <w:r>
        <w:rPr>
          <w:rFonts w:ascii="Arial" w:hAnsi="Arial" w:eastAsia="Lora"/>
          <w:b w:val="0"/>
          <w:i w:val="0"/>
          <w:color w:val="333333"/>
          <w:sz w:val="18"/>
        </w:rPr>
        <w:t>incorporate them into a treatment regimen.</w:t>
      </w:r>
    </w:p>
    <w:p>
      <w:pPr>
        <w:autoSpaceDN w:val="0"/>
        <w:tabs>
          <w:tab w:pos="338" w:val="left"/>
          <w:tab w:pos="51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Because of the vast number, type, and complexity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products, and evolving nature of the class, additional </w:t>
      </w:r>
      <w:r>
        <w:rPr>
          <w:rFonts w:ascii="Arial" w:hAnsi="Arial" w:eastAsia="Lora"/>
          <w:b w:val="0"/>
          <w:i w:val="0"/>
          <w:color w:val="333333"/>
          <w:sz w:val="18"/>
        </w:rPr>
        <w:t>information may be needed for the following: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Functionality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How DTx are made available (e.g., app, computer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program, website)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Compatibility (i.e., software and/or hardware neces-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sary to utilize product)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Instructions for use and intended care setting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Place in therapy (i.e., is the product intended to be used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certain drugs or classes of drugs? Or could it be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used as a stand-alone product?)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Available versions (e.g., different languages or formats)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Technology assistance/support available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Real-world evidence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Regulatory codes, classifications, and identifiers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Billing and reimbursement codes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These items may be addressed in the dossier through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existing sections. The place in therapy, functionality,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compatibility may be addressed in Section 2.0B Production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and Disease Description, and any trials and/or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real-world evidence may be placed into their appropriate </w:t>
      </w:r>
    </w:p>
    <w:p>
      <w:pPr>
        <w:spacing w:line="276" w:lineRule="auto" w:after="200" w:before="0"/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62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2435"/>
        <w:gridCol w:w="2435"/>
        <w:gridCol w:w="2435"/>
        <w:gridCol w:w="2435"/>
      </w:tblGrid>
      <w:tr>
        <w:trPr>
          <w:trHeight w:hRule="exact" w:val="1814"/>
        </w:trPr>
        <w:tc>
          <w:tcPr>
            <w:tcW w:type="dxa" w:w="1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296"/>
            </w:tblGrid>
            <w:tr>
              <w:trPr>
                <w:trHeight w:hRule="exact" w:val="354"/>
              </w:trPr>
              <w:tc>
                <w:tcPr>
                  <w:tcW w:type="dxa" w:w="1296"/>
                  <w:tcBorders/>
                  <w:shd w:fill="474b5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4" w:after="0"/>
                    <w:ind w:left="0" w:right="0" w:firstLine="0"/>
                    <w:jc w:val="center"/>
                  </w:pPr>
                  <w:r>
                    <w:rPr>
                      <w:rFonts w:ascii="Asap" w:hAnsi="Asap" w:eastAsia="Asap"/>
                      <w:b/>
                      <w:i w:val="0"/>
                      <w:color w:val="FFFFFF"/>
                      <w:sz w:val="20"/>
                    </w:rPr>
                    <w:t>TABLE 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0" w:right="0"/>
            </w:pPr>
          </w:p>
        </w:tc>
        <w:tc>
          <w:tcPr>
            <w:tcW w:type="dxa" w:w="5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6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20"/>
              </w:rPr>
              <w:t xml:space="preserve">Definitions Related to Digital Therapeutics </w:t>
            </w:r>
          </w:p>
        </w:tc>
        <w:tc>
          <w:tcPr>
            <w:tcW w:type="dxa" w:w="31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94"/>
            </w:tblGrid>
            <w:tr>
              <w:trPr>
                <w:trHeight w:hRule="exact" w:val="362"/>
              </w:trPr>
              <w:tc>
                <w:tcPr>
                  <w:tcW w:type="dxa" w:w="1094"/>
                  <w:tcBorders/>
                  <w:shd w:fill="6b146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72" w:after="0"/>
                    <w:ind w:left="9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FFFFFF"/>
                      <w:sz w:val="18"/>
                    </w:rPr>
                    <w:t>17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35"/>
        <w:gridCol w:w="2435"/>
        <w:gridCol w:w="2435"/>
        <w:gridCol w:w="2435"/>
      </w:tblGrid>
      <w:tr>
        <w:trPr>
          <w:trHeight w:hRule="exact" w:val="328"/>
        </w:trPr>
        <w:tc>
          <w:tcPr>
            <w:tcW w:type="dxa" w:w="1454"/>
            <w:tcBorders>
              <w:top w:sz="16.0" w:val="single" w:color="#474B55"/>
              <w:end w:sz="8.0" w:val="single" w:color="#FFFFFF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Term</w:t>
            </w:r>
          </w:p>
        </w:tc>
        <w:tc>
          <w:tcPr>
            <w:tcW w:type="dxa" w:w="1448"/>
            <w:tcBorders>
              <w:start w:sz="8.0" w:val="single" w:color="#FFFFFF"/>
              <w:top w:sz="16.0" w:val="single" w:color="#474B55"/>
              <w:end w:sz="8.0" w:val="single" w:color="#FFFFFF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Organization</w:t>
            </w:r>
          </w:p>
        </w:tc>
        <w:tc>
          <w:tcPr>
            <w:tcW w:type="dxa" w:w="3500"/>
            <w:tcBorders>
              <w:start w:sz="8.0" w:val="single" w:color="#FFFFFF"/>
              <w:top w:sz="16.0" w:val="single" w:color="#474B55"/>
              <w:end w:sz="8.0" w:val="single" w:color="#FFFFFF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Definition</w:t>
            </w:r>
          </w:p>
        </w:tc>
        <w:tc>
          <w:tcPr>
            <w:tcW w:type="dxa" w:w="4058"/>
            <w:tcBorders>
              <w:start w:sz="8.0" w:val="single" w:color="#FFFFFF"/>
              <w:top w:sz="16.0" w:val="single" w:color="#474B55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Categories</w:t>
            </w:r>
          </w:p>
        </w:tc>
      </w:tr>
      <w:tr>
        <w:trPr>
          <w:trHeight w:hRule="exact" w:val="1680"/>
        </w:trPr>
        <w:tc>
          <w:tcPr>
            <w:tcW w:type="dxa" w:w="1454"/>
            <w:vMerge w:val="restart"/>
            <w:tcBorders>
              <w:top w:sz="8.0" w:val="single" w:color="#13377C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1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DTx</w:t>
            </w:r>
          </w:p>
        </w:tc>
        <w:tc>
          <w:tcPr>
            <w:tcW w:type="dxa" w:w="1448"/>
            <w:tcBorders>
              <w:start w:sz="8.0" w:val="single" w:color="#C6C8C7"/>
              <w:top w:sz="8.0" w:val="single" w:color="#13377C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AMCP</w:t>
            </w:r>
          </w:p>
        </w:tc>
        <w:tc>
          <w:tcPr>
            <w:tcW w:type="dxa" w:w="3500"/>
            <w:tcBorders>
              <w:start w:sz="8.0" w:val="single" w:color="#C6C8C7"/>
              <w:top w:sz="8.0" w:val="single" w:color="#13377C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Products (software, apps, or programs) designed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to stand alone or work in combination with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existing medications or treatments to help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patients prevent, treat, and/or manage their dis-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eases while ensuring optimal health outcomes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from therapy. A key distinguishing feature of a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prescription (or regulated) DTx product is that it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makes a health claim that is validated by a third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party (e.g., a regulatory authority).</w:t>
            </w:r>
          </w:p>
        </w:tc>
        <w:tc>
          <w:tcPr>
            <w:tcW w:type="dxa" w:w="4058"/>
            <w:vMerge w:val="restart"/>
            <w:tcBorders>
              <w:start w:sz="8.0" w:val="single" w:color="#C6C8C7"/>
              <w:top w:sz="8.0" w:val="single" w:color="#13377C"/>
              <w:bottom w:sz="8.0" w:val="single" w:color="#C6C8C7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432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Treat a disease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Manage a disease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Improve a health function (e.g., prevent a disease)</w:t>
            </w:r>
          </w:p>
        </w:tc>
      </w:tr>
      <w:tr>
        <w:trPr>
          <w:trHeight w:hRule="exact" w:val="1000"/>
        </w:trPr>
        <w:tc>
          <w:tcPr>
            <w:tcW w:type="dxa" w:w="2435"/>
            <w:vMerge/>
            <w:tcBorders>
              <w:top w:sz="8.0" w:val="single" w:color="#13377C"/>
              <w:end w:sz="8.0" w:val="single" w:color="#C6C8C7"/>
              <w:bottom w:sz="8.0" w:val="single" w:color="#C6C8C7"/>
            </w:tcBorders>
          </w:tcPr>
          <w:p/>
        </w:tc>
        <w:tc>
          <w:tcPr>
            <w:tcW w:type="dxa" w:w="1448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DTA</w:t>
            </w:r>
          </w:p>
        </w:tc>
        <w:tc>
          <w:tcPr>
            <w:tcW w:type="dxa" w:w="3500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Health software intended to treat or alleviate a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disease, disorder, condition, or injury by gener-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ating and delivering a medical intervention that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has a demonstrable positive therapeutic impact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on a patient’s health.</w:t>
            </w:r>
            <w:r>
              <w:rPr>
                <w:color w:val="333333"/>
                <w:w w:val="97.16666539510092"/>
                <w:rFonts w:ascii="Arial" w:hAnsi="Arial" w:eastAsia="Asap"/>
                <w:b w:val="0"/>
                <w:i w:val="0"/>
                <w:sz w:val="9"/>
              </w:rPr>
              <w:t>54</w:t>
            </w:r>
          </w:p>
        </w:tc>
        <w:tc>
          <w:tcPr>
            <w:tcW w:type="dxa" w:w="2435"/>
            <w:vMerge/>
            <w:tcBorders>
              <w:start w:sz="8.0" w:val="single" w:color="#C6C8C7"/>
              <w:top w:sz="8.0" w:val="single" w:color="#13377C"/>
              <w:bottom w:sz="8.0" w:val="single" w:color="#C6C8C7"/>
            </w:tcBorders>
          </w:tcPr>
          <w:p/>
        </w:tc>
      </w:tr>
      <w:tr>
        <w:trPr>
          <w:trHeight w:hRule="exact" w:val="1290"/>
        </w:trPr>
        <w:tc>
          <w:tcPr>
            <w:tcW w:type="dxa" w:w="145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1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Digital health</w:t>
            </w:r>
          </w:p>
        </w:tc>
        <w:tc>
          <w:tcPr>
            <w:tcW w:type="dxa" w:w="1448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FDA</w:t>
            </w:r>
          </w:p>
        </w:tc>
        <w:tc>
          <w:tcPr>
            <w:tcW w:type="dxa" w:w="3500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Technologies that use computing platforms,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connectivity, software, and sensors for health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care and related uses.</w:t>
            </w:r>
          </w:p>
        </w:tc>
        <w:tc>
          <w:tcPr>
            <w:tcW w:type="dxa" w:w="4058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172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Mobile health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Health information technology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Wearable devices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Telehealth/telemedicine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Personalized medicine</w:t>
            </w:r>
          </w:p>
        </w:tc>
      </w:tr>
      <w:tr>
        <w:trPr>
          <w:trHeight w:hRule="exact" w:val="830"/>
        </w:trPr>
        <w:tc>
          <w:tcPr>
            <w:tcW w:type="dxa" w:w="1454"/>
            <w:vMerge w:val="restart"/>
            <w:tcBorders>
              <w:top w:sz="8.0" w:val="single" w:color="#C6C8C7"/>
              <w:end w:sz="8.0" w:val="single" w:color="#C6C8C7"/>
              <w:bottom w:sz="16.0" w:val="single" w:color="#474B55"/>
            </w:tcBorders>
            <w:shd w:fill="eaea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1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DHT</w:t>
            </w:r>
          </w:p>
        </w:tc>
        <w:tc>
          <w:tcPr>
            <w:tcW w:type="dxa" w:w="1448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NICE</w:t>
            </w:r>
          </w:p>
        </w:tc>
        <w:tc>
          <w:tcPr>
            <w:tcW w:type="dxa" w:w="3500"/>
            <w:tcBorders>
              <w:start w:sz="8.0" w:val="single" w:color="#C6C8C7"/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Apps, programs, and software used in the health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and social care system. They may stand alone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or be combined with other products, such as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medical devices or diagnostic tests.</w:t>
            </w:r>
          </w:p>
        </w:tc>
        <w:tc>
          <w:tcPr>
            <w:tcW w:type="dxa" w:w="4058"/>
            <w:vMerge w:val="restart"/>
            <w:tcBorders>
              <w:start w:sz="8.0" w:val="single" w:color="#C6C8C7"/>
              <w:top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158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Provide an intervention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Aid understanding/communicating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Offer system services</w:t>
            </w:r>
          </w:p>
        </w:tc>
      </w:tr>
      <w:tr>
        <w:trPr>
          <w:trHeight w:hRule="exact" w:val="2262"/>
        </w:trPr>
        <w:tc>
          <w:tcPr>
            <w:tcW w:type="dxa" w:w="2435"/>
            <w:vMerge/>
            <w:tcBorders>
              <w:top w:sz="8.0" w:val="single" w:color="#C6C8C7"/>
              <w:end w:sz="8.0" w:val="single" w:color="#C6C8C7"/>
              <w:bottom w:sz="16.0" w:val="single" w:color="#474B55"/>
            </w:tcBorders>
          </w:tcPr>
          <w:p/>
        </w:tc>
        <w:tc>
          <w:tcPr>
            <w:tcW w:type="dxa" w:w="1448"/>
            <w:tcBorders>
              <w:start w:sz="8.0" w:val="single" w:color="#C6C8C7"/>
              <w:top w:sz="8.0" w:val="single" w:color="#C6C8C7"/>
              <w:end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DTA</w:t>
            </w:r>
          </w:p>
        </w:tc>
        <w:tc>
          <w:tcPr>
            <w:tcW w:type="dxa" w:w="3500"/>
            <w:tcBorders>
              <w:start w:sz="8.0" w:val="single" w:color="#C6C8C7"/>
              <w:top w:sz="8.0" w:val="single" w:color="#C6C8C7"/>
              <w:end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0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The term DHT represents the full spectrum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of digital health products that are available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to patients, caregivers, clinicians, and health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systems.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DHT product spectrum includes various medical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device categorization sub-classifications (e.g.,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health software and digital medical device),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in addition to various product indication types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(e.g., health system tools, clinician-facing tools,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and patient-facing wellness; care support;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and monitoring, diagnostic, and therapeutic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products).</w:t>
            </w:r>
          </w:p>
        </w:tc>
        <w:tc>
          <w:tcPr>
            <w:tcW w:type="dxa" w:w="2435"/>
            <w:vMerge/>
            <w:tcBorders>
              <w:start w:sz="8.0" w:val="single" w:color="#C6C8C7"/>
              <w:top w:sz="8.0" w:val="single" w:color="#C6C8C7"/>
              <w:bottom w:sz="16.0" w:val="single" w:color="#474B55"/>
            </w:tcBorders>
          </w:tcPr>
          <w:p/>
        </w:tc>
      </w:tr>
    </w:tbl>
    <w:p>
      <w:pPr>
        <w:autoSpaceDN w:val="0"/>
        <w:autoSpaceDE w:val="0"/>
        <w:widowControl/>
        <w:spacing w:line="276" w:lineRule="auto" w:before="0" w:after="200"/>
        <w:ind w:left="40" w:right="720" w:firstLine="0"/>
        <w:jc w:val="left"/>
      </w:pPr>
      <w:r>
        <w:rPr>
          <w:rFonts w:ascii="Arial" w:hAnsi="Arial" w:eastAsia="Asap"/>
          <w:b w:val="0"/>
          <w:i w:val="0"/>
          <w:color w:val="333333"/>
          <w:sz w:val="15"/>
        </w:rPr>
        <w:t>Ad</w:t>
      </w:r>
      <w:r>
        <w:rPr>
          <w:rFonts w:ascii="Arial" w:hAnsi="Arial" w:eastAsia="Asap"/>
          <w:b w:val="0"/>
          <w:i w:val="0"/>
          <w:color w:val="333333"/>
          <w:sz w:val="15"/>
        </w:rPr>
        <w:hyperlink r:id="rId21" w:history="1">
          <w:r>
            <w:rPr>
              <w:rStyle w:val="Hyperlink"/>
            </w:rPr>
            <w:t>apted from AMCP Partnership Forum Proc</w:t>
          </w:r>
        </w:hyperlink>
      </w:r>
      <w:r>
        <w:rPr>
          <w:rFonts w:ascii="Arial" w:hAnsi="Arial" w:eastAsia="Asap"/>
          <w:b w:val="0"/>
          <w:i w:val="0"/>
          <w:color w:val="333333"/>
          <w:sz w:val="15"/>
        </w:rPr>
        <w:t>eedings: The evolving role of digital therapeutics.</w:t>
      </w:r>
      <w:r>
        <w:rPr>
          <w:rFonts w:ascii="Arial" w:hAnsi="Arial" w:eastAsia="Asap"/>
          <w:b w:val="0"/>
          <w:i/>
          <w:color w:val="333333"/>
          <w:sz w:val="15"/>
        </w:rPr>
        <w:t>J Manag Care Spec Pharm</w:t>
      </w:r>
      <w:r>
        <w:rPr>
          <w:rFonts w:ascii="Arial" w:hAnsi="Arial" w:eastAsia="Lora"/>
          <w:b w:val="0"/>
          <w:i w:val="0"/>
          <w:color w:val="333333"/>
          <w:sz w:val="15"/>
        </w:rPr>
        <w:t xml:space="preserve">. </w:t>
      </w:r>
      <w:r>
        <w:rPr>
          <w:rFonts w:ascii="Arial" w:hAnsi="Arial" w:eastAsia="Asap"/>
          <w:b w:val="0"/>
          <w:i w:val="0"/>
          <w:color w:val="333333"/>
          <w:sz w:val="15"/>
        </w:rPr>
        <w:t xml:space="preserve">2022;28(7):804-10. Available </w:t>
      </w:r>
      <w:r>
        <w:rPr>
          <w:rFonts w:ascii="Arial" w:hAnsi="Arial" w:eastAsia="Asap"/>
          <w:b w:val="0"/>
          <w:i w:val="0"/>
          <w:color w:val="333333"/>
          <w:sz w:val="15"/>
        </w:rPr>
        <w:t xml:space="preserve">at: </w:t>
      </w:r>
      <w:r>
        <w:rPr>
          <w:rFonts w:ascii="Arial" w:hAnsi="Arial" w:eastAsia="Asap"/>
          <w:b w:val="0"/>
          <w:i w:val="0"/>
          <w:color w:val="333333"/>
          <w:sz w:val="15"/>
        </w:rPr>
        <w:hyperlink r:id="rId21" w:history="1">
          <w:r>
            <w:rPr>
              <w:rStyle w:val="Hyperlink"/>
            </w:rPr>
            <w:t>https://doi.org/10.18553/jmcp.2022.22093</w:t>
          </w:r>
        </w:hyperlink>
      </w:r>
      <w:r>
        <w:rPr>
          <w:rFonts w:ascii="Arial" w:hAnsi="Arial" w:eastAsia="Asap"/>
          <w:b w:val="0"/>
          <w:i w:val="0"/>
          <w:color w:val="333333"/>
          <w:sz w:val="15"/>
        </w:rPr>
        <w:t>. Accessed December 30, 2023.</w:t>
      </w:r>
    </w:p>
    <w:p>
      <w:pPr>
        <w:autoSpaceDN w:val="0"/>
        <w:autoSpaceDE w:val="0"/>
        <w:widowControl/>
        <w:spacing w:line="276" w:lineRule="auto" w:before="0" w:after="200"/>
        <w:ind w:left="40" w:right="864" w:firstLine="0"/>
        <w:jc w:val="left"/>
      </w:pPr>
      <w:r>
        <w:rPr>
          <w:rFonts w:ascii="Arial" w:hAnsi="Arial" w:eastAsia="Asap"/>
          <w:b w:val="0"/>
          <w:i/>
          <w:color w:val="333333"/>
          <w:sz w:val="15"/>
        </w:rPr>
        <w:t>AM</w:t>
      </w:r>
      <w:r>
        <w:rPr>
          <w:rFonts w:ascii="Arial" w:hAnsi="Arial" w:eastAsia="Asap"/>
          <w:b w:val="0"/>
          <w:i/>
          <w:color w:val="333333"/>
          <w:sz w:val="15"/>
        </w:rPr>
        <w:hyperlink r:id="rId21" w:history="1">
          <w:r>
            <w:rPr>
              <w:rStyle w:val="Hyperlink"/>
            </w:rPr>
            <w:t>CP = Academy of Managed Care Pharmac</w:t>
          </w:r>
        </w:hyperlink>
      </w:r>
      <w:r>
        <w:rPr>
          <w:rFonts w:ascii="Arial" w:hAnsi="Arial" w:eastAsia="Asap"/>
          <w:b w:val="0"/>
          <w:i/>
          <w:color w:val="333333"/>
          <w:sz w:val="15"/>
        </w:rPr>
        <w:t xml:space="preserve">y; DHT = digital health technology; DTA = Digital Therapeutics Alliance; DTx = digital therapeutics; FDA = </w:t>
      </w:r>
      <w:r>
        <w:rPr>
          <w:rFonts w:ascii="Arial" w:hAnsi="Arial" w:eastAsia="Asap"/>
          <w:b w:val="0"/>
          <w:i/>
          <w:color w:val="333333"/>
          <w:sz w:val="15"/>
        </w:rPr>
        <w:t>U.S. Food and Drug Administration; NICE = National Institute for Health and Care Excellence.</w:t>
      </w:r>
    </w:p>
    <w:p>
      <w:pPr>
        <w:spacing w:line="276" w:lineRule="auto" w:after="200" w:before="0"/>
        <w:sectPr>
          <w:pgSz w:w="11880" w:h="15660"/>
          <w:pgMar w:top="360" w:right="0" w:bottom="266" w:left="7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sections within Section 3.0B Clinical Evidence. Other types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evidence and studies that do not fit within Section 3.0B, </w:t>
      </w:r>
      <w:r>
        <w:rPr>
          <w:rFonts w:ascii="Arial" w:hAnsi="Arial" w:eastAsia="Lora"/>
          <w:b w:val="0"/>
          <w:i w:val="0"/>
          <w:color w:val="333333"/>
          <w:sz w:val="18"/>
        </w:rPr>
        <w:t>such as preference testing, usability testing, and informa-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on the validation of the endpoints/scales may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included in Section 5.0B Additional Supporting Evidence.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dossier must clearly specify which version of the DTx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it addresses. </w:t>
      </w:r>
    </w:p>
    <w:p>
      <w:pPr>
        <w:autoSpaceDN w:val="0"/>
        <w:autoSpaceDE w:val="0"/>
        <w:widowControl/>
        <w:spacing w:line="276" w:lineRule="auto" w:before="0" w:after="200"/>
        <w:ind w:left="20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HCDMs require meaningful evidence of efficacy, includ-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ing clinical trials and real-world evidence, to support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evaluation and coverage. Although the body of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a DTx product may vary based on product type, claim,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approval pathway, the dossier should include the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672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highest quality data available (i.e., data demonstrating 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improvement compared to standard of care with rigorous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methodology). The evidence section should be updated to </w:t>
      </w:r>
      <w:r>
        <w:rPr>
          <w:rFonts w:ascii="Arial" w:hAnsi="Arial" w:eastAsia="Lora"/>
          <w:b w:val="0"/>
          <w:i w:val="0"/>
          <w:color w:val="333333"/>
          <w:sz w:val="18"/>
        </w:rPr>
        <w:t>reflect the current product version.</w:t>
      </w:r>
    </w:p>
    <w:p>
      <w:pPr>
        <w:autoSpaceDN w:val="0"/>
        <w:autoSpaceDE w:val="0"/>
        <w:widowControl/>
        <w:spacing w:line="276" w:lineRule="auto" w:before="0" w:after="200"/>
        <w:ind w:left="156" w:right="67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In addition, a Table of Highlights for Digital Therapeutics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be included in the product information section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 (see Sections 2.1.1A, 2.1.1B, and 2.1.1C). There is also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required Privacy Data and Security appendix and optional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appendices for engagement and screenshots (Sections 6.4A,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6.6B, and 6.6C). See Table 3 for FDA performance indicators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privacy and security. 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18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900" w:val="left"/>
          <w:tab w:pos="1080" w:val="left"/>
        </w:tabs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Given the potential complexity of regulatory processes,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data sources, and manufacturer relationships, the AMCP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Format includes the following approaches for developing </w:t>
      </w:r>
      <w:r>
        <w:rPr>
          <w:rFonts w:ascii="Arial" w:hAnsi="Arial" w:eastAsia="Lora"/>
          <w:b w:val="0"/>
          <w:i w:val="0"/>
          <w:color w:val="333333"/>
          <w:sz w:val="18"/>
        </w:rPr>
        <w:t>DTx dossiers: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/>
          <w:color w:val="333333"/>
          <w:sz w:val="18"/>
        </w:rPr>
        <w:t>• DTx as a stand-alone therapy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. If the DTx product is 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software-only intervention independent of other phar-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maceutical products or the DTx product is intended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be an add-on therapy to other standard of care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treatments, a stand-alone dossier should be developed.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/>
          <w:color w:val="333333"/>
          <w:sz w:val="18"/>
        </w:rPr>
        <w:t>• DTx used with other therapies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. If the DTx product is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intended to be used with certain classes of medications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(e.g., insulin or inhaled medications for asthma), a </w:t>
      </w:r>
    </w:p>
    <w:p>
      <w:pPr>
        <w:spacing w:line="276" w:lineRule="auto" w:after="200" w:before="0"/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6054" w:space="0"/>
            <w:col w:w="517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42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stand-alone dossier should be developed.</w:t>
      </w: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/>
          <w:color w:val="333333"/>
          <w:sz w:val="18"/>
        </w:rPr>
        <w:t xml:space="preserve">• The DTx product is co-developed or intended to be used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/>
          <w:color w:val="333333"/>
          <w:sz w:val="18"/>
        </w:rPr>
        <w:t>with a specific pharmaceutical product.</w:t>
      </w:r>
    </w:p>
    <w:p>
      <w:pPr>
        <w:autoSpaceDN w:val="0"/>
        <w:autoSpaceDE w:val="0"/>
        <w:widowControl/>
        <w:spacing w:line="276" w:lineRule="auto" w:before="0" w:after="200"/>
        <w:ind w:left="606" w:right="0" w:hanging="18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If the DTx product is required in the drug label,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 should, if possible, provide data on the </w:t>
      </w:r>
      <w:r>
        <w:rPr>
          <w:rFonts w:ascii="Arial" w:hAnsi="Arial" w:eastAsia="Lora"/>
          <w:b w:val="0"/>
          <w:i w:val="0"/>
          <w:color w:val="333333"/>
          <w:sz w:val="18"/>
        </w:rPr>
        <w:t>clinical utility and economic value of the pharmaceu-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tical and the DTx product in a single dossier. </w:t>
      </w:r>
    </w:p>
    <w:p>
      <w:pPr>
        <w:autoSpaceDN w:val="0"/>
        <w:autoSpaceDE w:val="0"/>
        <w:widowControl/>
        <w:spacing w:line="276" w:lineRule="auto" w:before="0" w:after="200"/>
        <w:ind w:left="606" w:right="0" w:hanging="18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If the DTx product is not required in the pharmaceu-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tical label, then the developer may create a separate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 that provides information as outlined in the </w:t>
      </w:r>
      <w:r>
        <w:rPr>
          <w:rFonts w:ascii="Arial" w:hAnsi="Arial" w:eastAsia="Lora"/>
          <w:b w:val="0"/>
          <w:i w:val="0"/>
          <w:color w:val="333333"/>
          <w:sz w:val="18"/>
        </w:rPr>
        <w:t>AMCP Format.</w:t>
      </w:r>
    </w:p>
    <w:p>
      <w:pPr>
        <w:spacing w:line="276" w:lineRule="auto" w:after="200" w:before="0"/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6054" w:space="0"/>
            <w:col w:w="517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4894"/>
        <w:gridCol w:w="4894"/>
      </w:tblGrid>
      <w:tr>
        <w:trPr>
          <w:trHeight w:hRule="exact" w:val="552"/>
        </w:trPr>
        <w:tc>
          <w:tcPr>
            <w:tcW w:type="dxa" w:w="1194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8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>TABLE 3</w:t>
            </w:r>
          </w:p>
        </w:tc>
        <w:tc>
          <w:tcPr>
            <w:tcW w:type="dxa" w:w="9148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60" w:right="432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20"/>
              </w:rPr>
              <w:t xml:space="preserve">Nine FDA Key Performance Indicators on Privacy and Security, as Recommended by the AMCP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20"/>
              </w:rPr>
              <w:t>Digital Therapeutics Advisory Group</w:t>
            </w:r>
            <w:r>
              <w:rPr>
                <w:color w:val="333333"/>
                <w:w w:val="97.16666539510092"/>
                <w:rFonts w:ascii="Arial" w:hAnsi="Arial" w:eastAsia="Asap"/>
                <w:b w:val="0"/>
                <w:i w:val="0"/>
                <w:sz w:val="12"/>
              </w:rPr>
              <w:t>55-58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98.0" w:type="dxa"/>
      </w:tblPr>
      <w:tblGrid>
        <w:gridCol w:w="4894"/>
        <w:gridCol w:w="4894"/>
      </w:tblGrid>
      <w:tr>
        <w:trPr>
          <w:trHeight w:hRule="exact" w:val="310"/>
        </w:trPr>
        <w:tc>
          <w:tcPr>
            <w:tcW w:type="dxa" w:w="1876"/>
            <w:tcBorders>
              <w:top w:sz="16.0" w:val="single" w:color="#474B55"/>
              <w:end w:sz="8.0" w:val="single" w:color="#FFFFFF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Indicator</w:t>
            </w:r>
          </w:p>
        </w:tc>
        <w:tc>
          <w:tcPr>
            <w:tcW w:type="dxa" w:w="8554"/>
            <w:tcBorders>
              <w:start w:sz="8.0" w:val="single" w:color="#FFFFFF"/>
              <w:top w:sz="16.0" w:val="single" w:color="#474B55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Description</w:t>
            </w:r>
          </w:p>
        </w:tc>
      </w:tr>
      <w:tr>
        <w:trPr>
          <w:trHeight w:hRule="exact" w:val="470"/>
        </w:trPr>
        <w:tc>
          <w:tcPr>
            <w:tcW w:type="dxa" w:w="1876"/>
            <w:tcBorders>
              <w:top w:sz="8.0" w:val="single" w:color="#13377C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Complaints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13377C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Information on the process used to track complaints, concerns, and questions from users and other sources to help the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organization identify defects and improve performance.</w:t>
            </w:r>
          </w:p>
        </w:tc>
      </w:tr>
      <w:tr>
        <w:trPr>
          <w:trHeight w:hRule="exact" w:val="64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Cybersecurity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Processes for how an organization maintains data security by providing safeguards to ensure the delivery of critical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services, detect a cybersecurity event, respond to an event, and restore any capabilities or services that were impaired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due to a cybersecurity incident.</w:t>
            </w:r>
          </w:p>
        </w:tc>
      </w:tr>
      <w:tr>
        <w:trPr>
          <w:trHeight w:hRule="exact" w:val="64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Data quality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Methods an organization uses to verify the effectiveness of its data retention and integrity measures (including backups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and use of encryption) to ensure that critical data is restricted to authorized users and not altered in an unauthorized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manner by destructive malware, ransomware, malicious insider activity, or through inadvertent mistakes.</w:t>
            </w:r>
          </w:p>
        </w:tc>
      </w:tr>
      <w:tr>
        <w:trPr>
          <w:trHeight w:hRule="exact" w:val="47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Defects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Identify software defects that may cause the product to behave differently from the intended behavior or lead to false-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positive or false-negative results.</w:t>
            </w:r>
          </w:p>
        </w:tc>
      </w:tr>
      <w:tr>
        <w:trPr>
          <w:trHeight w:hRule="exact" w:val="49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Device activation/user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adherence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Define the interactions between the user and the device on a rolling basis to ensure device adherence and adequate user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training that allows for effective use of the device. </w:t>
            </w:r>
          </w:p>
        </w:tc>
      </w:tr>
      <w:tr>
        <w:trPr>
          <w:trHeight w:hRule="exact" w:val="308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Regression testing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Process for testing when the medical device company makes an update or code modification to the software.</w:t>
            </w:r>
          </w:p>
        </w:tc>
      </w:tr>
      <w:tr>
        <w:trPr>
          <w:trHeight w:hRule="exact" w:val="64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Releases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Effective software releases and updates are fundamental not just to deploy services to users but also to resolve emer-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gency, safety, critical, and security events. Medical device companies should outline deployment strategies with active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control mechanisms to push releases and updates securely and effectively.</w:t>
            </w:r>
          </w:p>
        </w:tc>
      </w:tr>
      <w:tr>
        <w:trPr>
          <w:trHeight w:hRule="exact" w:val="31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Rollbacks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Process for restoring the software product to an earlier version when a recently released version encounters issues.</w:t>
            </w:r>
          </w:p>
        </w:tc>
      </w:tr>
      <w:tr>
        <w:trPr>
          <w:trHeight w:hRule="exact" w:val="450"/>
        </w:trPr>
        <w:tc>
          <w:tcPr>
            <w:tcW w:type="dxa" w:w="1876"/>
            <w:tcBorders>
              <w:top w:sz="8.0" w:val="single" w:color="#C6C8C7"/>
              <w:end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Services</w:t>
            </w:r>
          </w:p>
        </w:tc>
        <w:tc>
          <w:tcPr>
            <w:tcW w:type="dxa" w:w="8554"/>
            <w:tcBorders>
              <w:start w:sz="8.0" w:val="single" w:color="#C6C8C7"/>
              <w:top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Process for how the developer provides software and support services to ensure that the product is delivered appropri-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ately and on time.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type w:val="continuous"/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Dossiers For Clinical Laboratory </w:t>
      </w:r>
      <w:r>
        <w:rPr>
          <w:rFonts w:ascii="Arial" w:hAnsi="Arial" w:eastAsia="Asap"/>
          <w:b/>
          <w:i w:val="0"/>
          <w:color w:val="333333"/>
          <w:sz w:val="32"/>
        </w:rPr>
        <w:t>Tests and Medical Devices</w:t>
      </w:r>
    </w:p>
    <w:p>
      <w:pPr>
        <w:autoSpaceDN w:val="0"/>
        <w:autoSpaceDE w:val="0"/>
        <w:widowControl/>
        <w:spacing w:line="276" w:lineRule="auto" w:before="0" w:after="200"/>
        <w:ind w:left="576" w:right="144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AMCP Format may be used to convey evidentiary needs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medical devices. Because of the vast number, type,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complexities of medical devices, it is recommended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medical devices that are directly related to the use of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drug are most relevant and applicable for the AMCP Format.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Examples of medical devices where the AMCP Format may </w:t>
      </w:r>
      <w:r>
        <w:rPr>
          <w:rFonts w:ascii="Arial" w:hAnsi="Arial" w:eastAsia="Lora"/>
          <w:b w:val="0"/>
          <w:i w:val="0"/>
          <w:color w:val="333333"/>
          <w:sz w:val="18"/>
        </w:rPr>
        <w:t>apply, include but are not limited to, implantable drug deliv-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ery devices, blood glucose measuring devices, test strips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(e.g., blood, urine), inhalation devices (e.g., nebulizers),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health assessment devices and tests that elucidate health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status, diagnosis, or prognosis.  Medical device companies </w:t>
      </w:r>
    </w:p>
    <w:p>
      <w:pPr>
        <w:spacing w:line="276" w:lineRule="auto" w:after="200" w:before="0"/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5952" w:space="0"/>
            <w:col w:w="527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6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are encouraged to develop and make available medical </w:t>
      </w:r>
      <w:r>
        <w:rPr>
          <w:rFonts w:ascii="Arial" w:hAnsi="Arial" w:eastAsia="Lora"/>
          <w:b w:val="0"/>
          <w:i w:val="0"/>
          <w:color w:val="333333"/>
          <w:sz w:val="18"/>
        </w:rPr>
        <w:t>device dossiers for HCDMs.</w:t>
      </w:r>
    </w:p>
    <w:p>
      <w:pPr>
        <w:autoSpaceDN w:val="0"/>
        <w:autoSpaceDE w:val="0"/>
        <w:widowControl/>
        <w:spacing w:line="276" w:lineRule="auto" w:before="0" w:after="200"/>
        <w:ind w:left="168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If a medical device company chooses to use the AMCP </w:t>
      </w:r>
      <w:r>
        <w:rPr>
          <w:rFonts w:ascii="Arial" w:hAnsi="Arial" w:eastAsia="Lora"/>
          <w:b w:val="0"/>
          <w:i w:val="0"/>
          <w:color w:val="333333"/>
          <w:sz w:val="18"/>
        </w:rPr>
        <w:t>Format to create a device dossier, the company may indi-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cate “not applicable” for AMCP Format sections that do not </w:t>
      </w:r>
      <w:r>
        <w:rPr>
          <w:rFonts w:ascii="Arial" w:hAnsi="Arial" w:eastAsia="Lora"/>
          <w:b w:val="0"/>
          <w:i w:val="0"/>
          <w:color w:val="333333"/>
          <w:sz w:val="18"/>
        </w:rPr>
        <w:t>apply to devices.</w:t>
      </w:r>
    </w:p>
    <w:p>
      <w:pPr>
        <w:autoSpaceDN w:val="0"/>
        <w:autoSpaceDE w:val="0"/>
        <w:widowControl/>
        <w:spacing w:line="276" w:lineRule="auto" w:before="0" w:after="200"/>
        <w:ind w:left="168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In August 2017, the FDA released final guidance, “Use </w:t>
      </w:r>
      <w:r>
        <w:rPr>
          <w:rFonts w:ascii="Arial" w:hAnsi="Arial" w:eastAsia="Lora"/>
          <w:b w:val="0"/>
          <w:i w:val="0"/>
          <w:color w:val="333333"/>
          <w:sz w:val="18"/>
        </w:rPr>
        <w:t>of Real-world Evidence to Support Regulatory Decision-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making for Medical Devices,” for purposes of FDA approval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clearance of medical devices. The information in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final guidance might be instructive in providing examples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real-world evidence and data that the FDA considers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appropriate for regulatory approval or clearance of medical </w:t>
      </w:r>
      <w:r>
        <w:rPr>
          <w:rFonts w:ascii="Arial" w:hAnsi="Arial" w:eastAsia="Lora"/>
          <w:b w:val="0"/>
          <w:i w:val="0"/>
          <w:color w:val="333333"/>
          <w:sz w:val="18"/>
        </w:rPr>
        <w:t>devices.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59</w:t>
      </w:r>
    </w:p>
    <w:p>
      <w:pPr>
        <w:spacing w:line="276" w:lineRule="auto" w:after="200" w:before="0"/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5952" w:space="0"/>
            <w:col w:w="527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6.0" w:type="dxa"/>
      </w:tblPr>
      <w:tblGrid>
        <w:gridCol w:w="4873"/>
        <w:gridCol w:w="4873"/>
      </w:tblGrid>
      <w:tr>
        <w:trPr>
          <w:trHeight w:hRule="exact" w:val="362"/>
        </w:trPr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6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4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Heterogeneity of Treatment Effect</w:t>
      </w:r>
    </w:p>
    <w:p>
      <w:pPr>
        <w:autoSpaceDN w:val="0"/>
        <w:autoSpaceDE w:val="0"/>
        <w:widowControl/>
        <w:spacing w:line="276" w:lineRule="auto" w:before="0" w:after="200"/>
        <w:ind w:left="4" w:right="156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Heterogeneity of treatment effect is defined as “nonrandom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explainable variability in the direction and magnitude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individual treatment effects, including both beneficial </w:t>
      </w:r>
      <w:r>
        <w:rPr>
          <w:rFonts w:ascii="Arial" w:hAnsi="Arial" w:eastAsia="Lora"/>
          <w:b w:val="0"/>
          <w:i w:val="0"/>
          <w:color w:val="333333"/>
          <w:sz w:val="18"/>
        </w:rPr>
        <w:t>and adverse effects.”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60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Response to a treatment, whether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beneficial or adverse, varies from individual to individual.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 is important for HCDMs to understand heterogeneity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treatment effect when evaluating therapies for clinical,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coverage, and reimbursement decisions for patients. While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evaluating the body of evidence for a treatment, HCDMs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694" w:header="720" w:footer="720" w:gutter="0"/>
          <w:cols w:num="2" w:equalWidth="0">
            <w:col w:w="5248" w:space="0"/>
            <w:col w:w="593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need to consider variability between individual patients,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within populations studied, and between clinical studies.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Factors known to be associated with disparate treatment </w:t>
      </w:r>
      <w:r>
        <w:rPr>
          <w:rFonts w:ascii="Arial" w:hAnsi="Arial" w:eastAsia="Lora"/>
          <w:b w:val="0"/>
          <w:i w:val="0"/>
          <w:color w:val="333333"/>
          <w:sz w:val="18"/>
        </w:rPr>
        <w:t>outcomes should be described. Identification of heteroge-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neity should be noted in Section 2.2.2B(3), and the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studies to support it should be summarized in Section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3.0B or Section 5.0B, as appropriate. Readers are referred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additional information on heterogeneity of treatment </w:t>
      </w:r>
      <w:r>
        <w:rPr>
          <w:rFonts w:ascii="Arial" w:hAnsi="Arial" w:eastAsia="Lora"/>
          <w:b w:val="0"/>
          <w:i w:val="0"/>
          <w:color w:val="333333"/>
          <w:sz w:val="18"/>
        </w:rPr>
        <w:t>effect.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61-64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694" w:header="720" w:footer="720" w:gutter="0"/>
          <w:cols w:num="2" w:equalWidth="0">
            <w:col w:w="5248" w:space="0"/>
            <w:col w:w="593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6" w:right="1728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 xml:space="preserve">Evidence Recommendations for Unapproved </w:t>
      </w:r>
      <w:r>
        <w:rPr>
          <w:rFonts w:ascii="Arial" w:hAnsi="Arial" w:eastAsia="Asap"/>
          <w:b w:val="0"/>
          <w:i w:val="0"/>
          <w:color w:val="333333"/>
          <w:sz w:val="48"/>
        </w:rPr>
        <w:t>Product Dossiers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6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1.0A – HIGHLIGHTS AND OVERVIEW</w:t>
      </w:r>
    </w:p>
    <w:p>
      <w:pPr>
        <w:autoSpaceDN w:val="0"/>
        <w:tabs>
          <w:tab w:pos="1500" w:val="left"/>
        </w:tabs>
        <w:autoSpaceDE w:val="0"/>
        <w:widowControl/>
        <w:spacing w:line="276" w:lineRule="auto" w:before="0" w:after="200"/>
        <w:ind w:left="26" w:right="86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SECTION 2.0A – PRODUCT INFORMATION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>DISEASE DESCRIPTION</w:t>
      </w:r>
    </w:p>
    <w:p>
      <w:pPr>
        <w:autoSpaceDN w:val="0"/>
        <w:autoSpaceDE w:val="0"/>
        <w:widowControl/>
        <w:spacing w:line="276" w:lineRule="auto" w:before="0" w:after="200"/>
        <w:ind w:left="2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3.0A – CLINICAL EVIDENCE</w:t>
      </w:r>
    </w:p>
    <w:p>
      <w:pPr>
        <w:autoSpaceDN w:val="0"/>
        <w:autoSpaceDE w:val="0"/>
        <w:widowControl/>
        <w:spacing w:line="276" w:lineRule="auto" w:before="0" w:after="200"/>
        <w:ind w:left="2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4.0A – ECONOMIC INFORMATION</w:t>
      </w:r>
    </w:p>
    <w:p>
      <w:pPr>
        <w:autoSpaceDN w:val="0"/>
        <w:autoSpaceDE w:val="0"/>
        <w:widowControl/>
        <w:spacing w:line="276" w:lineRule="auto" w:before="0" w:after="200"/>
        <w:ind w:left="2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5.0A – ADDITIONAL SUPPORTING EVIDENCE</w:t>
      </w:r>
    </w:p>
    <w:p>
      <w:pPr>
        <w:autoSpaceDN w:val="0"/>
        <w:autoSpaceDE w:val="0"/>
        <w:widowControl/>
        <w:spacing w:line="276" w:lineRule="auto" w:before="0" w:after="200"/>
        <w:ind w:left="2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6.0A – DOSSIER APPENDICES</w:t>
      </w:r>
    </w:p>
    <w:p>
      <w:pPr>
        <w:autoSpaceDN w:val="0"/>
        <w:autoSpaceDE w:val="0"/>
        <w:widowControl/>
        <w:spacing w:line="276" w:lineRule="auto" w:before="0" w:after="200"/>
        <w:ind w:left="2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1.0A Highlights and Overview</w:t>
      </w:r>
    </w:p>
    <w:p>
      <w:pPr>
        <w:autoSpaceDN w:val="0"/>
        <w:autoSpaceDE w:val="0"/>
        <w:widowControl/>
        <w:spacing w:line="276" w:lineRule="auto" w:before="0" w:after="200"/>
        <w:ind w:left="26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1.0A is two pages </w:t>
      </w:r>
      <w:r>
        <w:rPr>
          <w:rFonts w:ascii="Arial" w:hAnsi="Arial" w:eastAsia="Lora"/>
          <w:b w:val="0"/>
          <w:i w:val="0"/>
          <w:color w:val="333333"/>
          <w:sz w:val="18"/>
        </w:rPr>
        <w:t>(maximum four).</w:t>
      </w:r>
    </w:p>
    <w:p>
      <w:pPr>
        <w:autoSpaceDN w:val="0"/>
        <w:tabs>
          <w:tab w:pos="206" w:val="left"/>
        </w:tabs>
        <w:autoSpaceDE w:val="0"/>
        <w:widowControl/>
        <w:spacing w:line="276" w:lineRule="auto" w:before="0" w:after="200"/>
        <w:ind w:left="26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provides an at-a-glance overview of the key </w:t>
      </w:r>
      <w:r>
        <w:rPr>
          <w:rFonts w:ascii="Arial" w:hAnsi="Arial" w:eastAsia="Lora"/>
          <w:b w:val="0"/>
          <w:i w:val="0"/>
          <w:color w:val="333333"/>
          <w:sz w:val="18"/>
        </w:rPr>
        <w:t>information about an unapproved product.</w:t>
      </w:r>
    </w:p>
    <w:p>
      <w:pPr>
        <w:autoSpaceDN w:val="0"/>
        <w:autoSpaceDE w:val="0"/>
        <w:widowControl/>
        <w:spacing w:line="276" w:lineRule="auto" w:before="0" w:after="200"/>
        <w:ind w:left="26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Consistent with the FDA "Guidance on Responding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Unsolicited Requests for Off-Label Information About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Prescription Drugs and Medical Devices," manufacturers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not make claims, characterizations, or conclusions </w:t>
      </w:r>
      <w:r>
        <w:rPr>
          <w:rFonts w:ascii="Arial" w:hAnsi="Arial" w:eastAsia="Lora"/>
          <w:b w:val="0"/>
          <w:i w:val="0"/>
          <w:color w:val="333333"/>
          <w:sz w:val="18"/>
        </w:rPr>
        <w:t>regarding the safety, effectiveness, or uses of the unap-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proved product. Manufacturers should provide factual and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694" w:header="720" w:footer="720" w:gutter="0"/>
          <w:cols w:num="2" w:equalWidth="0">
            <w:col w:w="5270" w:space="0"/>
            <w:col w:w="5916" w:space="0"/>
          </w:cols>
          <w:docGrid w:linePitch="360"/>
        </w:sectPr>
      </w:pPr>
    </w:p>
    <w:p>
      <w:pPr>
        <w:autoSpaceDN w:val="0"/>
        <w:tabs>
          <w:tab w:pos="33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objective information about the unapproved product in an </w:t>
      </w:r>
      <w:r>
        <w:rPr>
          <w:rFonts w:ascii="Arial" w:hAnsi="Arial" w:eastAsia="Lora"/>
          <w:b w:val="0"/>
          <w:i w:val="0"/>
          <w:color w:val="333333"/>
          <w:sz w:val="18"/>
        </w:rPr>
        <w:t>Unapproved Product Dossier.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14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There is no Executive Summary in an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Dossier, as there is in an Approved Product Dossier,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because the intent of an Executive Summary is to convey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overall value proposition of a product based on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economic evidence. In an Unapproved Product Dossier, </w:t>
      </w:r>
      <w:r>
        <w:rPr>
          <w:rFonts w:ascii="Arial" w:hAnsi="Arial" w:eastAsia="Lora"/>
          <w:b w:val="0"/>
          <w:i w:val="0"/>
          <w:color w:val="333333"/>
          <w:sz w:val="18"/>
        </w:rPr>
        <w:t>no characterization or conclusions should be made regard-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ing the safety or effectiveness of an unapproved product.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However, key information should be included about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product, using the Table of Highlights for </w:t>
      </w:r>
      <w:r>
        <w:rPr>
          <w:rFonts w:ascii="Arial" w:hAnsi="Arial" w:eastAsia="Lora"/>
          <w:b w:val="0"/>
          <w:i w:val="0"/>
          <w:color w:val="333333"/>
          <w:sz w:val="18"/>
        </w:rPr>
        <w:t>Unapproved Products in Table 1.1A.</w:t>
      </w:r>
    </w:p>
    <w:p>
      <w:pPr>
        <w:autoSpaceDN w:val="0"/>
        <w:autoSpaceDE w:val="0"/>
        <w:widowControl/>
        <w:spacing w:line="276" w:lineRule="auto" w:before="0" w:after="200"/>
        <w:ind w:left="156" w:right="576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It is important to acknowledge that information may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not be available depending on the phase of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>development and life cycle (e.g., phase 2 vs. phase 3). If infor-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mation is not yet available or cannot be disclosed per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manufacturer’s discretion, indicate “N/A.” As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becomes available for communication, the manufacturer </w:t>
      </w:r>
      <w:r>
        <w:rPr>
          <w:rFonts w:ascii="Arial" w:hAnsi="Arial" w:eastAsia="Lora"/>
          <w:b w:val="0"/>
          <w:i w:val="0"/>
          <w:color w:val="333333"/>
          <w:sz w:val="18"/>
        </w:rPr>
        <w:t>should update the dossier.</w:t>
      </w:r>
    </w:p>
    <w:p>
      <w:pPr>
        <w:autoSpaceDN w:val="0"/>
        <w:tabs>
          <w:tab w:pos="33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brief and concise. Provide citations and references to </w:t>
      </w:r>
      <w:r>
        <w:rPr>
          <w:rFonts w:ascii="Arial" w:hAnsi="Arial" w:eastAsia="Lora"/>
          <w:b w:val="0"/>
          <w:i w:val="0"/>
          <w:color w:val="333333"/>
          <w:sz w:val="18"/>
        </w:rPr>
        <w:t>indicate the source of information where applicable.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694" w:header="720" w:footer="720" w:gutter="0"/>
          <w:cols w:num="2" w:equalWidth="0">
            <w:col w:w="5270" w:space="0"/>
            <w:col w:w="5916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7.99999999999997" w:type="dxa"/>
      </w:tblPr>
      <w:tblGrid>
        <w:gridCol w:w="4873"/>
        <w:gridCol w:w="4873"/>
      </w:tblGrid>
      <w:tr>
        <w:trPr>
          <w:trHeight w:hRule="exact" w:val="368"/>
        </w:trPr>
        <w:tc>
          <w:tcPr>
            <w:tcW w:type="dxa" w:w="2202"/>
            <w:tcBorders>
              <w:top w:sz="3.5999999046325684" w:val="single" w:color="#474B55"/>
            </w:tcBorders>
            <w:shd w:fill="474b5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46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>TABLE  1.1A</w:t>
            </w:r>
          </w:p>
        </w:tc>
        <w:tc>
          <w:tcPr>
            <w:tcW w:type="dxa" w:w="8140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1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20"/>
              </w:rPr>
              <w:t>TABLE OF HIGHLIGHTS FOR UNAPPROVED PRODUCTS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873"/>
        <w:gridCol w:w="4873"/>
      </w:tblGrid>
      <w:tr>
        <w:trPr>
          <w:trHeight w:hRule="exact" w:val="308"/>
        </w:trPr>
        <w:tc>
          <w:tcPr>
            <w:tcW w:type="dxa" w:w="2936"/>
            <w:tcBorders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Type of Information</w:t>
            </w:r>
          </w:p>
        </w:tc>
        <w:tc>
          <w:tcPr>
            <w:tcW w:type="dxa" w:w="7514"/>
            <w:tcBorders>
              <w:start w:sz="4.0" w:val="single" w:color="#FFFFFF"/>
              <w:top w:sz="16.0" w:val="single" w:color="#474B55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Description of Information</w:t>
            </w:r>
          </w:p>
        </w:tc>
      </w:tr>
      <w:tr>
        <w:trPr>
          <w:trHeight w:hRule="exact" w:val="308"/>
        </w:trPr>
        <w:tc>
          <w:tcPr>
            <w:tcW w:type="dxa" w:w="2936"/>
            <w:tcBorders>
              <w:top w:sz="4.0" w:val="single" w:color="#13377C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Revision dates</w:t>
            </w:r>
          </w:p>
        </w:tc>
        <w:tc>
          <w:tcPr>
            <w:tcW w:type="dxa" w:w="7514"/>
            <w:tcBorders>
              <w:start w:sz="4.0" w:val="single" w:color="#C6C8C7"/>
              <w:top w:sz="4.0" w:val="single" w:color="#13377C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dates of revisions to this table in reverse chronological order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13377C"/>
              <w:end w:sz="4.0" w:val="single" w:color="#FFFFFF"/>
              <w:bottom w:sz="4.0" w:val="single" w:color="#13377C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Manufacturer name</w:t>
            </w:r>
          </w:p>
        </w:tc>
        <w:tc>
          <w:tcPr>
            <w:tcW w:type="dxa" w:w="7514"/>
            <w:tcBorders>
              <w:start w:sz="4.0" w:val="single" w:color="#FFFFFF"/>
              <w:top w:sz="4.0" w:val="single" w:color="#13377C"/>
              <w:bottom w:sz="4.0" w:val="single" w:color="#13377C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names of companies involved in developing and marketing the unapproved product</w:t>
            </w:r>
          </w:p>
        </w:tc>
      </w:tr>
      <w:tr>
        <w:trPr>
          <w:trHeight w:hRule="exact" w:val="1252"/>
        </w:trPr>
        <w:tc>
          <w:tcPr>
            <w:tcW w:type="dxa" w:w="2936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Unapproved product name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36"/>
            </w:tblGrid>
            <w:tr>
              <w:trPr>
                <w:trHeight w:hRule="exact" w:val="308"/>
              </w:trPr>
              <w:tc>
                <w:tcPr>
                  <w:tcW w:type="dxa" w:w="1860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6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Drug class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Disease or anticipated indication</w:t>
            </w:r>
          </w:p>
        </w:tc>
        <w:tc>
          <w:tcPr>
            <w:tcW w:type="dxa" w:w="7514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2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names of the unapproved product (brand, generic, chemical, molecular, company-assigned name,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research compound number)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Describe the drug class in which the product belongs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diseases, indications, and target populations for which the unapproved product is being studied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and FDA approval is being sought</w:t>
            </w:r>
          </w:p>
        </w:tc>
      </w:tr>
    </w:tbl>
    <w:p>
      <w:pPr>
        <w:spacing w:line="276" w:lineRule="auto" w:after="200" w:before="0"/>
        <w:sectPr>
          <w:type w:val="continuous"/>
          <w:pgSz w:w="11880" w:h="15660"/>
          <w:pgMar w:top="360" w:right="0" w:bottom="266" w:left="6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70"/>
        <w:gridCol w:w="4870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20</w:t>
            </w:r>
          </w:p>
        </w:tc>
        <w:tc>
          <w:tcPr>
            <w:tcW w:type="dxa" w:w="58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04.0" w:type="dxa"/>
      </w:tblPr>
      <w:tblGrid>
        <w:gridCol w:w="4870"/>
        <w:gridCol w:w="4870"/>
      </w:tblGrid>
      <w:tr>
        <w:trPr>
          <w:trHeight w:hRule="exact" w:val="310"/>
        </w:trPr>
        <w:tc>
          <w:tcPr>
            <w:tcW w:type="dxa" w:w="2940"/>
            <w:tcBorders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Type of Information</w:t>
            </w:r>
          </w:p>
        </w:tc>
        <w:tc>
          <w:tcPr>
            <w:tcW w:type="dxa" w:w="7492"/>
            <w:tcBorders>
              <w:start w:sz="4.0" w:val="single" w:color="#FFFFFF"/>
              <w:top w:sz="16.0" w:val="single" w:color="#474B55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Description of Information</w:t>
            </w:r>
          </w:p>
        </w:tc>
      </w:tr>
      <w:tr>
        <w:trPr>
          <w:trHeight w:hRule="exact" w:val="9218"/>
        </w:trPr>
        <w:tc>
          <w:tcPr>
            <w:tcW w:type="dxa" w:w="2940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70"/>
              </w:trPr>
              <w:tc>
                <w:tcPr>
                  <w:tcW w:type="dxa" w:w="241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4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Special FDA designations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FDA submission date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70"/>
              </w:trPr>
              <w:tc>
                <w:tcPr>
                  <w:tcW w:type="dxa" w:w="271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42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FDA Advisory Committee meeting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Anticipated FDA approval date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310"/>
              </w:trPr>
              <w:tc>
                <w:tcPr>
                  <w:tcW w:type="dxa" w:w="223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6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Product launch date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288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Approval dates in other countries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(outside of the U.S.)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70"/>
              </w:trPr>
              <w:tc>
                <w:tcPr>
                  <w:tcW w:type="dxa" w:w="239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4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Phase 3 trials completed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Phase 3 trials in progress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70"/>
              </w:trPr>
              <w:tc>
                <w:tcPr>
                  <w:tcW w:type="dxa" w:w="239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4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Phase 2 trials completed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Phase 2 trials in progress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90"/>
              </w:trPr>
              <w:tc>
                <w:tcPr>
                  <w:tcW w:type="dxa" w:w="259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90" w:after="0"/>
                    <w:ind w:left="80" w:right="288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 xml:space="preserve">Anticipated routes and dosing </w:t>
                  </w: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information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432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Anticipated location/settings for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product administration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488"/>
              </w:trPr>
              <w:tc>
                <w:tcPr>
                  <w:tcW w:type="dxa" w:w="285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9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 xml:space="preserve">Prevalence of condition associated </w:t>
                  </w: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with anticipated indication in the U.S.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Annual incidence of condition associ-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ated with anticipated indication in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the U.S.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2072"/>
              </w:trPr>
              <w:tc>
                <w:tcPr>
                  <w:tcW w:type="dxa" w:w="249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942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Product pricing information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Anticipated patient support programs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2940"/>
            </w:tblGrid>
            <w:tr>
              <w:trPr>
                <w:trHeight w:hRule="exact" w:val="290"/>
              </w:trPr>
              <w:tc>
                <w:tcPr>
                  <w:tcW w:type="dxa" w:w="2676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6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Anticipated distribution strategy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0" w:right="0"/>
            </w:pPr>
          </w:p>
        </w:tc>
        <w:tc>
          <w:tcPr>
            <w:tcW w:type="dxa" w:w="7492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8" w:right="432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special designations per FDA (e.g., fast track, orphan, breakthrough) and the date of designation;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provide links to source information (e.g., FDA, press release)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date of NDA/BLA submission to the FDA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576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date of the planned or anticipated FDA Advisory Committee meeting or indicate if FDA has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determined one is unnecessary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date or time frame (e.g., year, quarter) of anticipated FDA approval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date of anticipated product launch in the market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other countries and (anticipated) approval dates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name or citation of trials and dates completed, key endpoints, and number of patients; provide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links to ClinicalTrials.gov or PubMed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name or citation of trials and dates in progress, key endpoints, and number of patients; provide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links to ClinicalTrials.gov or PubMed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name or citation of trials and dates completed, key endpoints, and number of patients; provide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links to ClinicalTrials.gov or PubMed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name or citation of trials and dates in progress, key endpoints, and number of patients; provide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links to ClinicalTrials.gov or PubMed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432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Describe the routes of administration for the unapproved product that were used in clinical trials and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anticipated to be approved by the FDA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Describe the location or health care setting where the product was administered in clinical trials and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anticipated to be given when approved by the FDA. Mention whether health care professionals/location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require specific certifications to administer the product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Express results per 100,000 (e.g., 1 per 100,000 women, 5 per 100,000 live births, 10 per 100,000 per year)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Express results per 100,000 (e.g., 1 per 100,000 women, 5 per 100,000 live births, 10 per 100,000 per year)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Indicate the anticipated annual cost per patient of the product in terms of price ranges or corridors rather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than an absolute dollar figure. For example, indicate one of the following: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[ ] ≥$1,000,000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[ ] $500,000 to $999,999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[ ] $300,000 to $499,999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[ ] $100,000 to $299,999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[ ] $50,000 to $99,999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[ ] $10,000 to $49,999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[ ] ≤$9,999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Alternatively, or in addition, indicate any other information that might help HCDMs consider the antici-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pated cost impact of the unapproved product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Describe potential plans for patient support programs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Describe anticipated distribution plans for product (e.g., limited distribution)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710" w:right="0" w:firstLine="0"/>
        <w:jc w:val="left"/>
      </w:pPr>
      <w:r>
        <w:rPr>
          <w:rFonts w:ascii="Arial" w:hAnsi="Arial" w:eastAsia="Asap"/>
          <w:b w:val="0"/>
          <w:i/>
          <w:color w:val="333333"/>
          <w:sz w:val="15"/>
        </w:rPr>
        <w:t xml:space="preserve">BLA = biologics license application; FDA = U.S. Food and Drug Administration; HCDM = health care decision-maker; NDA = new drug application; </w:t>
      </w:r>
    </w:p>
    <w:p>
      <w:pPr>
        <w:autoSpaceDN w:val="0"/>
        <w:autoSpaceDE w:val="0"/>
        <w:widowControl/>
        <w:spacing w:line="276" w:lineRule="auto" w:before="0" w:after="200"/>
        <w:ind w:left="710" w:right="0" w:firstLine="0"/>
        <w:jc w:val="left"/>
      </w:pPr>
      <w:r>
        <w:rPr>
          <w:rFonts w:ascii="Arial" w:hAnsi="Arial" w:eastAsia="Asap"/>
          <w:b w:val="0"/>
          <w:i/>
          <w:color w:val="333333"/>
          <w:sz w:val="15"/>
        </w:rPr>
        <w:t>U.S. = United States.</w:t>
      </w:r>
    </w:p>
    <w:p>
      <w:pPr>
        <w:spacing w:line="276" w:lineRule="auto" w:after="200" w:before="0"/>
        <w:sectPr>
          <w:pgSz w:w="11880" w:h="15660"/>
          <w:pgMar w:top="360" w:right="700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6.0" w:type="dxa"/>
      </w:tblPr>
      <w:tblGrid>
        <w:gridCol w:w="4873"/>
        <w:gridCol w:w="4873"/>
      </w:tblGrid>
      <w:tr>
        <w:trPr>
          <w:trHeight w:hRule="exact" w:val="362"/>
        </w:trPr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6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4" w:right="864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2.0A Product Information and </w:t>
      </w:r>
      <w:r>
        <w:rPr>
          <w:rFonts w:ascii="Arial" w:hAnsi="Arial" w:eastAsia="Asap"/>
          <w:b/>
          <w:i w:val="0"/>
          <w:color w:val="333333"/>
          <w:sz w:val="32"/>
        </w:rPr>
        <w:t>Disease Description</w:t>
      </w:r>
    </w:p>
    <w:p>
      <w:pPr>
        <w:autoSpaceDN w:val="0"/>
        <w:tabs>
          <w:tab w:pos="724" w:val="left"/>
        </w:tabs>
        <w:autoSpaceDE w:val="0"/>
        <w:widowControl/>
        <w:spacing w:line="276" w:lineRule="auto" w:before="0" w:after="200"/>
        <w:ind w:left="4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2.1A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PRODUCT INFORMATION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2.1A is five pages </w:t>
      </w:r>
      <w:r>
        <w:rPr>
          <w:rFonts w:ascii="Arial" w:hAnsi="Arial" w:eastAsia="Lora"/>
          <w:b w:val="0"/>
          <w:i w:val="0"/>
          <w:color w:val="333333"/>
          <w:sz w:val="18"/>
        </w:rPr>
        <w:t>(maximum 10).</w:t>
      </w:r>
    </w:p>
    <w:p>
      <w:pPr>
        <w:autoSpaceDN w:val="0"/>
        <w:autoSpaceDE w:val="0"/>
        <w:widowControl/>
        <w:spacing w:line="276" w:lineRule="auto" w:before="0" w:after="200"/>
        <w:ind w:left="4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are encouraged to provide as much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detailed, factual, and objective information about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product as possible, without making claims,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characterizations, or conclusions regarding safety and </w:t>
      </w:r>
      <w:r>
        <w:rPr>
          <w:rFonts w:ascii="Arial" w:hAnsi="Arial" w:eastAsia="Lora"/>
          <w:b w:val="0"/>
          <w:i w:val="0"/>
          <w:color w:val="333333"/>
          <w:sz w:val="18"/>
        </w:rPr>
        <w:t>effectiveness. It is important to acknowledge that informa-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may or may not be available depending on the phase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product development and life cycle (e.g., phase 2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vs. phase 3). If information is not yet available or cannot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disclosed per the manufacturer’s discretion, indicate </w:t>
      </w:r>
      <w:r>
        <w:rPr>
          <w:rFonts w:ascii="Arial" w:hAnsi="Arial" w:eastAsia="Lora"/>
          <w:b w:val="0"/>
          <w:i w:val="0"/>
          <w:color w:val="333333"/>
          <w:sz w:val="18"/>
        </w:rPr>
        <w:t>“N/A.” As information becomes available for communica-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tion, the manufacturer should update the dossier regularly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revise the corresponding information in Section 1.0A </w:t>
      </w:r>
      <w:r>
        <w:rPr>
          <w:rFonts w:ascii="Arial" w:hAnsi="Arial" w:eastAsia="Lora"/>
          <w:b w:val="0"/>
          <w:i w:val="0"/>
          <w:color w:val="333333"/>
          <w:sz w:val="18"/>
        </w:rPr>
        <w:t>Highlights and Overview.</w:t>
      </w:r>
    </w:p>
    <w:p>
      <w:pPr>
        <w:autoSpaceDN w:val="0"/>
        <w:tabs>
          <w:tab w:pos="184" w:val="left"/>
          <w:tab w:pos="364" w:val="left"/>
        </w:tabs>
        <w:autoSpaceDE w:val="0"/>
        <w:widowControl/>
        <w:spacing w:line="276" w:lineRule="auto" w:before="0" w:after="200"/>
        <w:ind w:left="4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following are the components that may be included </w:t>
      </w:r>
      <w:r>
        <w:rPr>
          <w:rFonts w:ascii="Arial" w:hAnsi="Arial" w:eastAsia="Lora"/>
          <w:b w:val="0"/>
          <w:i w:val="0"/>
          <w:color w:val="333333"/>
          <w:sz w:val="18"/>
        </w:rPr>
        <w:t>(per FDA Final Guidance,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the PIE Act,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4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and AMCP Format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recommendation):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A clear statement that the unapproved product is not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FDA approved and that the safety or effectiveness of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unapproved product has not been established.</w:t>
      </w:r>
    </w:p>
    <w:p>
      <w:pPr>
        <w:autoSpaceDN w:val="0"/>
        <w:autoSpaceDE w:val="0"/>
        <w:widowControl/>
        <w:spacing w:line="276" w:lineRule="auto" w:before="0" w:after="200"/>
        <w:ind w:left="364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Information related to the phase of product develop-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 (e.g., the status of any studies in which a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being investigated and how it relates to the overall </w:t>
      </w:r>
      <w:r>
        <w:rPr>
          <w:rFonts w:ascii="Arial" w:hAnsi="Arial" w:eastAsia="Lora"/>
          <w:b w:val="0"/>
          <w:i w:val="0"/>
          <w:color w:val="333333"/>
          <w:sz w:val="18"/>
        </w:rPr>
        <w:t>product development plan, whether a marketing appli-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cation for the product has been submitted to the FDA,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694" w:header="720" w:footer="720" w:gutter="0"/>
          <w:cols w:num="2" w:equalWidth="0">
            <w:col w:w="5248" w:space="0"/>
            <w:col w:w="593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51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or when such a submission is planned).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72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3. Product information (e.g., drug class, device descrip-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tion, features).</w:t>
      </w:r>
    </w:p>
    <w:p>
      <w:pPr>
        <w:autoSpaceDN w:val="0"/>
        <w:tabs>
          <w:tab w:pos="696" w:val="left"/>
        </w:tabs>
        <w:autoSpaceDE w:val="0"/>
        <w:widowControl/>
        <w:spacing w:line="276" w:lineRule="auto" w:before="0" w:after="200"/>
        <w:ind w:left="51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Generic, brand, chemical, or other given name of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unapproved product.</w:t>
      </w:r>
    </w:p>
    <w:p>
      <w:pPr>
        <w:autoSpaceDN w:val="0"/>
        <w:autoSpaceDE w:val="0"/>
        <w:widowControl/>
        <w:spacing w:line="276" w:lineRule="auto" w:before="0" w:after="200"/>
        <w:ind w:left="51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Proposed mechanism of action.</w:t>
      </w:r>
    </w:p>
    <w:p>
      <w:pPr>
        <w:autoSpaceDN w:val="0"/>
        <w:tabs>
          <w:tab w:pos="696" w:val="left"/>
        </w:tabs>
        <w:autoSpaceDE w:val="0"/>
        <w:widowControl/>
        <w:spacing w:line="276" w:lineRule="auto" w:before="0" w:after="200"/>
        <w:ind w:left="516" w:right="72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Pharmacology, pharmacokinetic, and pharmacody-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namic information.</w:t>
      </w:r>
    </w:p>
    <w:p>
      <w:pPr>
        <w:autoSpaceDN w:val="0"/>
        <w:tabs>
          <w:tab w:pos="696" w:val="left"/>
          <w:tab w:pos="2044" w:val="left"/>
          <w:tab w:pos="3356" w:val="left"/>
          <w:tab w:pos="3980" w:val="left"/>
        </w:tabs>
        <w:autoSpaceDE w:val="0"/>
        <w:widowControl/>
        <w:spacing w:line="276" w:lineRule="auto" w:before="0" w:after="200"/>
        <w:ind w:left="51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Drug/drug,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drug/food,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drug/disease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interactions.</w:t>
      </w:r>
    </w:p>
    <w:p>
      <w:pPr>
        <w:autoSpaceDN w:val="0"/>
        <w:tabs>
          <w:tab w:pos="696" w:val="left"/>
        </w:tabs>
        <w:autoSpaceDE w:val="0"/>
        <w:widowControl/>
        <w:spacing w:line="276" w:lineRule="auto" w:before="0" w:after="200"/>
        <w:ind w:left="51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Dosing and administration information (usually from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clinical trials).</w:t>
      </w:r>
    </w:p>
    <w:p>
      <w:pPr>
        <w:autoSpaceDN w:val="0"/>
        <w:autoSpaceDE w:val="0"/>
        <w:widowControl/>
        <w:spacing w:line="276" w:lineRule="auto" w:before="0" w:after="200"/>
        <w:ind w:left="51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Anticipated access and distribution information.</w:t>
      </w:r>
    </w:p>
    <w:p>
      <w:pPr>
        <w:autoSpaceDN w:val="0"/>
        <w:autoSpaceDE w:val="0"/>
        <w:widowControl/>
        <w:spacing w:line="276" w:lineRule="auto" w:before="0" w:after="200"/>
        <w:ind w:left="516" w:right="576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Information about the indications being sought, such as </w:t>
      </w:r>
      <w:r>
        <w:rPr>
          <w:rFonts w:ascii="Arial" w:hAnsi="Arial" w:eastAsia="Lora"/>
          <w:b w:val="0"/>
          <w:i w:val="0"/>
          <w:color w:val="333333"/>
          <w:sz w:val="18"/>
        </w:rPr>
        <w:t>information from the clinical study protocols about end-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points being studied and the patient population under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investigation (e.g., number of participants enrolled, </w:t>
      </w:r>
      <w:r>
        <w:rPr>
          <w:rFonts w:ascii="Arial" w:hAnsi="Arial" w:eastAsia="Lora"/>
          <w:b w:val="0"/>
          <w:i w:val="0"/>
          <w:color w:val="333333"/>
          <w:sz w:val="18"/>
        </w:rPr>
        <w:t>subject enrollment criteria, subject demographics).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5. Product pricing information.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6. Anticipated patient utilization projections (e.g., epide-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miological data projection on incidence and prevalence).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7. Anticipated product-related programs or services (e.g.,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patient support programs).</w:t>
      </w:r>
    </w:p>
    <w:p>
      <w:pPr>
        <w:autoSpaceDN w:val="0"/>
        <w:autoSpaceDE w:val="0"/>
        <w:widowControl/>
        <w:spacing w:line="276" w:lineRule="auto" w:before="0" w:after="200"/>
        <w:ind w:left="516" w:right="694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8. Information regarding FDA expedited approval, priority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review, breakthrough therapy, accelerated approval or </w:t>
      </w:r>
      <w:r>
        <w:rPr>
          <w:rFonts w:ascii="Arial" w:hAnsi="Arial" w:eastAsia="Lora"/>
          <w:b w:val="0"/>
          <w:i w:val="0"/>
          <w:color w:val="333333"/>
          <w:sz w:val="18"/>
        </w:rPr>
        <w:t>fast track designation.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9. Other factual information per the manufacturer’s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discretion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DTx products, complete the Table of Highlights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Products (see Table 1.1A) in addition to the </w:t>
      </w:r>
      <w:r>
        <w:rPr>
          <w:rFonts w:ascii="Arial" w:hAnsi="Arial" w:eastAsia="Lora"/>
          <w:b w:val="0"/>
          <w:i w:val="0"/>
          <w:color w:val="333333"/>
          <w:sz w:val="18"/>
        </w:rPr>
        <w:t>Table of Highlights for Digital Therapeutics (Table 2.1.1A).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694" w:header="720" w:footer="720" w:gutter="0"/>
          <w:cols w:num="2" w:equalWidth="0">
            <w:col w:w="5248" w:space="0"/>
            <w:col w:w="593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249"/>
        <w:gridCol w:w="3249"/>
        <w:gridCol w:w="3249"/>
      </w:tblGrid>
      <w:tr>
        <w:trPr>
          <w:trHeight w:hRule="exact" w:val="368"/>
        </w:trPr>
        <w:tc>
          <w:tcPr>
            <w:tcW w:type="dxa" w:w="2324"/>
            <w:tcBorders>
              <w:top w:sz="3.5999999046325684" w:val="single" w:color="#474B55"/>
              <w:bottom w:sz="16.0" w:val="single" w:color="#474B55"/>
            </w:tcBorders>
            <w:shd w:fill="474b5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516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>TABLE 2.1.1A</w:t>
            </w:r>
          </w:p>
        </w:tc>
        <w:tc>
          <w:tcPr>
            <w:tcW w:type="dxa" w:w="8136"/>
            <w:gridSpan w:val="2"/>
            <w:tcBorders>
              <w:top w:sz="3.5999999046325684" w:val="single" w:color="#474B55"/>
              <w:bottom w:sz="16.0" w:val="single" w:color="#474B5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1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20"/>
              </w:rPr>
              <w:t>TABLE OF HIGHLIGHTS FOR DIGITAL THERAPEUTICS</w:t>
            </w:r>
          </w:p>
        </w:tc>
      </w:tr>
      <w:tr>
        <w:trPr>
          <w:trHeight w:hRule="exact" w:val="310"/>
        </w:trPr>
        <w:tc>
          <w:tcPr>
            <w:tcW w:type="dxa" w:w="3462"/>
            <w:gridSpan w:val="2"/>
            <w:tcBorders>
              <w:top w:sz="16.0" w:val="single" w:color="#474B55"/>
            </w:tcBorders>
            <w:shd w:fill="c6c8c7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Type of Information</w:t>
            </w:r>
          </w:p>
        </w:tc>
        <w:tc>
          <w:tcPr>
            <w:tcW w:type="dxa" w:w="6998"/>
            <w:tcBorders>
              <w:top w:sz="16.0" w:val="single" w:color="#474B55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6998"/>
            </w:tblGrid>
            <w:tr>
              <w:trPr>
                <w:trHeight w:hRule="exact" w:val="290"/>
              </w:trPr>
              <w:tc>
                <w:tcPr>
                  <w:tcW w:type="dxa" w:w="6958"/>
                  <w:tcBorders/>
                  <w:shd w:fill="c6c8c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60" w:after="0"/>
                    <w:ind w:left="0" w:right="0" w:firstLine="0"/>
                    <w:jc w:val="center"/>
                  </w:pPr>
                  <w:r>
                    <w:rPr>
                      <w:w w:val="102.46950387954712"/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Description of Information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873"/>
        <w:gridCol w:w="4873"/>
      </w:tblGrid>
      <w:tr>
        <w:trPr>
          <w:trHeight w:hRule="exact" w:val="3206"/>
        </w:trPr>
        <w:tc>
          <w:tcPr>
            <w:tcW w:type="dxa" w:w="3484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Product version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4"/>
            </w:tblGrid>
            <w:tr>
              <w:trPr>
                <w:trHeight w:hRule="exact" w:val="470"/>
              </w:trPr>
              <w:tc>
                <w:tcPr>
                  <w:tcW w:type="dxa" w:w="2420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4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Approval pathway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288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Intended environment of therapy delivery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and ongoing use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4"/>
            </w:tblGrid>
            <w:tr>
              <w:trPr>
                <w:trHeight w:hRule="exact" w:val="1026"/>
              </w:trPr>
              <w:tc>
                <w:tcPr>
                  <w:tcW w:type="dxa" w:w="2900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418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Relationship to other therapies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Language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4"/>
            </w:tblGrid>
            <w:tr>
              <w:trPr>
                <w:trHeight w:hRule="exact" w:val="288"/>
              </w:trPr>
              <w:tc>
                <w:tcPr>
                  <w:tcW w:type="dxa" w:w="3200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60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Considerations for specific populations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0" w:right="0"/>
            </w:pPr>
          </w:p>
        </w:tc>
        <w:tc>
          <w:tcPr>
            <w:tcW w:type="dxa" w:w="6976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Include version of application that the dossier applies to</w:t>
            </w:r>
          </w:p>
          <w:p>
            <w:pPr>
              <w:autoSpaceDN w:val="0"/>
              <w:tabs>
                <w:tab w:pos="258" w:val="left"/>
              </w:tabs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• FDA clearance, class II device, predicates based on the desktop app now transferred to the web,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etc.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316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Patient setting (home, work, school)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Health care setting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Institutional setting (nursing home, long-term care)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37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Stand alone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Add-on therapy to standard of care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Replaces existing therapy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Co-prescribed with pharmacologic therapy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Languages in which the product is available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78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Additional information on cultural, disability, age, health or digital literacy requirements</w:t>
            </w:r>
          </w:p>
        </w:tc>
      </w:tr>
    </w:tbl>
    <w:p>
      <w:pPr>
        <w:spacing w:line="276" w:lineRule="auto" w:after="200" w:before="0"/>
        <w:sectPr>
          <w:type w:val="continuous"/>
          <w:pgSz w:w="11880" w:h="15660"/>
          <w:pgMar w:top="360" w:right="0" w:bottom="266" w:left="6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2.0" w:type="dxa"/>
      </w:tblPr>
      <w:tblGrid>
        <w:gridCol w:w="3263"/>
        <w:gridCol w:w="3263"/>
        <w:gridCol w:w="3263"/>
      </w:tblGrid>
      <w:tr>
        <w:trPr>
          <w:trHeight w:hRule="exact" w:val="1460"/>
        </w:trPr>
        <w:tc>
          <w:tcPr>
            <w:tcW w:type="dxa" w:w="372"/>
            <w:tcBorders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22</w:t>
            </w:r>
          </w:p>
        </w:tc>
        <w:tc>
          <w:tcPr>
            <w:tcW w:type="dxa" w:w="3110"/>
            <w:tcBorders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6978"/>
            <w:tcBorders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10"/>
        </w:trPr>
        <w:tc>
          <w:tcPr>
            <w:tcW w:type="dxa" w:w="372"/>
            <w:tcBorders>
              <w:top w:sz="16.0" w:val="single" w:color="#474B55"/>
            </w:tcBorders>
            <w:shd w:fill="c6c8c7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3110"/>
            <w:tcBorders>
              <w:top w:sz="16.0" w:val="single" w:color="#474B55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46" w:right="0" w:firstLine="0"/>
              <w:jc w:val="left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Type of Information</w:t>
            </w:r>
          </w:p>
        </w:tc>
        <w:tc>
          <w:tcPr>
            <w:tcW w:type="dxa" w:w="6978"/>
            <w:tcBorders>
              <w:top w:sz="16.0" w:val="single" w:color="#474B55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Description of Information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2.0" w:type="dxa"/>
      </w:tblPr>
      <w:tblGrid>
        <w:gridCol w:w="4895"/>
        <w:gridCol w:w="4895"/>
      </w:tblGrid>
      <w:tr>
        <w:trPr>
          <w:trHeight w:hRule="exact" w:val="4706"/>
        </w:trPr>
        <w:tc>
          <w:tcPr>
            <w:tcW w:type="dxa" w:w="3482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Patient access to the product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2"/>
            </w:tblGrid>
            <w:tr>
              <w:trPr>
                <w:trHeight w:hRule="exact" w:val="490"/>
              </w:trPr>
              <w:tc>
                <w:tcPr>
                  <w:tcW w:type="dxa" w:w="3278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90" w:after="0"/>
                    <w:ind w:left="80" w:right="144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 xml:space="preserve">Components required for the software to </w:t>
                  </w: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deliver its therapeutic value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Host technology and required hardware 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components (if applicable)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2"/>
            </w:tblGrid>
            <w:tr>
              <w:trPr>
                <w:trHeight w:hRule="exact" w:val="542"/>
              </w:trPr>
              <w:tc>
                <w:tcPr>
                  <w:tcW w:type="dxa" w:w="2618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8" w:lineRule="exact" w:before="178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Technical requirements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Compatibility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3482"/>
            </w:tblGrid>
            <w:tr>
              <w:trPr>
                <w:trHeight w:hRule="exact" w:val="290"/>
              </w:trPr>
              <w:tc>
                <w:tcPr>
                  <w:tcW w:type="dxa" w:w="2938"/>
                  <w:tcBorders/>
                  <w:shd w:fill="eaea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8" w:lineRule="exact" w:before="62" w:after="0"/>
                    <w:ind w:left="8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000000"/>
                      <w:sz w:val="16"/>
                    </w:rPr>
                    <w:t>Technical assistance availability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0" w:right="0"/>
            </w:pPr>
          </w:p>
        </w:tc>
        <w:tc>
          <w:tcPr>
            <w:tcW w:type="dxa" w:w="6978"/>
            <w:tcBorders>
              <w:top w:sz="4.0" w:val="single" w:color="#13377C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0" w:val="left"/>
              </w:tabs>
              <w:autoSpaceDE w:val="0"/>
              <w:widowControl/>
              <w:spacing w:line="276" w:lineRule="auto" w:before="0" w:after="80"/>
              <w:ind w:left="80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Formal prescription from a qualified clinician (in-person or virtual engagement)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Clinician referral for a nonprescription DTx product (in-person or virtual engagement)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Direct authorization by an employer for a nonprescription DTx product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Direct authorization by a payer for a nonprescription DTx product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• “Authorized clinical protocol” established by an HCDM to authorize automatic patient access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when necessary qualification requirements are met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• “Clinically validated screening tool” that patients use to determine whether they qualify for the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therapy; “over-the-counter” model where no form of third-party authorization is necessary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Details on the dispensing process may also be included (e.g., download, specialty pharmacy)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Additional hardware or software required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Smartphone, tablet, laptop, wearable device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0" w:right="5616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Offline-capable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Broadband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0" w:right="4176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PC/Mac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Browser (e.g., Chrome, Edge, Safari)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Operating system (e.g., iOS, Android)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8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In-app support via chat or call center availability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740" w:right="0" w:firstLine="0"/>
        <w:jc w:val="left"/>
      </w:pPr>
      <w:r>
        <w:rPr>
          <w:rFonts w:ascii="Arial" w:hAnsi="Arial" w:eastAsia="Asap"/>
          <w:b w:val="0"/>
          <w:i/>
          <w:color w:val="333333"/>
          <w:sz w:val="15"/>
        </w:rPr>
        <w:t xml:space="preserve">DTx = digital therapeutics; FDA = U.S. Food and Drug Administration; HCDM = health care decision-maker; iOS = Apple operating system; PC/Mac = refers </w:t>
      </w:r>
      <w:r>
        <w:rPr>
          <w:rFonts w:ascii="Arial" w:hAnsi="Arial" w:eastAsia="Asap"/>
          <w:b w:val="0"/>
          <w:i/>
          <w:color w:val="333333"/>
          <w:sz w:val="15"/>
        </w:rPr>
        <w:t>to computers running IBM-based operating systems/computers produced by Apple.</w:t>
      </w:r>
    </w:p>
    <w:p>
      <w:pPr>
        <w:spacing w:line="276" w:lineRule="auto" w:after="200" w:before="0"/>
        <w:sectPr>
          <w:pgSz w:w="11880" w:h="15660"/>
          <w:pgMar w:top="360" w:right="650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141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2.2A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DISEASE DESCRIPTION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disease description should be a top-line overview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focusing on the specific patient populations for which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is seeking an indication. </w:t>
      </w:r>
    </w:p>
    <w:p>
      <w:pPr>
        <w:autoSpaceDN w:val="0"/>
        <w:tabs>
          <w:tab w:pos="878" w:val="left"/>
          <w:tab w:pos="105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should provide a description of specific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patient subpopulations in which the product is expected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be most effective, if known. Include clinical markers,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diagnostic or genetic criteria, or other markers, if known,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can be used to identify these subpopulations. When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possible, this information should reflect the population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U.S. patients. Present a summary of information from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literature for topics, including, but not limited to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following: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Epidemiology and relevant risk factors, with a focus 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identifiable subpopulations that would be appropriate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for the use of the product.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Pathophysiology.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3. Clinical presentation.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4. Societal, humanistic, and economic burden.</w:t>
      </w:r>
    </w:p>
    <w:p>
      <w:pPr>
        <w:autoSpaceDN w:val="0"/>
        <w:autoSpaceDE w:val="0"/>
        <w:widowControl/>
        <w:spacing w:line="276" w:lineRule="auto" w:before="0" w:after="200"/>
        <w:ind w:left="1058" w:right="154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5. Health disparities related to social and demographic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factors such as race, ethnicity, gender, income, or </w:t>
      </w:r>
      <w:r>
        <w:rPr>
          <w:rFonts w:ascii="Arial" w:hAnsi="Arial" w:eastAsia="Lora"/>
          <w:b w:val="0"/>
          <w:i w:val="0"/>
          <w:color w:val="333333"/>
          <w:sz w:val="18"/>
        </w:rPr>
        <w:t>geographic region.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6. Unmet needs of current therapies.</w:t>
      </w:r>
    </w:p>
    <w:p>
      <w:pPr>
        <w:autoSpaceDN w:val="0"/>
        <w:autoSpaceDE w:val="0"/>
        <w:widowControl/>
        <w:spacing w:line="276" w:lineRule="auto" w:before="0" w:after="200"/>
        <w:ind w:left="698" w:right="154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may be expanded to provide greater detail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unapproved products that would require intense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monitoring to manage severe side effects, frequent dose </w:t>
      </w:r>
    </w:p>
    <w:p>
      <w:pPr>
        <w:spacing w:line="276" w:lineRule="auto" w:after="200" w:before="0"/>
        <w:sectPr>
          <w:type w:val="continuous"/>
          <w:pgSz w:w="11880" w:h="15660"/>
          <w:pgMar w:top="360" w:right="650" w:bottom="266" w:left="0" w:header="720" w:footer="720" w:gutter="0"/>
          <w:cols w:num="2" w:equalWidth="0">
            <w:col w:w="5940" w:space="0"/>
            <w:col w:w="5290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8" w:right="44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adjustments, or specialized training for handling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administration. For example, this section may be expanded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unapproved products that are seeking FDA approval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treat rare diseases for which relatively little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be available in the public domain. Likewise, expanded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is useful for unapproved products that could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costly, have few competing or generic alternatives, or have </w:t>
      </w:r>
      <w:r>
        <w:rPr>
          <w:rFonts w:ascii="Arial" w:hAnsi="Arial" w:eastAsia="Lora"/>
          <w:b w:val="0"/>
          <w:i w:val="0"/>
          <w:color w:val="333333"/>
          <w:sz w:val="18"/>
        </w:rPr>
        <w:t>limited distribution or access points.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3.0A Clinical Evidence</w:t>
      </w:r>
    </w:p>
    <w:p>
      <w:pPr>
        <w:autoSpaceDN w:val="0"/>
        <w:autoSpaceDE w:val="0"/>
        <w:widowControl/>
        <w:spacing w:line="276" w:lineRule="auto" w:before="0" w:after="200"/>
        <w:ind w:left="158" w:right="44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3.0A should consist of studies that support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proposed use and clinical benefits of the product in a clear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concise format. </w:t>
      </w:r>
    </w:p>
    <w:p>
      <w:pPr>
        <w:autoSpaceDN w:val="0"/>
        <w:tabs>
          <w:tab w:pos="338" w:val="left"/>
          <w:tab w:pos="51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 is important that Section 3.0A be transparent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reflect the full body of clinical evidence that exists for 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product. AMCP acknowledges that available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evidence for an unapproved product may be limited to a few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studies, and inclusion of all studies in the dossier is sensible.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 is important that the manufacturer exhibit transparency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fair representation concerning the evidence included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the dossier, while at the same time providing a dossier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is useful and manageable for HCDMs. Therefore, it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recommended that the evidence be separated into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following categories: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An overview of clinical information should be provided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first page of Section 3.0A. </w:t>
      </w:r>
    </w:p>
    <w:p>
      <w:pPr>
        <w:spacing w:line="276" w:lineRule="auto" w:after="200" w:before="0"/>
        <w:sectPr>
          <w:type w:val="nextColumn"/>
          <w:pgSz w:w="11880" w:h="15660"/>
          <w:pgMar w:top="360" w:right="650" w:bottom="266" w:left="0" w:header="720" w:footer="720" w:gutter="0"/>
          <w:cols w:num="2" w:equalWidth="0">
            <w:col w:w="5940" w:space="0"/>
            <w:col w:w="5290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23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360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Pivotal data, and in some instances other RCTs and/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real-world evidence, that contribute significantly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knowledge base of the unapproved product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included as </w:t>
      </w:r>
      <w:r>
        <w:rPr>
          <w:rFonts w:ascii="Arial" w:hAnsi="Arial" w:eastAsia="Lora"/>
          <w:b w:val="0"/>
          <w:i/>
          <w:color w:val="333333"/>
          <w:sz w:val="18"/>
        </w:rPr>
        <w:t>study summaries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(see Section 3.1A) and </w:t>
      </w:r>
      <w:r>
        <w:rPr>
          <w:rFonts w:ascii="Arial" w:hAnsi="Arial" w:eastAsia="Lora"/>
          <w:b w:val="0"/>
          <w:i/>
          <w:color w:val="333333"/>
          <w:sz w:val="18"/>
        </w:rPr>
        <w:t>evidence tables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(see Section 3.2A).</w:t>
      </w:r>
    </w:p>
    <w:p>
      <w:pPr>
        <w:autoSpaceDN w:val="0"/>
        <w:autoSpaceDE w:val="0"/>
        <w:widowControl/>
        <w:spacing w:line="276" w:lineRule="auto" w:before="0" w:after="200"/>
        <w:ind w:left="360" w:right="15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Informative but smaller and/or less rigorous studies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may add to the evidence base should be included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 </w:t>
      </w:r>
      <w:r>
        <w:rPr>
          <w:rFonts w:ascii="Arial" w:hAnsi="Arial" w:eastAsia="Lora"/>
          <w:b w:val="0"/>
          <w:i/>
          <w:color w:val="333333"/>
          <w:sz w:val="18"/>
        </w:rPr>
        <w:t>evidence tables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(see Section 3.2A) only.</w:t>
      </w:r>
    </w:p>
    <w:p>
      <w:pPr>
        <w:autoSpaceDN w:val="0"/>
        <w:autoSpaceDE w:val="0"/>
        <w:widowControl/>
        <w:spacing w:line="276" w:lineRule="auto" w:before="0" w:after="200"/>
        <w:ind w:left="360" w:right="15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All other studies that have been reported but do 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add significantly to the knowledge base of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be identified in a </w:t>
      </w:r>
      <w:r>
        <w:rPr>
          <w:rFonts w:ascii="Arial" w:hAnsi="Arial" w:eastAsia="Lora"/>
          <w:b w:val="0"/>
          <w:i/>
          <w:color w:val="333333"/>
          <w:sz w:val="18"/>
        </w:rPr>
        <w:t>bibliography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only.</w:t>
      </w:r>
    </w:p>
    <w:p>
      <w:pPr>
        <w:autoSpaceDN w:val="0"/>
        <w:tabs>
          <w:tab w:pos="18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overview of the information contained in Section 3.0A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define a specific set of objective criteria for inclusion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exclusion of studies and describe how studies were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selected for inclusion and exclusion. Studies excluded do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need to be identified in a bibliography. Considerations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establishing inclusion or exclusion criteria can be based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study characteristics as is done on ClinicalTrials.gov.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These characteristics include, but are not limited to, study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design, number of participants, and location of the study.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this section, the manufacturer should clearly explain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objective rationale for delineation and assignment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 into each of the categories above to avoid selection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bias. Because these definitions may vary depending 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context of the unapproved product, clinical setting, </w:t>
      </w:r>
      <w:r>
        <w:rPr>
          <w:rFonts w:ascii="Arial" w:hAnsi="Arial" w:eastAsia="Lora"/>
          <w:b w:val="0"/>
          <w:i w:val="0"/>
          <w:color w:val="333333"/>
          <w:sz w:val="18"/>
        </w:rPr>
        <w:t>incidence/prevalence of the disorder, and available treat-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 alternatives, the manufacturer should justify how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 are included (study summaries vs. evidence tables </w:t>
      </w:r>
      <w:r>
        <w:rPr>
          <w:rFonts w:ascii="Arial" w:hAnsi="Arial" w:eastAsia="Lora"/>
          <w:b w:val="0"/>
          <w:i w:val="0"/>
          <w:color w:val="333333"/>
          <w:sz w:val="18"/>
        </w:rPr>
        <w:t>vs. bibliography).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should also explain the degree to which study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participants represent the target population, as described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Section 2.2A, and identify differences that may obscure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translation to real-world effectiveness. For clinical trials,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diversity of study participants should be explained,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supplemental tables depicting trial representativeness 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strongly encouraged. Retrospective studies should include </w:t>
      </w:r>
      <w:r>
        <w:rPr>
          <w:rFonts w:ascii="Arial" w:hAnsi="Arial" w:eastAsia="Lora"/>
          <w:b w:val="0"/>
          <w:i w:val="0"/>
          <w:color w:val="333333"/>
          <w:sz w:val="18"/>
        </w:rPr>
        <w:t>subgroups disproportionally affected by the health condi-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tion, and limitations that erode generalizability should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disclosed. </w:t>
      </w:r>
    </w:p>
    <w:p>
      <w:pPr>
        <w:autoSpaceDN w:val="0"/>
        <w:tabs>
          <w:tab w:pos="180" w:val="left"/>
          <w:tab w:pos="36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Considerations for Section 3.0A: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The length and level of detail for study summaries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evidence tables may vary based on the amount of avail-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able data. It must be noted that HCDMs want a concise,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focused, and user-friendly presentation of data. One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most common complaints from HCDMs is that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dossiers are too long.</w:t>
      </w:r>
    </w:p>
    <w:p>
      <w:pPr>
        <w:autoSpaceDN w:val="0"/>
        <w:autoSpaceDE w:val="0"/>
        <w:widowControl/>
        <w:spacing w:line="276" w:lineRule="auto" w:before="0" w:after="200"/>
        <w:ind w:left="360" w:right="15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Specific study designs are not prescribed in this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section. Manufacturers should include studies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generate evidence about clinical outcomes. </w:t>
      </w: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Prospective clinical studies including RCTs, obser-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vational data, registries, real-world evidence, and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other studies that measure clinical endpoints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generally be included in Section 3.0A. Study results </w:t>
      </w:r>
      <w:r>
        <w:rPr>
          <w:rFonts w:ascii="Arial" w:hAnsi="Arial" w:eastAsia="Lora"/>
          <w:b w:val="0"/>
          <w:i w:val="0"/>
          <w:color w:val="333333"/>
          <w:sz w:val="18"/>
        </w:rPr>
        <w:t>and outcomes may include efficacy, safety, tolerabil-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ity, pharmacokinetics/pharmacodynamics, patient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preference, patient adherence, patient-reported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outcomes, quality of life, evidence that identifies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patient subgroups or clinical settings in which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product may be appropriate, and other </w:t>
      </w:r>
      <w:r>
        <w:rPr>
          <w:rFonts w:ascii="Arial" w:hAnsi="Arial" w:eastAsia="Lora"/>
          <w:b w:val="0"/>
          <w:i w:val="0"/>
          <w:color w:val="333333"/>
          <w:sz w:val="18"/>
        </w:rPr>
        <w:t>clinically related outcomes.</w:t>
      </w:r>
    </w:p>
    <w:p>
      <w:pPr>
        <w:autoSpaceDN w:val="0"/>
        <w:autoSpaceDE w:val="0"/>
        <w:widowControl/>
        <w:spacing w:line="276" w:lineRule="auto" w:before="0" w:after="200"/>
        <w:ind w:left="696" w:right="672" w:hanging="180"/>
        <w:jc w:val="both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vitro, animal, and phase 1 studies are generally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included unless the value proposition is based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relevant pharmacologic, pharmacodynamics, or </w:t>
      </w:r>
      <w:r>
        <w:rPr>
          <w:rFonts w:ascii="Arial" w:hAnsi="Arial" w:eastAsia="Lora"/>
          <w:b w:val="0"/>
          <w:i w:val="0"/>
          <w:color w:val="333333"/>
          <w:sz w:val="18"/>
        </w:rPr>
        <w:t>pharmacokinetic evidence in these earlier studies.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Studies available from peer-reviewed published medical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journals are preferred. When peer-reviewed publica-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 are not available, medical congress abstracts,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posters, and scientific podium presentations can be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considered. Publicly available information from manu-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scripts submitted or accepted by medical journals,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ClinicalTrials.gov, FDA briefing documents, and manu-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facturers’ data on file can also be used, when applicable.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If the results of a trial have been reported in more than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one journal article or conference abstract, poster, 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scientific podium presentation, all may be combined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into one summary and one row of an evidence table,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citing all the sources from which data have been drawn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clearly stating the total number of participants.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Discuss important study findings and comment 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their implications for different patient populations. 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72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Data summarized in Section 3.0A should not be re-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summarized in Sections 2.0A and 5.0A.</w:t>
      </w:r>
    </w:p>
    <w:p>
      <w:pPr>
        <w:autoSpaceDN w:val="0"/>
        <w:tabs>
          <w:tab w:pos="87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3.1A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STUDY SUMMARIES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each study summary is two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pages (maximum five). </w:t>
      </w:r>
    </w:p>
    <w:p>
      <w:pPr>
        <w:autoSpaceDN w:val="0"/>
        <w:tabs>
          <w:tab w:pos="336" w:val="left"/>
          <w:tab w:pos="69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Study summaries should include the following items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where available and applicable: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Publication citations, study name, ClinicalTrials.gov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ID number, and funding source.</w:t>
      </w:r>
    </w:p>
    <w:p>
      <w:pPr>
        <w:autoSpaceDN w:val="0"/>
        <w:tabs>
          <w:tab w:pos="69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Objective, location, and study start and completion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dates.</w:t>
      </w:r>
    </w:p>
    <w:p>
      <w:pPr>
        <w:autoSpaceDN w:val="0"/>
        <w:tabs>
          <w:tab w:pos="696" w:val="left"/>
        </w:tabs>
        <w:autoSpaceDE w:val="0"/>
        <w:widowControl/>
        <w:spacing w:line="276" w:lineRule="auto" w:before="0" w:after="200"/>
        <w:ind w:left="336" w:right="72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Trial design, randomization, and blinding procedures.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4.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Setting, inclusion, and exclusion criteria.</w:t>
      </w:r>
    </w:p>
    <w:p>
      <w:pPr>
        <w:autoSpaceDN w:val="0"/>
        <w:tabs>
          <w:tab w:pos="696" w:val="left"/>
        </w:tabs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5.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Baseline patient characteristics and demographics.</w:t>
      </w:r>
    </w:p>
    <w:p>
      <w:pPr>
        <w:autoSpaceDN w:val="0"/>
        <w:tabs>
          <w:tab w:pos="696" w:val="left"/>
        </w:tabs>
        <w:autoSpaceDE w:val="0"/>
        <w:widowControl/>
        <w:spacing w:line="276" w:lineRule="auto" w:before="0" w:after="200"/>
        <w:ind w:left="336" w:right="72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6.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Drop-out rates and procedures for handling drop-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outs (e.g., intention-to-treat [ITT], per protocol).</w:t>
      </w:r>
    </w:p>
    <w:p>
      <w:pPr>
        <w:autoSpaceDN w:val="0"/>
        <w:tabs>
          <w:tab w:pos="69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7.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Treatments, interventions, dosage regimens, washout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period, concomitant therapies, etc.</w:t>
      </w:r>
    </w:p>
    <w:p>
      <w:pPr>
        <w:autoSpaceDN w:val="0"/>
        <w:tabs>
          <w:tab w:pos="69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8.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Clinical outcomes evaluated, measured, and col-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lected, delineating primary versus secondary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endpoints, as well as pre-specified versus post hoc 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24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238" w:right="156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analyses. When applicable, information on surrogate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endpoints should also be provided (i.e., for expedited </w:t>
      </w:r>
      <w:r>
        <w:rPr>
          <w:rFonts w:ascii="Arial" w:hAnsi="Arial" w:eastAsia="Lora"/>
          <w:b w:val="0"/>
          <w:i w:val="0"/>
          <w:color w:val="333333"/>
          <w:sz w:val="18"/>
        </w:rPr>
        <w:t>pathways).</w:t>
      </w:r>
    </w:p>
    <w:p>
      <w:pPr>
        <w:autoSpaceDN w:val="0"/>
        <w:tabs>
          <w:tab w:pos="123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9.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Measures of effect (e.g., risk difference, risk ratio,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odds ratio, number needed to treat), statistical sig-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nificance of outcomes, and power calculations.</w:t>
      </w:r>
    </w:p>
    <w:p>
      <w:pPr>
        <w:autoSpaceDN w:val="0"/>
        <w:autoSpaceDE w:val="0"/>
        <w:widowControl/>
        <w:spacing w:line="276" w:lineRule="auto" w:before="0" w:after="200"/>
        <w:ind w:left="878" w:right="432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10. Validation of outcomes instruments, if applicable. </w:t>
      </w:r>
      <w:r>
        <w:rPr>
          <w:rFonts w:ascii="Arial" w:hAnsi="Arial" w:eastAsia="Lora"/>
          <w:b w:val="0"/>
          <w:i w:val="0"/>
          <w:color w:val="333333"/>
          <w:sz w:val="18"/>
        </w:rPr>
        <w:t>11. Generalizability of the population treated.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12. Study limitations, as stated by the authors.</w:t>
      </w:r>
    </w:p>
    <w:p>
      <w:pPr>
        <w:autoSpaceDN w:val="0"/>
        <w:tabs>
          <w:tab w:pos="141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3.2A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EVIDENCE TABLES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a row in the evidence table is </w:t>
      </w:r>
      <w:r>
        <w:rPr>
          <w:rFonts w:ascii="Arial" w:hAnsi="Arial" w:eastAsia="Lora"/>
          <w:b w:val="0"/>
          <w:i w:val="0"/>
          <w:color w:val="333333"/>
          <w:sz w:val="18"/>
        </w:rPr>
        <w:t>less than one page (maximum two) for each study.</w:t>
      </w:r>
    </w:p>
    <w:p>
      <w:pPr>
        <w:autoSpaceDN w:val="0"/>
        <w:tabs>
          <w:tab w:pos="878" w:val="left"/>
          <w:tab w:pos="105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Evidence tables should include the following data </w:t>
      </w:r>
      <w:r>
        <w:rPr>
          <w:rFonts w:ascii="Arial" w:hAnsi="Arial" w:eastAsia="Lora"/>
          <w:b w:val="0"/>
          <w:i w:val="0"/>
          <w:color w:val="333333"/>
          <w:sz w:val="18"/>
        </w:rPr>
        <w:t>elements: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Citation (if unpublished, give abstract information 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indicate “data on file”)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Treatments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Sample size and length of follow-up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Inclusion and exclusion criteria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Design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Primary endpoints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Secondary endpoints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Results (provide an explicit statement of effect size,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and/or absolute risk difference, not just relative risk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reduction and statistical significance. Within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Results column, include a table of key results.)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Statistical significance (e.g., p-value and confidence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interval)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 may be helpful to display evidence tables in landscape </w:t>
      </w:r>
      <w:r>
        <w:rPr>
          <w:rFonts w:ascii="Arial" w:hAnsi="Arial" w:eastAsia="Lora"/>
          <w:b w:val="0"/>
          <w:i w:val="0"/>
          <w:color w:val="333333"/>
          <w:sz w:val="18"/>
        </w:rPr>
        <w:t>rather than portrait formats with appropriate use of abbre-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viations and other acceptable ways to display data in a clear, </w:t>
      </w:r>
      <w:r>
        <w:rPr>
          <w:rFonts w:ascii="Arial" w:hAnsi="Arial" w:eastAsia="Lora"/>
          <w:b w:val="0"/>
          <w:i w:val="0"/>
          <w:color w:val="333333"/>
          <w:sz w:val="18"/>
        </w:rPr>
        <w:t>objective, and concise way.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4.0A Economic Information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AMCP acknowledges that the price of an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is typically not disclosed  until final approval by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FDA or market launch of the product. The FDA recognizes </w:t>
      </w:r>
      <w:r>
        <w:rPr>
          <w:rFonts w:ascii="Arial" w:hAnsi="Arial" w:eastAsia="Lora"/>
          <w:b w:val="0"/>
          <w:i w:val="0"/>
          <w:color w:val="333333"/>
          <w:sz w:val="18"/>
        </w:rPr>
        <w:t>that HCDMs need and are interested in receiving infor-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mation from manufacturers about unapproved products.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 need such information to begin to inform their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plans and budgets for future coverage and reimbursement </w:t>
      </w:r>
      <w:r>
        <w:rPr>
          <w:rFonts w:ascii="Arial" w:hAnsi="Arial" w:eastAsia="Lora"/>
          <w:b w:val="0"/>
          <w:i w:val="0"/>
          <w:color w:val="333333"/>
          <w:sz w:val="18"/>
        </w:rPr>
        <w:t>decisions well before FDA approval. A key piece of informa-</w:t>
      </w:r>
      <w:r>
        <w:rPr>
          <w:rFonts w:ascii="Arial" w:hAnsi="Arial" w:eastAsia="Lora"/>
          <w:b w:val="0"/>
          <w:i w:val="0"/>
          <w:color w:val="333333"/>
          <w:sz w:val="18"/>
        </w:rPr>
        <w:t>tion is product pricing.</w:t>
      </w:r>
    </w:p>
    <w:p>
      <w:pPr>
        <w:autoSpaceDN w:val="0"/>
        <w:autoSpaceDE w:val="0"/>
        <w:widowControl/>
        <w:spacing w:line="276" w:lineRule="auto" w:before="0" w:after="200"/>
        <w:ind w:left="698" w:right="154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AMCP strongly recommends that manufacturers provide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 much product pricing information as possible so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 may plan and budget for future coverage and </w:t>
      </w:r>
      <w:r>
        <w:rPr>
          <w:rFonts w:ascii="Arial" w:hAnsi="Arial" w:eastAsia="Lora"/>
          <w:b w:val="0"/>
          <w:i w:val="0"/>
          <w:color w:val="333333"/>
          <w:sz w:val="18"/>
        </w:rPr>
        <w:t>reimbursement decisions prior to FDA approval.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pricing information may help HCDMs consider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potential economic impact and consequences of the 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8" w:right="22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product. Product pricing information may be provided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form of price ranges or corridors, rather than a specific </w:t>
      </w:r>
      <w:r>
        <w:rPr>
          <w:rFonts w:ascii="Arial" w:hAnsi="Arial" w:eastAsia="Lora"/>
          <w:b w:val="0"/>
          <w:i w:val="0"/>
          <w:color w:val="333333"/>
          <w:sz w:val="18"/>
        </w:rPr>
        <w:t>dollar figure.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Budget impact and cost-effectiveness models may not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feasible to construct or communicate prior to FDA approval </w:t>
      </w:r>
      <w:r>
        <w:rPr>
          <w:rFonts w:ascii="Arial" w:hAnsi="Arial" w:eastAsia="Lora"/>
          <w:b w:val="0"/>
          <w:i w:val="0"/>
          <w:color w:val="333333"/>
          <w:sz w:val="18"/>
        </w:rPr>
        <w:t>because such models rely on certain outcomes and assump-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 regarding effectiveness and safety of a product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target population or indication. No characterizations or </w:t>
      </w:r>
      <w:r>
        <w:rPr>
          <w:rFonts w:ascii="Arial" w:hAnsi="Arial" w:eastAsia="Lora"/>
          <w:b w:val="0"/>
          <w:i w:val="0"/>
          <w:color w:val="333333"/>
          <w:sz w:val="18"/>
        </w:rPr>
        <w:t>conclusions should be made regarding the safety or effec-</w:t>
      </w:r>
      <w:r>
        <w:rPr>
          <w:rFonts w:ascii="Arial" w:hAnsi="Arial" w:eastAsia="Lora"/>
          <w:b w:val="0"/>
          <w:i w:val="0"/>
          <w:color w:val="333333"/>
          <w:sz w:val="18"/>
        </w:rPr>
        <w:t>tiveness of the unapproved product.</w:t>
      </w:r>
    </w:p>
    <w:p>
      <w:pPr>
        <w:autoSpaceDN w:val="0"/>
        <w:autoSpaceDE w:val="0"/>
        <w:widowControl/>
        <w:spacing w:line="276" w:lineRule="auto" w:before="0" w:after="200"/>
        <w:ind w:left="158" w:right="2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When deemed necessary, manufacturers may request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execution of nondisclosure agreements so that sensitive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confidential pricing information may be shared or </w:t>
      </w:r>
      <w:r>
        <w:rPr>
          <w:rFonts w:ascii="Arial" w:hAnsi="Arial" w:eastAsia="Lora"/>
          <w:b w:val="0"/>
          <w:i w:val="0"/>
          <w:color w:val="333333"/>
          <w:sz w:val="18"/>
        </w:rPr>
        <w:t>discussed in a protected manner.</w:t>
      </w:r>
    </w:p>
    <w:p>
      <w:pPr>
        <w:autoSpaceDN w:val="0"/>
        <w:tabs>
          <w:tab w:pos="338" w:val="left"/>
          <w:tab w:pos="51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information about an unapproved product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provided in a variety of ways, which may include the </w:t>
      </w:r>
      <w:r>
        <w:rPr>
          <w:rFonts w:ascii="Arial" w:hAnsi="Arial" w:eastAsia="Lora"/>
          <w:b w:val="0"/>
          <w:i w:val="0"/>
          <w:color w:val="333333"/>
          <w:sz w:val="18"/>
        </w:rPr>
        <w:t>following: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Estimated cost or range of cost (e.g., per year, per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patient, per course)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Directional estimations of cost or range of cost relative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to other treatment options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Rationale for pricing strategy</w:t>
      </w:r>
    </w:p>
    <w:p>
      <w:pPr>
        <w:autoSpaceDN w:val="0"/>
        <w:autoSpaceDE w:val="0"/>
        <w:widowControl/>
        <w:spacing w:line="276" w:lineRule="auto" w:before="0" w:after="200"/>
        <w:ind w:left="158" w:right="1152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5.0A Additional Supporting </w:t>
      </w:r>
      <w:r>
        <w:rPr>
          <w:rFonts w:ascii="Arial" w:hAnsi="Arial" w:eastAsia="Asap"/>
          <w:b/>
          <w:i w:val="0"/>
          <w:color w:val="333333"/>
          <w:sz w:val="32"/>
        </w:rPr>
        <w:t>Evidence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Only in limited circumstances would this section be popu-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lated, such as evidence from use outside of the U.S. When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available, relevant data supporting the unapproved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(from clinical practice guidelines, HTAs and systematic </w:t>
      </w:r>
      <w:r>
        <w:rPr>
          <w:rFonts w:ascii="Arial" w:hAnsi="Arial" w:eastAsia="Lora"/>
          <w:b w:val="0"/>
          <w:i w:val="0"/>
          <w:color w:val="333333"/>
          <w:sz w:val="18"/>
        </w:rPr>
        <w:t>reviews, modeling, and pharmacoeconomic and pharmaco-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equity studies) should be included. These data would often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consist of ex-U.S. sources so applicability to U.S. markets </w:t>
      </w:r>
      <w:r>
        <w:rPr>
          <w:rFonts w:ascii="Arial" w:hAnsi="Arial" w:eastAsia="Lora"/>
          <w:b w:val="0"/>
          <w:i w:val="0"/>
          <w:color w:val="333333"/>
          <w:sz w:val="18"/>
        </w:rPr>
        <w:t>should be considered.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5.1A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CLINICAL PRACTICE GUIDELINES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Identify important clinical practice guidelines that have been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developed and published by medical societies, government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agencies, and other national or international organizations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are relevant to the unapproved product. This may also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position statements, consensus statements,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pathways, and other similarly termed guidance that are </w:t>
      </w:r>
      <w:r>
        <w:rPr>
          <w:rFonts w:ascii="Arial" w:hAnsi="Arial" w:eastAsia="Lora"/>
          <w:b w:val="0"/>
          <w:i w:val="0"/>
          <w:color w:val="333333"/>
          <w:sz w:val="18"/>
        </w:rPr>
        <w:t>evidence-based and provide specific clinical recommenda-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tions. Focus on guideline recommendations specific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unapproved product, its comparators, and the disease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state and how the unapproved product is anticipated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included in or influenced by the guidelines. Summarize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from clinical practice guidelines briefly and, if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feasible, provide a copy of the full guidelines on request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provide links to the original guidelines. </w:t>
      </w:r>
    </w:p>
    <w:p>
      <w:pPr>
        <w:autoSpaceDN w:val="0"/>
        <w:autoSpaceDE w:val="0"/>
        <w:widowControl/>
        <w:spacing w:line="276" w:lineRule="auto" w:before="0" w:after="200"/>
        <w:ind w:left="33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should describe how it included or 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25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excluded clinical practice guidelines in this section.</w:t>
      </w: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5.2A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HTAS AND SYSTEMATIC REVIEWS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Summarize relevant HTAs, systematic reviews, and evi-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dence frameworks (also known as value frameworks)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available. Examples include Cochrane Collaboration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systematic reviews, formal systematic reviews published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peer-reviewed journals, evidence reviews by the Agency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Healthcare Research and Quality (AHRQ) and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Patient-Centered Outcomes Research Institute (PCORI),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reports from the ICER, and HTAs from recognized public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private organizations, including international bodies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such as National Institute of Clinical Excellence (NICE)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Canadian Agency for Drugs and Technologies in Health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(CADTH). Summarize the information that is relevant to the </w:t>
      </w:r>
      <w:r>
        <w:rPr>
          <w:rFonts w:ascii="Arial" w:hAnsi="Arial" w:eastAsia="Lora"/>
          <w:b w:val="0"/>
          <w:i w:val="0"/>
          <w:color w:val="333333"/>
          <w:sz w:val="18"/>
        </w:rPr>
        <w:t>unapproved product.</w:t>
      </w: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5.3A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OTHER ECONOMIC OR OUTCOMES EVIDENCE </w:t>
      </w:r>
      <w:r>
        <w:rPr>
          <w:rFonts w:ascii="Arial" w:hAnsi="Arial" w:eastAsia="Lora"/>
          <w:b w:val="0"/>
          <w:i w:val="0"/>
          <w:color w:val="333333"/>
          <w:sz w:val="18"/>
        </w:rPr>
        <w:t>Include published studies that result in economic evi-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dence or other outcomes that do not fit in Section 3.0A,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example, pharmacoeconomic, modeling,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>utilization, pharmacoequity considerations, and productiv-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ity studies, including real-world evidence. Conduct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reporting of studies in this section should follow accepted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practice as evidenced by published methodology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reporting guidelines from reputable professional societies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government agencies. </w:t>
      </w: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5.4A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EFFECT ON EQUITY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Phase 3 RCTs and cost-effectiveness analyses typically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 not address barriers to the equitable use of a product.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Such barriers may include, but are not limited to, access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specialists, health disparities and social barriers, stigma,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the patient’s ability to afford and utilize a medication.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While health equity data for new interventions may initially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limited, equity considerations often have implications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value assessment and should be discussed. </w:t>
      </w: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5.5A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EFFECT ON QUALITY MEASURES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is to accommodate information and research </w:t>
      </w:r>
      <w:r>
        <w:rPr>
          <w:rFonts w:ascii="Arial" w:hAnsi="Arial" w:eastAsia="Lora"/>
          <w:b w:val="0"/>
          <w:i w:val="0"/>
          <w:color w:val="333333"/>
          <w:sz w:val="18"/>
        </w:rPr>
        <w:t>where the unapproved product has a potential for or dem-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onstrated effect on quality measures that may not fit into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any other sections as described by the AMCP Format. If no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exists, this section is not applicable. </w:t>
      </w: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5.6A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OTHER EVIDENCE OR INFORMATION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is to accommodate other important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relevant evidence or information that may not fit into any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other sections as described by the AMCP Format. Examples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include, but are not limited to, in vitro analytical tests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animal studies that demonstrate pharmacokinetics for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biosimilar products; other ancillary evidence that demon-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strates the uniqueness, benefits, or value of the product;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information regarding effects on patients’ families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caregivers. If no information exists, this section is not </w:t>
      </w:r>
      <w:r>
        <w:rPr>
          <w:rFonts w:ascii="Arial" w:hAnsi="Arial" w:eastAsia="Lora"/>
          <w:b w:val="0"/>
          <w:i w:val="0"/>
          <w:color w:val="333333"/>
          <w:sz w:val="18"/>
        </w:rPr>
        <w:t>applicable.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6.0A Dossier Appendices</w:t>
      </w:r>
    </w:p>
    <w:p>
      <w:pPr>
        <w:autoSpaceDN w:val="0"/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following information is valuable to HCDMs and should </w:t>
      </w:r>
      <w:r>
        <w:rPr>
          <w:rFonts w:ascii="Arial" w:hAnsi="Arial" w:eastAsia="Lora"/>
          <w:b w:val="0"/>
          <w:i w:val="0"/>
          <w:color w:val="333333"/>
          <w:sz w:val="18"/>
        </w:rPr>
        <w:t>be included in Section 6.0A, when possible.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6.1A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REFERENCES CONTAINED IN DOSSIERS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citations for all known published clinical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studies in the bibliography section. Reprints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relevant published studies should be available on request,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where possible, links should be provided to original </w:t>
      </w:r>
      <w:r>
        <w:rPr>
          <w:rFonts w:ascii="Arial" w:hAnsi="Arial" w:eastAsia="Lora"/>
          <w:b w:val="0"/>
          <w:i w:val="0"/>
          <w:color w:val="333333"/>
          <w:sz w:val="18"/>
        </w:rPr>
        <w:t>sources if they are free.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6.2A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ECONOMIC MODELS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basic economic models that incorporate anticipated </w:t>
      </w:r>
      <w:r>
        <w:rPr>
          <w:rFonts w:ascii="Arial" w:hAnsi="Arial" w:eastAsia="Lora"/>
          <w:b w:val="0"/>
          <w:i w:val="0"/>
          <w:color w:val="333333"/>
          <w:sz w:val="18"/>
        </w:rPr>
        <w:t>population and utilization projections, where possible.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6.3A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MATERIAL SAFETY DATA SHEET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or link to a Material Safety Data Sheet for the </w:t>
      </w:r>
      <w:r>
        <w:rPr>
          <w:rFonts w:ascii="Arial" w:hAnsi="Arial" w:eastAsia="Lora"/>
          <w:b w:val="0"/>
          <w:i w:val="0"/>
          <w:color w:val="333333"/>
          <w:sz w:val="18"/>
        </w:rPr>
        <w:t>product.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6.4A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>APPENDICES SPECIFIC TO DTX PRODUCTS</w:t>
      </w:r>
    </w:p>
    <w:p>
      <w:pPr>
        <w:autoSpaceDN w:val="0"/>
        <w:autoSpaceDE w:val="0"/>
        <w:widowControl/>
        <w:spacing w:line="276" w:lineRule="auto" w:before="0" w:after="200"/>
        <w:ind w:left="338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Privacy and data security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related to privacy and security is required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included in an AMCP dossier. Although the intended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audience of the dossier is HCDMs who may lack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expertise needed to thoroughly evaluate the privacy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data security specifications for DTx products, a thorough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evaluation of privacy and data security is required since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is essential to a comprehensive evaluation. Moreover,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review of privacy and safety may be performed prior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 evaluation of the clinical evidence by a P&amp;T committee </w:t>
      </w:r>
      <w:r>
        <w:rPr>
          <w:rFonts w:ascii="Arial" w:hAnsi="Arial" w:eastAsia="Lora"/>
          <w:b w:val="0"/>
          <w:i w:val="0"/>
          <w:color w:val="333333"/>
          <w:sz w:val="18"/>
        </w:rPr>
        <w:t>or body. If needed, HCDMs may seek additional exper-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tise from data information technology/security experts,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establish a DTx subcommittee, or have a separate group,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such as an innovation center, assist with DTx evaluation.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DTx manufacturers may work directly with HCDMs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integrate and implement DTx. Manufacturers may also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provide relevant links to related information (i.e., privacy </w:t>
      </w:r>
      <w:r>
        <w:rPr>
          <w:rFonts w:ascii="Arial" w:hAnsi="Arial" w:eastAsia="Lora"/>
          <w:b w:val="0"/>
          <w:i w:val="0"/>
          <w:color w:val="333333"/>
          <w:sz w:val="18"/>
        </w:rPr>
        <w:t>policies, terms of service).</w:t>
      </w:r>
    </w:p>
    <w:p>
      <w:pPr>
        <w:autoSpaceDN w:val="0"/>
        <w:tabs>
          <w:tab w:pos="518" w:val="left"/>
        </w:tabs>
        <w:autoSpaceDE w:val="0"/>
        <w:widowControl/>
        <w:spacing w:line="276" w:lineRule="auto" w:before="0" w:after="200"/>
        <w:ind w:left="338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Items to be addressed in a privacy and data security </w:t>
      </w:r>
      <w:r>
        <w:rPr>
          <w:rFonts w:ascii="Arial" w:hAnsi="Arial" w:eastAsia="Lora"/>
          <w:b w:val="0"/>
          <w:i w:val="0"/>
          <w:color w:val="333333"/>
          <w:sz w:val="18"/>
        </w:rPr>
        <w:t>appendix include the following: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Certifications (e.g., SOC 2, HITRUST, PCI DSS, ITIL, ISO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27001, CIPP)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Data encryption: software supports SSL encryption</w:t>
      </w:r>
      <w:r>
        <w:rPr>
          <w:rFonts w:ascii="Arial" w:hAnsi="Arial" w:eastAsia="Lora"/>
          <w:b w:val="0"/>
          <w:i w:val="0"/>
          <w:color w:val="333333"/>
          <w:sz w:val="18"/>
        </w:rPr>
        <w:t>• Antivirus software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26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105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Data protection security measures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Security information and event management solu-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 (SIEM), web application firewalls (WAF), SECOPS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monitoring, managed security providers (MSSPs), secu-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rity orchestration automation and response platforms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(SOAR)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Data backup and recovery solutions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Details on where data are stored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Processes for secure disposal of information technol-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ogy equipment and media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Intrusion detection systems (IDS) or intrusion preven-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tion systems (IPS) used.</w:t>
      </w:r>
    </w:p>
    <w:p>
      <w:pPr>
        <w:autoSpaceDN w:val="0"/>
        <w:autoSpaceDE w:val="0"/>
        <w:widowControl/>
        <w:spacing w:line="276" w:lineRule="auto" w:before="0" w:after="200"/>
        <w:ind w:left="878" w:right="216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Parental restrictions for minors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Data integrity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Cybersecurity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Data privacy processes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Multifactor authentication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Ransomware protection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Other hack prevention methods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Engagement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may specify how they define engagement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an optional appendix. Due to the wide variety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DTx products available, measures for engagement, user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satisfaction, and active users have not been standardized.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Furthermore, standard measures used for traditional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products, such as adherence and persistence, may 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apply to DTx products. If engagement measures were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used in clinical trials or real-world evidence, they may be </w:t>
      </w:r>
      <w:r>
        <w:rPr>
          <w:rFonts w:ascii="Arial" w:hAnsi="Arial" w:eastAsia="Lora"/>
          <w:b w:val="0"/>
          <w:i w:val="0"/>
          <w:color w:val="333333"/>
          <w:sz w:val="18"/>
        </w:rPr>
        <w:t>addressed in Section 3.0A or Section 5.0A.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Screenshots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Screenshots of the patient-facing or clinician-facing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application may be included in the dossier as an optional </w:t>
      </w:r>
      <w:r>
        <w:rPr>
          <w:rFonts w:ascii="Arial" w:hAnsi="Arial" w:eastAsia="Lora"/>
          <w:b w:val="0"/>
          <w:i w:val="0"/>
          <w:color w:val="333333"/>
          <w:sz w:val="18"/>
        </w:rPr>
        <w:t>appendix. If included, the version number of the applica-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must be stated. Links to external websites intended </w:t>
      </w:r>
      <w:r>
        <w:rPr>
          <w:rFonts w:ascii="Arial" w:hAnsi="Arial" w:eastAsia="Lora"/>
          <w:b w:val="0"/>
          <w:i w:val="0"/>
          <w:color w:val="333333"/>
          <w:sz w:val="18"/>
        </w:rPr>
        <w:t>for health care professionals may also be included.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740" w:right="1584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 xml:space="preserve">Evidence Recommendations for Approved </w:t>
      </w:r>
      <w:r>
        <w:rPr>
          <w:rFonts w:ascii="Arial" w:hAnsi="Arial" w:eastAsia="Asap"/>
          <w:b w:val="0"/>
          <w:i w:val="0"/>
          <w:color w:val="333333"/>
          <w:sz w:val="48"/>
        </w:rPr>
        <w:t>Product Dossiers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1.0B – EXECUTIVE SUMMARY</w:t>
      </w:r>
    </w:p>
    <w:p>
      <w:pPr>
        <w:autoSpaceDN w:val="0"/>
        <w:tabs>
          <w:tab w:pos="2172" w:val="left"/>
        </w:tabs>
        <w:autoSpaceDE w:val="0"/>
        <w:widowControl/>
        <w:spacing w:line="276" w:lineRule="auto" w:before="0" w:after="200"/>
        <w:ind w:left="698" w:right="86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SECTION 2.0B – PRODUCT INFORMATION AND </w:t>
      </w:r>
      <w:r>
        <w:rPr>
          <w:rFonts w:ascii="Arial" w:hAnsi="Arial" w:eastAsia="Asap"/>
          <w:b/>
          <w:i w:val="0"/>
          <w:color w:val="333333"/>
          <w:sz w:val="20"/>
        </w:rPr>
        <w:t>DISEASE DESCRIPTION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3.0B – CLINICAL EVIDENCE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4.0B – VALUE AND MODELING REPORT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5.0B – ADDITIONAL SUPPORTING EVIDENCE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6.0B – DOSSIER APPENDICES</w:t>
      </w:r>
    </w:p>
    <w:p>
      <w:pPr>
        <w:autoSpaceDN w:val="0"/>
        <w:autoSpaceDE w:val="0"/>
        <w:widowControl/>
        <w:spacing w:line="276" w:lineRule="auto" w:before="0" w:after="200"/>
        <w:ind w:left="698" w:right="432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1.0B Executive Summary: Clinical </w:t>
      </w:r>
      <w:r>
        <w:rPr>
          <w:rFonts w:ascii="Arial" w:hAnsi="Arial" w:eastAsia="Asap"/>
          <w:b/>
          <w:i w:val="0"/>
          <w:color w:val="333333"/>
          <w:sz w:val="32"/>
        </w:rPr>
        <w:t xml:space="preserve">and Economic  Value of the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/>
          <w:i w:val="0"/>
          <w:color w:val="333333"/>
          <w:sz w:val="32"/>
        </w:rPr>
        <w:t>Approved Product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1.0B is five pages </w:t>
      </w:r>
      <w:r>
        <w:rPr>
          <w:rFonts w:ascii="Arial" w:hAnsi="Arial" w:eastAsia="Lora"/>
          <w:b w:val="0"/>
          <w:i w:val="0"/>
          <w:color w:val="333333"/>
          <w:sz w:val="18"/>
        </w:rPr>
        <w:t>(maximum eight).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This section of the submission represents the princi-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pal opportunity for a manufacturer to briefly summarize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value of its product. The Executive Summary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highlight the key evidence on clinical and economic value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be representative of the body of evidence found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Sections 2.0B through 5.0B. The manufacturer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briefly describe the clinical and economic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presented in the dossier using the layout described in 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Sections 1.1B and 1.2B and state the expected per unit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cost. Based on this information, the manufacturer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articulate a value argument to justify these expected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expenditures in the context of the clinical evidence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anticipated effects on health and economic outcomes.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Throughout the Executive Summary, the reader should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referred to those places in the full dossier that justify claims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other statements made in the Executive Summary. </w:t>
      </w:r>
      <w:r>
        <w:rPr>
          <w:rFonts w:ascii="Arial" w:hAnsi="Arial" w:eastAsia="Lora"/>
          <w:b w:val="0"/>
          <w:i w:val="0"/>
          <w:color w:val="333333"/>
          <w:sz w:val="18"/>
        </w:rPr>
        <w:t>Hyperlinks to these areas are especially helpful. If appropri-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ate, additional context should be provided to emphasize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potential value or unmet need of the disease and relevant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aspects of the therapeutic landscape (e.g., is the endpoint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population representative or meaningful outside of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 trial? Are study methodologies suitable for the type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study? Are assumptions for cost-effectiveness analyses </w:t>
      </w:r>
      <w:r>
        <w:rPr>
          <w:rFonts w:ascii="Arial" w:hAnsi="Arial" w:eastAsia="Lora"/>
          <w:b w:val="0"/>
          <w:i w:val="0"/>
          <w:color w:val="333333"/>
          <w:sz w:val="18"/>
        </w:rPr>
        <w:t>relevant/valid?)</w:t>
      </w:r>
    </w:p>
    <w:p>
      <w:pPr>
        <w:autoSpaceDN w:val="0"/>
        <w:tabs>
          <w:tab w:pos="336" w:val="left"/>
          <w:tab w:pos="876" w:val="left"/>
        </w:tabs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1.1B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CLINICAL BENEFITS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Begin with the indication approved by the FDA for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and a short synopsis of the efficacy and safety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from the prescribing information and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trials. Summarize the clinical benefits of the proposed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product, in terms of the following: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1. Efficacy and effectiveness.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Comparative effectiveness relative to available alterna-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tive therapies.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4.0" w:type="dxa"/>
      </w:tblPr>
      <w:tblGrid>
        <w:gridCol w:w="4862"/>
        <w:gridCol w:w="4862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84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3. Safety/tolerability.</w:t>
      </w:r>
    </w:p>
    <w:p>
      <w:pPr>
        <w:autoSpaceDN w:val="0"/>
        <w:autoSpaceDE w:val="0"/>
        <w:widowControl/>
        <w:spacing w:line="276" w:lineRule="auto" w:before="0" w:after="200"/>
        <w:ind w:left="364" w:right="15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Shortcomings of previously available treatment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unmet medical need that the proposed therapy </w:t>
      </w:r>
      <w:r>
        <w:rPr>
          <w:rFonts w:ascii="Arial" w:hAnsi="Arial" w:eastAsia="Lora"/>
          <w:b w:val="0"/>
          <w:i w:val="0"/>
          <w:color w:val="333333"/>
          <w:sz w:val="18"/>
        </w:rPr>
        <w:t>addresses.</w:t>
      </w:r>
    </w:p>
    <w:p>
      <w:pPr>
        <w:autoSpaceDN w:val="0"/>
        <w:tabs>
          <w:tab w:pos="184" w:val="left"/>
          <w:tab w:pos="724" w:val="left"/>
        </w:tabs>
        <w:autoSpaceDE w:val="0"/>
        <w:widowControl/>
        <w:spacing w:line="276" w:lineRule="auto" w:before="0" w:after="200"/>
        <w:ind w:left="4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1.2B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ECONOMIC BENEFITS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Summarize the economic benefits of the proposed product,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terms of the following: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1. Cost per unit and cost per average treatment duration.</w:t>
      </w:r>
    </w:p>
    <w:p>
      <w:pPr>
        <w:autoSpaceDN w:val="0"/>
        <w:autoSpaceDE w:val="0"/>
        <w:widowControl/>
        <w:spacing w:line="276" w:lineRule="auto" w:before="0" w:after="200"/>
        <w:ind w:left="364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Context of the proposed cost: potential clinical ben-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efits provided (including quality-of-life benefits)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potential economic benefits (including savings or cost </w:t>
      </w:r>
      <w:r>
        <w:rPr>
          <w:rFonts w:ascii="Arial" w:hAnsi="Arial" w:eastAsia="Lora"/>
          <w:b w:val="0"/>
          <w:i w:val="0"/>
          <w:color w:val="333333"/>
          <w:sz w:val="18"/>
        </w:rPr>
        <w:t>offsets).</w:t>
      </w:r>
    </w:p>
    <w:p>
      <w:pPr>
        <w:autoSpaceDN w:val="0"/>
        <w:autoSpaceDE w:val="0"/>
        <w:widowControl/>
        <w:spacing w:line="276" w:lineRule="auto" w:before="0" w:after="200"/>
        <w:ind w:left="184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3. Shortcomings of other therapies.</w:t>
      </w:r>
    </w:p>
    <w:p>
      <w:pPr>
        <w:autoSpaceDN w:val="0"/>
        <w:autoSpaceDE w:val="0"/>
        <w:widowControl/>
        <w:spacing w:line="276" w:lineRule="auto" w:before="0" w:after="200"/>
        <w:ind w:left="4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Briefly present results of any observational research </w:t>
      </w:r>
      <w:r>
        <w:rPr>
          <w:rFonts w:ascii="Arial" w:hAnsi="Arial" w:eastAsia="Lora"/>
          <w:b w:val="0"/>
          <w:i w:val="0"/>
          <w:color w:val="333333"/>
          <w:sz w:val="18"/>
        </w:rPr>
        <w:t>or economic data, with inclusion of the per-member per-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month (PMPM) or incremental cost-effectiveness ratio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result at minimum. Briefly summarize other published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on the cost or economic impact of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>(e.g., effect on resource utilization or other cost offsets).</w:t>
      </w:r>
    </w:p>
    <w:p>
      <w:pPr>
        <w:autoSpaceDN w:val="0"/>
        <w:autoSpaceDE w:val="0"/>
        <w:widowControl/>
        <w:spacing w:line="276" w:lineRule="auto" w:before="0" w:after="200"/>
        <w:ind w:left="4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Include the economic impact of special handling, deliv-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ery, route and site of administration, therapeutic drug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monitoring, Risk Evaluation and Mitigation Strategy (REMS)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programs, and other administrative offsets that would be </w:t>
      </w:r>
      <w:r>
        <w:rPr>
          <w:rFonts w:ascii="Arial" w:hAnsi="Arial" w:eastAsia="Lora"/>
          <w:b w:val="0"/>
          <w:i w:val="0"/>
          <w:color w:val="333333"/>
          <w:sz w:val="18"/>
        </w:rPr>
        <w:t>above and beyond the cost of the product.</w:t>
      </w:r>
    </w:p>
    <w:p>
      <w:pPr>
        <w:autoSpaceDN w:val="0"/>
        <w:tabs>
          <w:tab w:pos="724" w:val="left"/>
        </w:tabs>
        <w:autoSpaceDE w:val="0"/>
        <w:widowControl/>
        <w:spacing w:line="276" w:lineRule="auto" w:before="0" w:after="200"/>
        <w:ind w:left="4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1.3B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CONCLUSIONS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Summarize the value of the proposed product. Highlight </w:t>
      </w:r>
      <w:r>
        <w:rPr>
          <w:rFonts w:ascii="Arial" w:hAnsi="Arial" w:eastAsia="Lora"/>
          <w:b w:val="0"/>
          <w:i w:val="0"/>
          <w:color w:val="333333"/>
          <w:sz w:val="18"/>
        </w:rPr>
        <w:t>key points regarding the clinical and economic advan-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tages and uniqueness of the product. Finally, based 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information presented in Sections 2.0B through 5.0B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follow, the conclusions should include a statement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regarding the expected effect of the product relative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other available treatment options, both pharmaceutical and </w:t>
      </w:r>
      <w:r>
        <w:rPr>
          <w:rFonts w:ascii="Arial" w:hAnsi="Arial" w:eastAsia="Lora"/>
          <w:b w:val="0"/>
          <w:i w:val="0"/>
          <w:color w:val="333333"/>
          <w:sz w:val="18"/>
        </w:rPr>
        <w:t>nonpharmaceutical.</w:t>
      </w:r>
    </w:p>
    <w:p>
      <w:pPr>
        <w:autoSpaceDN w:val="0"/>
        <w:autoSpaceDE w:val="0"/>
        <w:widowControl/>
        <w:spacing w:line="276" w:lineRule="auto" w:before="0" w:after="200"/>
        <w:ind w:left="4" w:right="864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2.0B Product Information and </w:t>
      </w:r>
      <w:r>
        <w:rPr>
          <w:rFonts w:ascii="Arial" w:hAnsi="Arial" w:eastAsia="Asap"/>
          <w:b/>
          <w:i w:val="0"/>
          <w:color w:val="333333"/>
          <w:sz w:val="32"/>
        </w:rPr>
        <w:t>Disease Description</w:t>
      </w:r>
    </w:p>
    <w:p>
      <w:pPr>
        <w:autoSpaceDN w:val="0"/>
        <w:tabs>
          <w:tab w:pos="724" w:val="left"/>
        </w:tabs>
        <w:autoSpaceDE w:val="0"/>
        <w:widowControl/>
        <w:spacing w:line="276" w:lineRule="auto" w:before="0" w:after="200"/>
        <w:ind w:left="4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2.1B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PRODUCT INFORMATION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2.1B is five pages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(maximum 10). This section can be written in a paragraph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as a table. Brevity should be considered when writing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16" w:header="720" w:footer="720" w:gutter="0"/>
          <w:cols w:num="2" w:equalWidth="0">
            <w:col w:w="5248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672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section. When possible, hyperlink to the prescribing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information/PI or use language from the highlights section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prescribing information/PI. 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Basic product information should generally be provided, </w:t>
      </w:r>
      <w:r>
        <w:rPr>
          <w:rFonts w:ascii="Arial" w:hAnsi="Arial" w:eastAsia="Lora"/>
          <w:b w:val="0"/>
          <w:i w:val="0"/>
          <w:color w:val="333333"/>
          <w:sz w:val="18"/>
        </w:rPr>
        <w:t>including, but not limited to, the following: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Generic name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Brand name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FDA-approved indication(s) and approval date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Therapeutic class and/or mechanism of action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Dosage forms and strengths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Contraindications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Boxed warnings, warnings/precautions, REMS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Adverse events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Unique identifiers (e.g., National Drug Code [NDC]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number, American Hospital Formulary Service [AHFS]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information)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Wholesale acquisition cost (WAC) pricing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Healthcare Common Procedure Coding System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(HCPCS) code(s)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Other differentiating attributes may also be included, </w:t>
      </w:r>
      <w:r>
        <w:rPr>
          <w:rFonts w:ascii="Arial" w:hAnsi="Arial" w:eastAsia="Lora"/>
          <w:b w:val="0"/>
          <w:i w:val="0"/>
          <w:color w:val="333333"/>
          <w:sz w:val="18"/>
        </w:rPr>
        <w:t>when clinically necessary, including the following: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Pharmacology, pharmacokinetics, pharmacodynamics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Special populations (e.g., pregnancy, pediatric use,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renal impairment)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Drug/drug, drug/food, and drug/disease interactions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Access (e.g., restrictions on distribution, supply limita-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tions, anticipated shortages, patient assistance,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prescribing restrictions)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Administration (e.g., required health care provider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administration or self-administration after provider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training)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Product development or post-marketing obligations as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required by the FDA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Post-approval monitoring of drug safety and adverse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events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Co-prescribed/concomitant therapies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Additional information beyond the label should only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provided in cases where one or more of these attributes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major significance in defining the value of a product. </w:t>
      </w:r>
    </w:p>
    <w:p>
      <w:pPr>
        <w:autoSpaceDN w:val="0"/>
        <w:autoSpaceDE w:val="0"/>
        <w:widowControl/>
        <w:spacing w:line="276" w:lineRule="auto" w:before="0" w:after="200"/>
        <w:ind w:left="156" w:right="576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For DTx products, complete all relevant product descrip-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information in addition to the Table of Highlights for </w:t>
      </w:r>
      <w:r>
        <w:rPr>
          <w:rFonts w:ascii="Arial" w:hAnsi="Arial" w:eastAsia="Lora"/>
          <w:b w:val="0"/>
          <w:i w:val="0"/>
          <w:color w:val="333333"/>
          <w:sz w:val="18"/>
        </w:rPr>
        <w:t>Digital Therapeutics (Table 2.1.1B).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16" w:header="720" w:footer="720" w:gutter="0"/>
          <w:cols w:num="2" w:equalWidth="0">
            <w:col w:w="5248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22.0" w:type="dxa"/>
      </w:tblPr>
      <w:tblGrid>
        <w:gridCol w:w="3248"/>
        <w:gridCol w:w="3248"/>
        <w:gridCol w:w="3248"/>
      </w:tblGrid>
      <w:tr>
        <w:trPr>
          <w:trHeight w:hRule="exact" w:val="1444"/>
        </w:trPr>
        <w:tc>
          <w:tcPr>
            <w:tcW w:type="dxa" w:w="272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28</w:t>
            </w:r>
          </w:p>
        </w:tc>
        <w:tc>
          <w:tcPr>
            <w:tcW w:type="dxa" w:w="1930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8140"/>
            <w:tcBorders>
              <w:bottom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70"/>
        </w:trPr>
        <w:tc>
          <w:tcPr>
            <w:tcW w:type="dxa" w:w="272"/>
            <w:tcBorders>
              <w:top w:sz="3.5999999046325684" w:val="single" w:color="#474B55"/>
            </w:tcBorders>
            <w:shd w:fill="474b55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930"/>
            <w:tcBorders>
              <w:top w:sz="3.5999999046325684" w:val="single" w:color="#474B55"/>
            </w:tcBorders>
            <w:shd w:fill="474b5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4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>TABLE 2.1.1B</w:t>
            </w:r>
          </w:p>
        </w:tc>
        <w:tc>
          <w:tcPr>
            <w:tcW w:type="dxa" w:w="8140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1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20"/>
              </w:rPr>
              <w:t>TABLE OF HIGHLIGHTS FOR DIGITAL THERAPEUTICS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14.0" w:type="dxa"/>
      </w:tblPr>
      <w:tblGrid>
        <w:gridCol w:w="4872"/>
        <w:gridCol w:w="4872"/>
      </w:tblGrid>
      <w:tr>
        <w:trPr>
          <w:trHeight w:hRule="exact" w:val="308"/>
        </w:trPr>
        <w:tc>
          <w:tcPr>
            <w:tcW w:type="dxa" w:w="3564"/>
            <w:tcBorders>
              <w:top w:sz="16.0" w:val="single" w:color="#474B55"/>
              <w:end w:sz="8.0" w:val="single" w:color="#C6C8C7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Type of Information</w:t>
            </w:r>
          </w:p>
        </w:tc>
        <w:tc>
          <w:tcPr>
            <w:tcW w:type="dxa" w:w="6870"/>
            <w:tcBorders>
              <w:start w:sz="8.0" w:val="single" w:color="#C6C8C7"/>
              <w:top w:sz="16.0" w:val="single" w:color="#474B55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Description of Information</w:t>
            </w:r>
          </w:p>
        </w:tc>
      </w:tr>
      <w:tr>
        <w:trPr>
          <w:trHeight w:hRule="exact" w:val="310"/>
        </w:trPr>
        <w:tc>
          <w:tcPr>
            <w:tcW w:type="dxa" w:w="3564"/>
            <w:tcBorders>
              <w:top w:sz="8.0" w:val="single" w:color="#13377C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Product version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13377C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Include version of application that the dossier applies to</w:t>
            </w:r>
          </w:p>
        </w:tc>
      </w:tr>
      <w:tr>
        <w:trPr>
          <w:trHeight w:hRule="exact" w:val="47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Approval pathway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0" w:val="left"/>
              </w:tabs>
              <w:autoSpaceDE w:val="0"/>
              <w:widowControl/>
              <w:spacing w:line="276" w:lineRule="auto" w:before="0" w:after="80"/>
              <w:ind w:left="70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- FDA clearance, class II device, predicates based on the desktop app now transferred to the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web, etc.</w:t>
            </w:r>
          </w:p>
        </w:tc>
      </w:tr>
      <w:tr>
        <w:trPr>
          <w:trHeight w:hRule="exact" w:val="784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Intended environment of therapy delivery and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ongoing use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302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Patient setting (home, work, school)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Health care setting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Institutional setting (nursing home, long-term care)</w:t>
            </w:r>
          </w:p>
        </w:tc>
      </w:tr>
      <w:tr>
        <w:trPr>
          <w:trHeight w:hRule="exact" w:val="31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Intended line of business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Commercial, Medicare, Medicaid, Other</w:t>
            </w:r>
          </w:p>
        </w:tc>
      </w:tr>
      <w:tr>
        <w:trPr>
          <w:trHeight w:hRule="exact" w:val="1026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Relationship to other therapies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360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Stand alone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Add-on therapy to standard of care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Replaces existing therapy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Co-prescribed with pharmacologic therapy</w:t>
            </w:r>
          </w:p>
        </w:tc>
      </w:tr>
      <w:tr>
        <w:trPr>
          <w:trHeight w:hRule="exact" w:val="31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Language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Languages the product is available in</w:t>
            </w:r>
          </w:p>
        </w:tc>
      </w:tr>
      <w:tr>
        <w:trPr>
          <w:trHeight w:hRule="exact" w:val="308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Considerations for specific populations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Additional information on cultural, disability, age, health, or digital literacy requirements</w:t>
            </w:r>
          </w:p>
        </w:tc>
      </w:tr>
      <w:tr>
        <w:trPr>
          <w:trHeight w:hRule="exact" w:val="2262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Patient access to the product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0" w:val="left"/>
              </w:tabs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Formal prescription from a qualified clinician (in-person or virtual engagement)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Clinician referral for a nonprescription DTx product (in-person or virtual engagement)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Direct authorization by an employer for a nonprescription DTx product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Direct authorization by a payer for a nonprescription DTx product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- “Authorized clinical protocol” established by an HCDM to authorize automatic patient access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when necessary, qualification requirements are met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- “Clinically validated screening tool” that patients use to determine whether they qualify for the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therapy; “over-the-counter” model where no form of third-party authorization is necessary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- Details on the dispensing process may also be included (e.g. download, specialty pharmacy,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etc.)</w:t>
            </w:r>
          </w:p>
        </w:tc>
      </w:tr>
      <w:tr>
        <w:trPr>
          <w:trHeight w:hRule="exact" w:val="49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432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Components required for the software to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deliver its therapeutic value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Additional hardware or software required</w:t>
            </w:r>
          </w:p>
        </w:tc>
      </w:tr>
      <w:tr>
        <w:trPr>
          <w:trHeight w:hRule="exact" w:val="49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432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Host technology and required hardware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components (if applicable)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Smartphone, tablet, laptop, wearable device</w:t>
            </w:r>
          </w:p>
        </w:tc>
      </w:tr>
      <w:tr>
        <w:trPr>
          <w:trHeight w:hRule="exact" w:val="542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Technical requirements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5472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Offline-capable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Broadband</w:t>
            </w:r>
          </w:p>
        </w:tc>
      </w:tr>
      <w:tr>
        <w:trPr>
          <w:trHeight w:hRule="exact" w:val="784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Compatibility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8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4032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PC/Mac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Browser (e.g., Chrome, Edge, Safari)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Operating system (e.g., iOS, Android)</w:t>
            </w:r>
          </w:p>
        </w:tc>
      </w:tr>
      <w:tr>
        <w:trPr>
          <w:trHeight w:hRule="exact" w:val="310"/>
        </w:trPr>
        <w:tc>
          <w:tcPr>
            <w:tcW w:type="dxa" w:w="3564"/>
            <w:tcBorders>
              <w:top w:sz="8.0" w:val="single" w:color="#C6C8C7"/>
              <w:end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Technical assistance availability</w:t>
            </w:r>
          </w:p>
        </w:tc>
        <w:tc>
          <w:tcPr>
            <w:tcW w:type="dxa" w:w="6870"/>
            <w:tcBorders>
              <w:start w:sz="8.0" w:val="single" w:color="#C6C8C7"/>
              <w:top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- In-app support via chat or call center availability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732" w:right="288" w:firstLine="0"/>
        <w:jc w:val="left"/>
      </w:pPr>
      <w:r>
        <w:rPr>
          <w:rFonts w:ascii="Arial" w:hAnsi="Arial" w:eastAsia="Asap"/>
          <w:b w:val="0"/>
          <w:i/>
          <w:color w:val="333333"/>
          <w:sz w:val="15"/>
        </w:rPr>
        <w:t xml:space="preserve">DTx = digital therapeutics; FDA = U.S. Food and Drug Administration; HCDM = health care decision-maker; iOS = Apple operating system; PC/Mac = </w:t>
      </w:r>
      <w:r>
        <w:rPr>
          <w:rFonts w:ascii="Arial" w:hAnsi="Arial" w:eastAsia="Asap"/>
          <w:b w:val="0"/>
          <w:i/>
          <w:color w:val="333333"/>
          <w:sz w:val="15"/>
        </w:rPr>
        <w:t>refers to computers running IBM-based operating systems/computers produced by Apple.</w:t>
      </w:r>
    </w:p>
    <w:p>
      <w:pPr>
        <w:spacing w:line="276" w:lineRule="auto" w:after="200" w:before="0"/>
        <w:sectPr>
          <w:pgSz w:w="11880" w:h="15660"/>
          <w:pgMar w:top="360" w:right="696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50"/>
        <w:gridCol w:w="4850"/>
      </w:tblGrid>
      <w:tr>
        <w:trPr>
          <w:trHeight w:hRule="exact" w:val="362"/>
        </w:trPr>
        <w:tc>
          <w:tcPr>
            <w:tcW w:type="dxa" w:w="58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40" w:header="720" w:footer="720" w:gutter="0"/>
          <w:cols/>
          <w:docGrid w:linePitch="360"/>
        </w:sectPr>
      </w:pPr>
    </w:p>
    <w:p>
      <w:pPr>
        <w:autoSpaceDN w:val="0"/>
        <w:tabs>
          <w:tab w:pos="360" w:val="left"/>
        </w:tabs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2.1.2B PRODUCT COMPARISON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statement as to why the comparators were selected </w:t>
      </w:r>
      <w:r>
        <w:rPr>
          <w:rFonts w:ascii="Arial" w:hAnsi="Arial" w:eastAsia="Lora"/>
          <w:b w:val="0"/>
          <w:i w:val="0"/>
          <w:color w:val="333333"/>
          <w:sz w:val="18"/>
        </w:rPr>
        <w:t>should be included (e.g., meta-analyses, guidelines, litera-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ture search). If comparator products are selected based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guidelines, it may be necessary to include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from the guidelines in the product comparison table.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Concise comparison of PI information or appropriate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 data (e.g., published literature, medical meeting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abstracts) with the primary comparator products in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same therapeutic area generally including, but not limited </w:t>
      </w:r>
      <w:r>
        <w:rPr>
          <w:rFonts w:ascii="Arial" w:hAnsi="Arial" w:eastAsia="Lora"/>
          <w:b w:val="0"/>
          <w:i w:val="0"/>
          <w:color w:val="333333"/>
          <w:sz w:val="18"/>
        </w:rPr>
        <w:t>to indications, contraindications, dosing, boxed warn-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ings, warnings/precautions, adverse events, and other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differentiating characteristics (expand as appropriate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therapeutic class). This information should generally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come from the highlights section of the PI. If direct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head-to-head trials have been conducted comparing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to its comparators, this should be noted here,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the reader referred to the review of those trials in </w:t>
      </w:r>
      <w:r>
        <w:rPr>
          <w:rFonts w:ascii="Arial" w:hAnsi="Arial" w:eastAsia="Lora"/>
          <w:b w:val="0"/>
          <w:i w:val="0"/>
          <w:color w:val="333333"/>
          <w:sz w:val="18"/>
        </w:rPr>
        <w:t>Section 3.0B of the dossier.</w:t>
      </w:r>
    </w:p>
    <w:p>
      <w:pPr>
        <w:autoSpaceDN w:val="0"/>
        <w:autoSpaceDE w:val="0"/>
        <w:widowControl/>
        <w:spacing w:line="276" w:lineRule="auto" w:before="0" w:after="200"/>
        <w:ind w:left="180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For biosimilar products, comparative information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reference product and other biosimilars should be </w:t>
      </w:r>
      <w:r>
        <w:rPr>
          <w:rFonts w:ascii="Arial" w:hAnsi="Arial" w:eastAsia="Lora"/>
          <w:b w:val="0"/>
          <w:i w:val="0"/>
          <w:color w:val="333333"/>
          <w:sz w:val="18"/>
        </w:rPr>
        <w:t>included as well as evidence that demonstrates biosimi-</w:t>
      </w:r>
      <w:r>
        <w:rPr>
          <w:rFonts w:ascii="Arial" w:hAnsi="Arial" w:eastAsia="Lora"/>
          <w:b w:val="0"/>
          <w:i w:val="0"/>
          <w:color w:val="333333"/>
          <w:sz w:val="18"/>
        </w:rPr>
        <w:t>larity or interchangeability.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2.2B PLACE OF THE PRODUCT IN THERAPY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2.2B is 5 pages </w:t>
      </w:r>
      <w:r>
        <w:rPr>
          <w:rFonts w:ascii="Arial" w:hAnsi="Arial" w:eastAsia="Lora"/>
          <w:b w:val="0"/>
          <w:i w:val="0"/>
          <w:color w:val="333333"/>
          <w:sz w:val="18"/>
        </w:rPr>
        <w:t>(maximum 10) for each indication.</w:t>
      </w:r>
    </w:p>
    <w:p>
      <w:pPr>
        <w:autoSpaceDN w:val="0"/>
        <w:autoSpaceDE w:val="0"/>
        <w:widowControl/>
        <w:spacing w:line="276" w:lineRule="auto" w:before="0" w:after="200"/>
        <w:ind w:left="0" w:right="246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presented in this section should be brief. Do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duplicate information presented in Sections 3.0B, 4.0B,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5.0B. Hyperlinks within the document can be useful to </w:t>
      </w:r>
      <w:r>
        <w:rPr>
          <w:rFonts w:ascii="Arial" w:hAnsi="Arial" w:eastAsia="Lora"/>
          <w:b w:val="0"/>
          <w:i w:val="0"/>
          <w:color w:val="333333"/>
          <w:sz w:val="18"/>
        </w:rPr>
        <w:t>encourage brevity when possible.</w:t>
      </w:r>
    </w:p>
    <w:p>
      <w:pPr>
        <w:autoSpaceDN w:val="0"/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2.2.1B DISEASE DESCRIPTION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disease description should be a top-line overview </w:t>
      </w:r>
      <w:r>
        <w:rPr>
          <w:rFonts w:ascii="Arial" w:hAnsi="Arial" w:eastAsia="Lora"/>
          <w:b w:val="0"/>
          <w:i w:val="0"/>
          <w:color w:val="333333"/>
          <w:sz w:val="18"/>
        </w:rPr>
        <w:t>focusing on the indicated population.</w:t>
      </w:r>
    </w:p>
    <w:p>
      <w:pPr>
        <w:autoSpaceDN w:val="0"/>
        <w:tabs>
          <w:tab w:pos="360" w:val="left"/>
        </w:tabs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should provide a description of specific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patient subpopulations in which the product is expected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be most effective, if known. Include clinical markers,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diagnostic or genetic criteria, or other markers, if known,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can be used to identify these subpopulations. When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possible, this information should reflect a population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U.S. patients. Present a summary of information from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literature for topics, including, but not limited to: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Epidemiology and relevant risk factors, with a focus 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identifiable subpopulations that would be appropriate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for the use of the product.</w:t>
      </w:r>
    </w:p>
    <w:p>
      <w:pPr>
        <w:autoSpaceDN w:val="0"/>
        <w:autoSpaceDE w:val="0"/>
        <w:widowControl/>
        <w:spacing w:line="276" w:lineRule="auto" w:before="0" w:after="200"/>
        <w:ind w:left="18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Pathophysiology.</w:t>
      </w:r>
    </w:p>
    <w:p>
      <w:pPr>
        <w:autoSpaceDN w:val="0"/>
        <w:autoSpaceDE w:val="0"/>
        <w:widowControl/>
        <w:spacing w:line="276" w:lineRule="auto" w:before="0" w:after="200"/>
        <w:ind w:left="18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3. Clinical presentation.</w:t>
      </w:r>
    </w:p>
    <w:p>
      <w:pPr>
        <w:autoSpaceDN w:val="0"/>
        <w:autoSpaceDE w:val="0"/>
        <w:widowControl/>
        <w:spacing w:line="276" w:lineRule="auto" w:before="0" w:after="200"/>
        <w:ind w:left="18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4. Societal, humanistic, and economic burden.</w:t>
      </w:r>
    </w:p>
    <w:p>
      <w:pPr>
        <w:autoSpaceDN w:val="0"/>
        <w:autoSpaceDE w:val="0"/>
        <w:widowControl/>
        <w:spacing w:line="276" w:lineRule="auto" w:before="0" w:after="200"/>
        <w:ind w:left="360" w:right="24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5. Disparities in access and utilization and outcomes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experienced, as related to social and demographic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factors such as race, ethnicity, gender, income, and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40" w:header="720" w:footer="720" w:gutter="0"/>
          <w:cols w:num="2" w:equalWidth="0">
            <w:col w:w="5334" w:space="0"/>
            <w:col w:w="580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42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geographic region.</w:t>
      </w:r>
    </w:p>
    <w:p>
      <w:pPr>
        <w:autoSpaceDN w:val="0"/>
        <w:autoSpaceDE w:val="0"/>
        <w:widowControl/>
        <w:spacing w:line="276" w:lineRule="auto" w:before="0" w:after="200"/>
        <w:ind w:left="246" w:right="65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may be expanded to provide greater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detail for medications and other treatments that require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intense clinical monitoring to manage severe side effects,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frequent dose adjustments, or specialized training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handling and administration. For example, this section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be expanded for products that are used to treat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rare diseases for which relatively little information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available in the public domain. Likewise, expanded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is useful for products that are costly, have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few competing or generic alternatives, or have limited </w:t>
      </w:r>
      <w:r>
        <w:rPr>
          <w:rFonts w:ascii="Arial" w:hAnsi="Arial" w:eastAsia="Lora"/>
          <w:b w:val="0"/>
          <w:i w:val="0"/>
          <w:color w:val="333333"/>
          <w:sz w:val="18"/>
        </w:rPr>
        <w:t>distribution or access points.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2.2.2B APPROACHES TO TREATMENT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key questions to address are the following: How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disease/condition currently treated? If known, how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does the product fit into existing therapeutic algorithms?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unmet need should be highlighted when data are </w:t>
      </w:r>
      <w:r>
        <w:rPr>
          <w:rFonts w:ascii="Arial" w:hAnsi="Arial" w:eastAsia="Lora"/>
          <w:b w:val="0"/>
          <w:i w:val="0"/>
          <w:color w:val="333333"/>
          <w:sz w:val="18"/>
        </w:rPr>
        <w:t>available. These data may not be available for new prod-</w:t>
      </w:r>
      <w:r>
        <w:rPr>
          <w:rFonts w:ascii="Arial" w:hAnsi="Arial" w:eastAsia="Lora"/>
          <w:b w:val="0"/>
          <w:i w:val="0"/>
          <w:color w:val="333333"/>
          <w:sz w:val="18"/>
        </w:rPr>
        <w:t>ucts but should be included for legacy products.</w:t>
      </w:r>
    </w:p>
    <w:p>
      <w:pPr>
        <w:autoSpaceDN w:val="0"/>
        <w:autoSpaceDE w:val="0"/>
        <w:widowControl/>
        <w:spacing w:line="276" w:lineRule="auto" w:before="0" w:after="200"/>
        <w:ind w:left="246" w:right="65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Provide a summary of information but do not duplicate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included in other sections. Use hyperlinks to </w:t>
      </w:r>
      <w:r>
        <w:rPr>
          <w:rFonts w:ascii="Arial" w:hAnsi="Arial" w:eastAsia="Lora"/>
          <w:b w:val="0"/>
          <w:i w:val="0"/>
          <w:color w:val="333333"/>
          <w:sz w:val="18"/>
        </w:rPr>
        <w:t>other sections versus repeating information.</w:t>
      </w:r>
    </w:p>
    <w:p>
      <w:pPr>
        <w:autoSpaceDN w:val="0"/>
        <w:autoSpaceDE w:val="0"/>
        <w:widowControl/>
        <w:spacing w:line="276" w:lineRule="auto" w:before="0" w:after="200"/>
        <w:ind w:left="426" w:right="576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1. Summarize current approaches to treatment (drug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nondrug), including where this product fits in with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existing therapies and addresses unmet needs. When </w:t>
      </w:r>
      <w:r>
        <w:rPr>
          <w:rFonts w:ascii="Arial" w:hAnsi="Arial" w:eastAsia="Lora"/>
          <w:b w:val="0"/>
          <w:i w:val="0"/>
          <w:color w:val="333333"/>
          <w:sz w:val="18"/>
        </w:rPr>
        <w:t>guidelines are also discussed in Section 5.1B, hyperlink-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ing between the 2 sections is recommended. </w:t>
      </w:r>
    </w:p>
    <w:p>
      <w:pPr>
        <w:autoSpaceDN w:val="0"/>
        <w:autoSpaceDE w:val="0"/>
        <w:widowControl/>
        <w:spacing w:line="276" w:lineRule="auto" w:before="0" w:after="200"/>
        <w:ind w:left="426" w:right="576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Describe the place and anticipated uses of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>for treating disease, especially for certain subpopula-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 that can be targeted for the use of the product.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may include registry, real-world evidence,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trial, or other information from competing products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provide information about the disease state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approaches to treatment.  This should include whether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product addresses unmet needs, including those </w:t>
      </w:r>
      <w:r>
        <w:rPr>
          <w:rFonts w:ascii="Arial" w:hAnsi="Arial" w:eastAsia="Lora"/>
          <w:b w:val="0"/>
          <w:i w:val="0"/>
          <w:color w:val="333333"/>
          <w:sz w:val="18"/>
        </w:rPr>
        <w:t>related to health disparities.</w:t>
      </w:r>
    </w:p>
    <w:p>
      <w:pPr>
        <w:autoSpaceDN w:val="0"/>
        <w:autoSpaceDE w:val="0"/>
        <w:widowControl/>
        <w:spacing w:line="276" w:lineRule="auto" w:before="0" w:after="200"/>
        <w:ind w:left="426" w:right="652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Describe the heterogeneity of treatment effect, if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any, related to the use of the product. Hyperlink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3.0B for specific findings. Response to therapy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vary from patient to patient. HCDMs need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consider variability between individual patients, within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populations studied, and between clinical studies. Any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that substantiates heterogeneity effects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(benefit and harms) of the proposed therapy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described here and supported with evidence from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 in Section 3.0B (e.g., crossover study designs,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N-of-1 studies, subgroup analyses). This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be provided where feasible; when not feasible to </w:t>
      </w:r>
      <w:r>
        <w:rPr>
          <w:rFonts w:ascii="Arial" w:hAnsi="Arial" w:eastAsia="Lora"/>
          <w:b w:val="0"/>
          <w:i w:val="0"/>
          <w:color w:val="333333"/>
          <w:sz w:val="18"/>
        </w:rPr>
        <w:t>do so, the rationale should be provided.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Include proposed ancillary disease or care management 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40" w:header="720" w:footer="720" w:gutter="0"/>
          <w:cols w:num="2" w:equalWidth="0">
            <w:col w:w="5334" w:space="0"/>
            <w:col w:w="580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30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05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intervention strategies provided by the manufacturer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are intended to accompany the product at launch. </w:t>
      </w:r>
    </w:p>
    <w:p>
      <w:pPr>
        <w:autoSpaceDN w:val="0"/>
        <w:autoSpaceDE w:val="0"/>
        <w:widowControl/>
        <w:spacing w:line="276" w:lineRule="auto" w:before="0" w:after="200"/>
        <w:ind w:left="105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Services intended to accompany a specialty pharma-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ceutical at launch should be described. These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any of the following: patient education services,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nursing administration support services, programs </w:t>
      </w:r>
      <w:r>
        <w:rPr>
          <w:rFonts w:ascii="Arial" w:hAnsi="Arial" w:eastAsia="Lora"/>
          <w:b w:val="0"/>
          <w:i w:val="0"/>
          <w:color w:val="333333"/>
          <w:sz w:val="18"/>
        </w:rPr>
        <w:t>intended to promote adherence, coordination of infor-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mation among providers or facilities, sharps disposal,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financial assistance to patients. Specific claims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made regarding the benefits of these services should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documented in this section and supported by scientific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evidence described in this section or reported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3.0B or Section 5.0B, if applicable. It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clearly stated when there is no scientific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support claims of benefits for these services.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patient assistance programs, it is optimal to include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terms of the program and the expected number of </w:t>
      </w:r>
      <w:r>
        <w:rPr>
          <w:rFonts w:ascii="Arial" w:hAnsi="Arial" w:eastAsia="Lora"/>
          <w:b w:val="0"/>
          <w:i w:val="0"/>
          <w:color w:val="333333"/>
          <w:sz w:val="18"/>
        </w:rPr>
        <w:t>beneficiaries.</w:t>
      </w:r>
    </w:p>
    <w:p>
      <w:pPr>
        <w:autoSpaceDN w:val="0"/>
        <w:autoSpaceDE w:val="0"/>
        <w:widowControl/>
        <w:spacing w:line="276" w:lineRule="auto" w:before="0" w:after="200"/>
        <w:ind w:left="1058" w:right="24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5. Describe other product development or post-marketing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obligations as required by the FDA such as a REMS,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phase 4 trial, patient registry, restricted distribution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channel, and other elements designed to ensure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safe use of the product. In addition to the existing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instructions for this section, if a multifaceted program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intended to accompany the product at launch will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a REMS alongside other elements, describe it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2.2.2B(5) and note in Section 2.2.2B(6) that the </w:t>
      </w:r>
      <w:r>
        <w:rPr>
          <w:rFonts w:ascii="Arial" w:hAnsi="Arial" w:eastAsia="Lora"/>
          <w:b w:val="0"/>
          <w:i w:val="0"/>
          <w:color w:val="333333"/>
          <w:sz w:val="18"/>
        </w:rPr>
        <w:t>program contains a REMS component.</w:t>
      </w:r>
    </w:p>
    <w:p>
      <w:pPr>
        <w:autoSpaceDN w:val="0"/>
        <w:autoSpaceDE w:val="0"/>
        <w:widowControl/>
        <w:spacing w:line="276" w:lineRule="auto" w:before="0" w:after="200"/>
        <w:ind w:left="1058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6. Describe ongoing post-approval monitoring of drug </w:t>
      </w:r>
      <w:r>
        <w:rPr>
          <w:rFonts w:ascii="Arial" w:hAnsi="Arial" w:eastAsia="Lora"/>
          <w:b w:val="0"/>
          <w:i w:val="0"/>
          <w:color w:val="333333"/>
          <w:sz w:val="18"/>
        </w:rPr>
        <w:t>safety and adverse events. Ongoing post-approval mon-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itoring and cost of adverse events for newly 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products should be conducted and included, if available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if applicable. Signals of adverse events indicating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disproportional rates of events should be reported.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estimated cost of adverse events, including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cost of monitoring, hospitalizations, emergency room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visits, and any other relevant costs associated with </w:t>
      </w:r>
      <w:r>
        <w:rPr>
          <w:rFonts w:ascii="Arial" w:hAnsi="Arial" w:eastAsia="Lora"/>
          <w:b w:val="0"/>
          <w:i w:val="0"/>
          <w:color w:val="333333"/>
          <w:sz w:val="18"/>
        </w:rPr>
        <w:t>treating the adverse event should be included. In addi-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tion, the HCDM should contact the drug company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current additional information related to drug safety </w:t>
      </w:r>
      <w:r>
        <w:rPr>
          <w:rFonts w:ascii="Arial" w:hAnsi="Arial" w:eastAsia="Lora"/>
          <w:b w:val="0"/>
          <w:i w:val="0"/>
          <w:color w:val="333333"/>
          <w:sz w:val="18"/>
        </w:rPr>
        <w:t>and adverse events.</w:t>
      </w:r>
    </w:p>
    <w:p>
      <w:pPr>
        <w:autoSpaceDN w:val="0"/>
        <w:autoSpaceDE w:val="0"/>
        <w:widowControl/>
        <w:spacing w:line="276" w:lineRule="auto" w:before="0" w:after="200"/>
        <w:ind w:left="864" w:right="248" w:firstLine="0"/>
        <w:jc w:val="righ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7. Describe the key expected outcomes of therapy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product. Hyperlink to Section 3.0B for specific findings. </w:t>
      </w:r>
      <w:r>
        <w:rPr>
          <w:rFonts w:ascii="Arial" w:hAnsi="Arial" w:eastAsia="Lora"/>
          <w:b w:val="0"/>
          <w:i w:val="0"/>
          <w:color w:val="333333"/>
          <w:sz w:val="18"/>
        </w:rPr>
        <w:t>8. Other key assumptions and their rationale.</w:t>
      </w:r>
    </w:p>
    <w:p>
      <w:pPr>
        <w:autoSpaceDN w:val="0"/>
        <w:tabs>
          <w:tab w:pos="1418" w:val="left"/>
        </w:tabs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2.3B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>EVIDENCE FOR CDTS</w:t>
      </w:r>
    </w:p>
    <w:p>
      <w:pPr>
        <w:autoSpaceDN w:val="0"/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Drug Dossier with CDTs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When a CDT has been co-developed with a drug, or when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CDT is required per FDA labeling, then the four key </w:t>
      </w:r>
      <w:r>
        <w:rPr>
          <w:rFonts w:ascii="Arial" w:hAnsi="Arial" w:eastAsia="Lora"/>
          <w:b w:val="0"/>
          <w:i w:val="0"/>
          <w:color w:val="333333"/>
          <w:sz w:val="18"/>
        </w:rPr>
        <w:t>evidence elements from the ACCE framework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26</w:t>
      </w:r>
      <w:r>
        <w:rPr>
          <w:rFonts w:ascii="Arial" w:hAnsi="Arial" w:eastAsia="Lora"/>
          <w:b w:val="0"/>
          <w:i w:val="0"/>
          <w:color w:val="333333"/>
          <w:sz w:val="18"/>
        </w:rPr>
        <w:t>—analyti-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cal validity, clinical validity, clinical utility, and economic 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46" w:right="22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value—will generally be captured in the drug dossier.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such, the drug dossier should contain information about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CDT according to Sections 2.3.1B and 2.3.3B. 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CDT Dossier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cases where the CDT is not inherently tied to the drug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if the CDT is not owned by the manufacturer, then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CDT developer may respond to an unsolicited request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a separate CDT dossier. A stand-alone CDT dossier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contain information about the CDT according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Sections 2.3.1B, 2.3.2B, and 2.3.3B. The CDT dossier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also contain an Executive Summary (Section 1.0B).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If relevant and available, information that belongs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4.0B and Section 5.0B may be supplied using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product, approved product, or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>use dossier templates.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2.3.1B PRODUCT INFORMATION FOR CDT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2.3.1B is five pages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(maximum 10). The following are components that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supplied: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Generic name, brand name, manufacturer, or clinical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laboratory.</w:t>
      </w:r>
    </w:p>
    <w:p>
      <w:pPr>
        <w:autoSpaceDN w:val="0"/>
        <w:autoSpaceDE w:val="0"/>
        <w:widowControl/>
        <w:spacing w:line="276" w:lineRule="auto" w:before="0" w:after="200"/>
        <w:ind w:left="516" w:right="20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Type of test: technical (e.g., immunohistochemical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[IHC], fluorescent in situ hybridization [FISH], gene </w:t>
      </w:r>
      <w:r>
        <w:rPr>
          <w:rFonts w:ascii="Arial" w:hAnsi="Arial" w:eastAsia="Lora"/>
          <w:b w:val="0"/>
          <w:i w:val="0"/>
          <w:color w:val="333333"/>
          <w:sz w:val="18"/>
        </w:rPr>
        <w:t>expression profile, sequencing panel).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3. Target: describe test target (e.g., biomarker).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Indications/uses with companion pharmaceutical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that are cleared or approved by the FDA.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5. Date of FDA clearance or approval.</w:t>
      </w:r>
    </w:p>
    <w:p>
      <w:pPr>
        <w:autoSpaceDN w:val="0"/>
        <w:autoSpaceDE w:val="0"/>
        <w:widowControl/>
        <w:spacing w:line="276" w:lineRule="auto" w:before="0" w:after="200"/>
        <w:ind w:left="516" w:right="0" w:hanging="27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6. Intended use: clinical basis for CDT (e.g., treatment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guidance, diagnosis, prognosis and management, </w:t>
      </w:r>
      <w:r>
        <w:rPr>
          <w:rFonts w:ascii="Arial" w:hAnsi="Arial" w:eastAsia="Lora"/>
          <w:b w:val="0"/>
          <w:i w:val="0"/>
          <w:color w:val="333333"/>
          <w:sz w:val="18"/>
        </w:rPr>
        <w:t>risk management, treatment, monitoring, or pre-</w:t>
      </w:r>
      <w:r>
        <w:rPr>
          <w:rFonts w:ascii="Arial" w:hAnsi="Arial" w:eastAsia="Lora"/>
          <w:b w:val="0"/>
          <w:i w:val="0"/>
          <w:color w:val="333333"/>
          <w:sz w:val="18"/>
        </w:rPr>
        <w:t>symptomatic testing).</w:t>
      </w:r>
    </w:p>
    <w:p>
      <w:pPr>
        <w:autoSpaceDN w:val="0"/>
        <w:autoSpaceDE w:val="0"/>
        <w:widowControl/>
        <w:spacing w:line="276" w:lineRule="auto" w:before="0" w:after="200"/>
        <w:ind w:left="516" w:right="0" w:hanging="27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7. Indication and target populations; prevalence of </w:t>
      </w:r>
      <w:r>
        <w:rPr>
          <w:rFonts w:ascii="Arial" w:hAnsi="Arial" w:eastAsia="Lora"/>
          <w:b w:val="0"/>
          <w:i w:val="0"/>
          <w:color w:val="333333"/>
          <w:sz w:val="18"/>
        </w:rPr>
        <w:t>disease/condition, and CDT variant/marker preva-</w:t>
      </w:r>
      <w:r>
        <w:rPr>
          <w:rFonts w:ascii="Arial" w:hAnsi="Arial" w:eastAsia="Lora"/>
          <w:b w:val="0"/>
          <w:i w:val="0"/>
          <w:color w:val="333333"/>
          <w:sz w:val="18"/>
        </w:rPr>
        <w:t>lence in indicated population.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8. Place of CDT in drug therapy.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9. Contraindications, warnings/precautions, and inter-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actions relative to CDT use.</w:t>
      </w:r>
    </w:p>
    <w:p>
      <w:pPr>
        <w:autoSpaceDN w:val="0"/>
        <w:autoSpaceDE w:val="0"/>
        <w:widowControl/>
        <w:spacing w:line="276" w:lineRule="auto" w:before="0" w:after="200"/>
        <w:ind w:left="516" w:right="22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10. Alternative tests and options available, whether they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CDTs or laboratory-developed tests; describe </w:t>
      </w:r>
      <w:r>
        <w:rPr>
          <w:rFonts w:ascii="Arial" w:hAnsi="Arial" w:eastAsia="Lora"/>
          <w:b w:val="0"/>
          <w:i w:val="0"/>
          <w:color w:val="333333"/>
          <w:sz w:val="18"/>
        </w:rPr>
        <w:t>relative advantages and disadvantages.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11. Other key assumptions and their rationale.</w:t>
      </w:r>
    </w:p>
    <w:p>
      <w:pPr>
        <w:autoSpaceDN w:val="0"/>
        <w:tabs>
          <w:tab w:pos="426" w:val="left"/>
          <w:tab w:pos="516" w:val="left"/>
          <w:tab w:pos="606" w:val="left"/>
        </w:tabs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12. Supporting clinical and economic evidence for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test, using the ACCE framework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26</w:t>
      </w:r>
      <w:r>
        <w:rPr>
          <w:rFonts w:ascii="Arial" w:hAnsi="Arial" w:eastAsia="Lora"/>
          <w:b w:val="0"/>
          <w:i w:val="0"/>
          <w:color w:val="333333"/>
          <w:sz w:val="18"/>
        </w:rPr>
        <w:t>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Analytical validity: How well does the test identify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the target or biomarker it is intended to identify?</w:t>
      </w:r>
    </w:p>
    <w:p>
      <w:pPr>
        <w:autoSpaceDN w:val="0"/>
        <w:autoSpaceDE w:val="0"/>
        <w:widowControl/>
        <w:spacing w:line="276" w:lineRule="auto" w:before="0" w:after="200"/>
        <w:ind w:left="786" w:right="20" w:hanging="180"/>
        <w:jc w:val="both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the accuracy with which a particular genetic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phenotypic characteristic identified within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professional standards and federal regulation </w:t>
      </w:r>
      <w:r>
        <w:rPr>
          <w:rFonts w:ascii="Arial" w:hAnsi="Arial" w:eastAsia="Lora"/>
          <w:b w:val="0"/>
          <w:i w:val="0"/>
          <w:color w:val="333333"/>
          <w:sz w:val="18"/>
        </w:rPr>
        <w:t>requirements?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140.0" w:type="dxa"/>
      </w:tblPr>
      <w:tblGrid>
        <w:gridCol w:w="4770"/>
        <w:gridCol w:w="4770"/>
      </w:tblGrid>
      <w:tr>
        <w:trPr>
          <w:trHeight w:hRule="exact" w:val="362"/>
        </w:trPr>
        <w:tc>
          <w:tcPr>
            <w:tcW w:type="dxa" w:w="5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31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900" w:header="720" w:footer="720" w:gutter="0"/>
          <w:cols/>
          <w:docGrid w:linePitch="360"/>
        </w:sectPr>
      </w:pP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Sensitivity: How often is the test positive when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marker is present?</w:t>
      </w: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Specificity: How often is the test negative when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marker is not present?</w:t>
      </w:r>
    </w:p>
    <w:p>
      <w:pPr>
        <w:autoSpaceDN w:val="0"/>
        <w:autoSpaceDE w:val="0"/>
        <w:widowControl/>
        <w:spacing w:line="276" w:lineRule="auto" w:before="0" w:after="200"/>
        <w:ind w:left="360" w:right="0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Accuracy: How often is the test correct?</w:t>
      </w:r>
    </w:p>
    <w:p>
      <w:pPr>
        <w:autoSpaceDN w:val="0"/>
        <w:autoSpaceDE w:val="0"/>
        <w:widowControl/>
        <w:spacing w:line="276" w:lineRule="auto" w:before="0" w:after="200"/>
        <w:ind w:left="360" w:right="0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Precision: Reproducibility of the test.</w:t>
      </w:r>
    </w:p>
    <w:p>
      <w:pPr>
        <w:autoSpaceDN w:val="0"/>
        <w:tabs>
          <w:tab w:pos="360" w:val="left"/>
        </w:tabs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Clinical validity: How well does the test identify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disease or medical condition of interest?</w:t>
      </w: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Positive predictive value: How often does a patient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who tests positive have the medical condition?</w:t>
      </w: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Negative predictive value: How often does a patient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who tests negative not have the medical condition?</w:t>
      </w: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Thresholds used to separate a positive from 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negative result.</w:t>
      </w: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which populations has the test been validated,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and in how many studies?</w:t>
      </w:r>
    </w:p>
    <w:p>
      <w:pPr>
        <w:autoSpaceDN w:val="0"/>
        <w:tabs>
          <w:tab w:pos="360" w:val="left"/>
        </w:tabs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Clinical utility: How does the test improve patient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outcomes?</w:t>
      </w: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Interventions that are based on positive and/or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negative test results.</w:t>
      </w:r>
    </w:p>
    <w:p>
      <w:pPr>
        <w:autoSpaceDN w:val="0"/>
        <w:autoSpaceDE w:val="0"/>
        <w:widowControl/>
        <w:spacing w:line="276" w:lineRule="auto" w:before="0" w:after="200"/>
        <w:ind w:left="288" w:right="144" w:firstLine="0"/>
        <w:jc w:val="center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Efficacy/effectiveness and safety of the clinical </w:t>
      </w:r>
      <w:r>
        <w:rPr>
          <w:rFonts w:ascii="Arial" w:hAnsi="Arial" w:eastAsia="Lora"/>
          <w:b w:val="0"/>
          <w:i w:val="0"/>
          <w:color w:val="333333"/>
          <w:sz w:val="18"/>
        </w:rPr>
        <w:t>intervention implemented as a result of the test.</w:t>
      </w:r>
    </w:p>
    <w:p>
      <w:pPr>
        <w:autoSpaceDN w:val="0"/>
        <w:autoSpaceDE w:val="0"/>
        <w:widowControl/>
        <w:spacing w:line="276" w:lineRule="auto" w:before="0" w:after="200"/>
        <w:ind w:left="540" w:right="144" w:hanging="18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Changes in patient outcomes, treatments received, </w:t>
      </w:r>
      <w:r>
        <w:rPr>
          <w:rFonts w:ascii="Arial" w:hAnsi="Arial" w:eastAsia="Lora"/>
          <w:b w:val="0"/>
          <w:i w:val="0"/>
          <w:color w:val="333333"/>
          <w:sz w:val="18"/>
        </w:rPr>
        <w:t>clinical events, effect on disease progression, risk-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benefit assessment, morbidity, quality of life, and </w:t>
      </w:r>
      <w:r>
        <w:rPr>
          <w:rFonts w:ascii="Arial" w:hAnsi="Arial" w:eastAsia="Lora"/>
          <w:b w:val="0"/>
          <w:i w:val="0"/>
          <w:color w:val="333333"/>
          <w:sz w:val="18"/>
        </w:rPr>
        <w:t>survival, etc.</w:t>
      </w:r>
    </w:p>
    <w:p>
      <w:pPr>
        <w:autoSpaceDN w:val="0"/>
        <w:tabs>
          <w:tab w:pos="540" w:val="left"/>
        </w:tabs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Consider inclusion of quantitative risk-benefit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decision-analytic modeling.</w:t>
      </w:r>
    </w:p>
    <w:p>
      <w:pPr>
        <w:autoSpaceDN w:val="0"/>
        <w:tabs>
          <w:tab w:pos="360" w:val="left"/>
        </w:tabs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Economic value: What is the economic value of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test?</w:t>
      </w:r>
    </w:p>
    <w:p>
      <w:pPr>
        <w:autoSpaceDN w:val="0"/>
        <w:autoSpaceDE w:val="0"/>
        <w:widowControl/>
        <w:spacing w:line="276" w:lineRule="auto" w:before="0" w:after="200"/>
        <w:ind w:left="540" w:right="144" w:hanging="18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What is the expected difference in costs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outcomes compared with the next best alternative, </w:t>
      </w:r>
      <w:r>
        <w:rPr>
          <w:rFonts w:ascii="Arial" w:hAnsi="Arial" w:eastAsia="Lora"/>
          <w:b w:val="0"/>
          <w:i w:val="0"/>
          <w:color w:val="333333"/>
          <w:sz w:val="18"/>
        </w:rPr>
        <w:t>including cost offsets from changes in drug utiliza-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tion, side effect treatment, and other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>services and health outcomes?</w:t>
      </w:r>
    </w:p>
    <w:p>
      <w:pPr>
        <w:autoSpaceDN w:val="0"/>
        <w:autoSpaceDE w:val="0"/>
        <w:widowControl/>
        <w:spacing w:line="276" w:lineRule="auto" w:before="0" w:after="200"/>
        <w:ind w:left="540" w:right="246" w:hanging="180"/>
        <w:jc w:val="both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economic analysis should include, among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other aspects, the prevalence of the condition,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prevalence of the CDT marker of interest,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burden on the patient or health care system to </w:t>
      </w:r>
      <w:r>
        <w:rPr>
          <w:rFonts w:ascii="Arial" w:hAnsi="Arial" w:eastAsia="Lora"/>
          <w:b w:val="0"/>
          <w:i w:val="0"/>
          <w:color w:val="333333"/>
          <w:sz w:val="18"/>
        </w:rPr>
        <w:t>collect and process the biological sample.</w:t>
      </w:r>
    </w:p>
    <w:p>
      <w:pPr>
        <w:autoSpaceDN w:val="0"/>
        <w:autoSpaceDE w:val="0"/>
        <w:widowControl/>
        <w:spacing w:line="276" w:lineRule="auto" w:before="0" w:after="200"/>
        <w:ind w:left="540" w:right="246" w:hanging="180"/>
        <w:jc w:val="both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incremental cost per diagnosis, treatment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modification, events avoided, life-years saved, and </w:t>
      </w:r>
      <w:r>
        <w:rPr>
          <w:rFonts w:ascii="Arial" w:hAnsi="Arial" w:eastAsia="Lora"/>
          <w:b w:val="0"/>
          <w:i w:val="0"/>
          <w:color w:val="333333"/>
          <w:sz w:val="18"/>
        </w:rPr>
        <w:t>quality-adjusted life-years (QALYs) gained, etc.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13. Packaging description, regulatory codes, classifica-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tions, and identifiers.</w:t>
      </w:r>
    </w:p>
    <w:p>
      <w:pPr>
        <w:autoSpaceDN w:val="0"/>
        <w:autoSpaceDE w:val="0"/>
        <w:widowControl/>
        <w:spacing w:line="276" w:lineRule="auto" w:before="0" w:after="200"/>
        <w:ind w:left="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14. Billing and reimbursement codes and price.</w:t>
      </w:r>
    </w:p>
    <w:p>
      <w:pPr>
        <w:autoSpaceDN w:val="0"/>
        <w:autoSpaceDE w:val="0"/>
        <w:widowControl/>
        <w:spacing w:line="276" w:lineRule="auto" w:before="0" w:after="200"/>
        <w:ind w:left="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15. Copy of the product label or PI.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2.3.2B PLACE OF CDTs IN CLINICAL PRACTICE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2.3.2B is 10 pages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(maximum 15). For stand-alone CDT dossiers, include the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46" w:right="360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following information: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1. Disease description.</w:t>
      </w:r>
    </w:p>
    <w:p>
      <w:pPr>
        <w:autoSpaceDN w:val="0"/>
        <w:autoSpaceDE w:val="0"/>
        <w:widowControl/>
        <w:spacing w:line="276" w:lineRule="auto" w:before="0" w:after="200"/>
        <w:ind w:left="42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Epidemiology and relevant risk factors.</w:t>
      </w:r>
    </w:p>
    <w:p>
      <w:pPr>
        <w:autoSpaceDN w:val="0"/>
        <w:autoSpaceDE w:val="0"/>
        <w:widowControl/>
        <w:spacing w:line="276" w:lineRule="auto" w:before="0" w:after="200"/>
        <w:ind w:left="42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Pathophysiology.</w:t>
      </w:r>
    </w:p>
    <w:p>
      <w:pPr>
        <w:autoSpaceDN w:val="0"/>
        <w:autoSpaceDE w:val="0"/>
        <w:widowControl/>
        <w:spacing w:line="276" w:lineRule="auto" w:before="0" w:after="200"/>
        <w:ind w:left="42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Clinical presentation.</w:t>
      </w:r>
    </w:p>
    <w:p>
      <w:pPr>
        <w:autoSpaceDN w:val="0"/>
        <w:autoSpaceDE w:val="0"/>
        <w:widowControl/>
        <w:spacing w:line="276" w:lineRule="auto" w:before="0" w:after="200"/>
        <w:ind w:left="42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Societal and economic impact of disease.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Approaches to treatment.</w:t>
      </w:r>
    </w:p>
    <w:p>
      <w:pPr>
        <w:autoSpaceDN w:val="0"/>
        <w:tabs>
          <w:tab w:pos="606" w:val="left"/>
        </w:tabs>
        <w:autoSpaceDE w:val="0"/>
        <w:widowControl/>
        <w:spacing w:line="276" w:lineRule="auto" w:before="0" w:after="200"/>
        <w:ind w:left="426" w:right="72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Diagnosis (principal options, practice patterns, alter-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native options).</w:t>
      </w:r>
    </w:p>
    <w:p>
      <w:pPr>
        <w:autoSpaceDN w:val="0"/>
        <w:tabs>
          <w:tab w:pos="606" w:val="left"/>
        </w:tabs>
        <w:autoSpaceDE w:val="0"/>
        <w:widowControl/>
        <w:spacing w:line="276" w:lineRule="auto" w:before="0" w:after="200"/>
        <w:ind w:left="426" w:right="72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Anticipated use of the test in patient management.</w:t>
      </w:r>
      <w:r>
        <w:rPr>
          <w:rFonts w:ascii="Arial" w:hAnsi="Arial" w:eastAsia="Lora"/>
          <w:b w:val="0"/>
          <w:i w:val="0"/>
          <w:color w:val="333333"/>
          <w:sz w:val="18"/>
        </w:rPr>
        <w:t>• Prognosis (e.g., expected intermediate health out-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comes, expected net health outcomes of treatment).</w:t>
      </w:r>
      <w:r>
        <w:rPr>
          <w:rFonts w:ascii="Arial" w:hAnsi="Arial" w:eastAsia="Lora"/>
          <w:b w:val="0"/>
          <w:i w:val="0"/>
          <w:color w:val="333333"/>
          <w:sz w:val="18"/>
        </w:rPr>
        <w:t>• Relevant clinical practice guidelines, clinical path-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ways, HTAs, and systematic reviews.</w:t>
      </w:r>
    </w:p>
    <w:p>
      <w:pPr>
        <w:autoSpaceDN w:val="0"/>
        <w:autoSpaceDE w:val="0"/>
        <w:widowControl/>
        <w:spacing w:line="276" w:lineRule="auto" w:before="0" w:after="200"/>
        <w:ind w:left="42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Other key assumptions and their rationale.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2.3.3B SUPPORTING CLINICAL DATA FOR CDT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each study summary is two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pages (maximum five). The recommended length of a row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the evidence table is one page (maximum two) for each </w:t>
      </w:r>
      <w:r>
        <w:rPr>
          <w:rFonts w:ascii="Arial" w:hAnsi="Arial" w:eastAsia="Lora"/>
          <w:b w:val="0"/>
          <w:i w:val="0"/>
          <w:color w:val="333333"/>
          <w:sz w:val="18"/>
        </w:rPr>
        <w:t>study.</w:t>
      </w:r>
    </w:p>
    <w:p>
      <w:pPr>
        <w:autoSpaceDN w:val="0"/>
        <w:autoSpaceDE w:val="0"/>
        <w:widowControl/>
        <w:spacing w:line="276" w:lineRule="auto" w:before="0" w:after="200"/>
        <w:ind w:left="246" w:right="67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For drug dossiers, studies pertaining to the CDT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 not belong in Section 3.0B should be summarized in </w:t>
      </w:r>
      <w:r>
        <w:rPr>
          <w:rFonts w:ascii="Arial" w:hAnsi="Arial" w:eastAsia="Lora"/>
          <w:b w:val="0"/>
          <w:i w:val="0"/>
          <w:color w:val="333333"/>
          <w:sz w:val="18"/>
        </w:rPr>
        <w:t>this section.</w:t>
      </w: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stand-alone CDT dossiers, all clinical trials that </w:t>
      </w:r>
      <w:r>
        <w:rPr>
          <w:rFonts w:ascii="Arial" w:hAnsi="Arial" w:eastAsia="Lora"/>
          <w:b w:val="0"/>
          <w:i w:val="0"/>
          <w:color w:val="333333"/>
          <w:sz w:val="18"/>
        </w:rPr>
        <w:t>include the CDT should be summarized in this section.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Submit summaries of key studies that have been con-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ducted (and discussed with the FDA), whether published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not. For example: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1. Analytical validation studies.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Clinical validation studies.</w:t>
      </w:r>
    </w:p>
    <w:p>
      <w:pPr>
        <w:autoSpaceDN w:val="0"/>
        <w:autoSpaceDE w:val="0"/>
        <w:widowControl/>
        <w:spacing w:line="276" w:lineRule="auto" w:before="0" w:after="200"/>
        <w:ind w:left="426" w:right="576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3. Clinical utility studies (e.g., randomized trials, pro-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spective effectiveness trials, case series, retrospective </w:t>
      </w:r>
      <w:r>
        <w:rPr>
          <w:rFonts w:ascii="Arial" w:hAnsi="Arial" w:eastAsia="Lora"/>
          <w:b w:val="0"/>
          <w:i w:val="0"/>
          <w:color w:val="333333"/>
          <w:sz w:val="18"/>
        </w:rPr>
        <w:t>studies, systematic reviews, meta-analyses).</w:t>
      </w:r>
    </w:p>
    <w:p>
      <w:pPr>
        <w:autoSpaceDN w:val="0"/>
        <w:autoSpaceDE w:val="0"/>
        <w:widowControl/>
        <w:spacing w:line="276" w:lineRule="auto" w:before="0" w:after="200"/>
        <w:ind w:left="426" w:right="576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Outcomes studies (e.g., decision-analytic modeling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studies; prospective, trial-based cost-effectiveness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studies; cross-sectional or retrospective costing studies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treatment pattern studies; systematic review </w:t>
      </w:r>
      <w:r>
        <w:rPr>
          <w:rFonts w:ascii="Arial" w:hAnsi="Arial" w:eastAsia="Lora"/>
          <w:b w:val="0"/>
          <w:i w:val="0"/>
          <w:color w:val="333333"/>
          <w:sz w:val="18"/>
        </w:rPr>
        <w:t>articles; patient-reported outcomes studies, quality-</w:t>
      </w:r>
      <w:r>
        <w:rPr>
          <w:rFonts w:ascii="Arial" w:hAnsi="Arial" w:eastAsia="Lora"/>
          <w:b w:val="0"/>
          <w:i w:val="0"/>
          <w:color w:val="333333"/>
          <w:sz w:val="18"/>
        </w:rPr>
        <w:t>of-life studies).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5. Safety studies.</w:t>
      </w:r>
    </w:p>
    <w:p>
      <w:pPr>
        <w:autoSpaceDN w:val="0"/>
        <w:autoSpaceDE w:val="0"/>
        <w:widowControl/>
        <w:spacing w:line="276" w:lineRule="auto" w:before="0" w:after="200"/>
        <w:ind w:left="246" w:right="1008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Evidence in summaries should include the following: </w:t>
      </w:r>
      <w:r>
        <w:rPr>
          <w:rFonts w:ascii="Arial" w:hAnsi="Arial" w:eastAsia="Lora"/>
          <w:b w:val="0"/>
          <w:i w:val="0"/>
          <w:color w:val="333333"/>
          <w:sz w:val="18"/>
        </w:rPr>
        <w:t>1. Setting and location of study.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Study design and research question(s).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3. Inclusion and exclusion criteria.</w:t>
      </w:r>
    </w:p>
    <w:p>
      <w:pPr>
        <w:autoSpaceDN w:val="0"/>
        <w:tabs>
          <w:tab w:pos="516" w:val="left"/>
          <w:tab w:pos="1342" w:val="left"/>
          <w:tab w:pos="2870" w:val="left"/>
          <w:tab w:pos="4424" w:val="left"/>
        </w:tabs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Patient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characteristics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(demographics,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number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studied, disease severity, comorbidities).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5. Intervention and control groups.</w:t>
      </w:r>
    </w:p>
    <w:p>
      <w:pPr>
        <w:autoSpaceDN w:val="0"/>
        <w:autoSpaceDE w:val="0"/>
        <w:widowControl/>
        <w:spacing w:line="276" w:lineRule="auto" w:before="0" w:after="200"/>
        <w:ind w:left="516" w:right="672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6. Patient follow-up procedures (e.g., if an ITT design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used, were drop-outs followed and for what time </w:t>
      </w:r>
      <w:r>
        <w:rPr>
          <w:rFonts w:ascii="Arial" w:hAnsi="Arial" w:eastAsia="Lora"/>
          <w:b w:val="0"/>
          <w:i w:val="0"/>
          <w:color w:val="333333"/>
          <w:sz w:val="18"/>
        </w:rPr>
        <w:t>period?) and treatment/follow-up period.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32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7. Clinical outcome(s) measures.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8. Outcomes evaluated.</w:t>
      </w:r>
    </w:p>
    <w:p>
      <w:pPr>
        <w:autoSpaceDN w:val="0"/>
        <w:tabs>
          <w:tab w:pos="114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9. Delineate primary versus secondary study endpoints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and their corresponding results.</w:t>
      </w:r>
    </w:p>
    <w:p>
      <w:pPr>
        <w:autoSpaceDN w:val="0"/>
        <w:tabs>
          <w:tab w:pos="114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10. Other results/outcomes reported (e.g., quality of life,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assay performance).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11. Principal findings.</w:t>
      </w:r>
    </w:p>
    <w:p>
      <w:pPr>
        <w:autoSpaceDN w:val="0"/>
        <w:tabs>
          <w:tab w:pos="114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12. Statistical significance of outcomes and power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calculations.</w:t>
      </w:r>
    </w:p>
    <w:p>
      <w:pPr>
        <w:autoSpaceDN w:val="0"/>
        <w:autoSpaceDE w:val="0"/>
        <w:widowControl/>
        <w:spacing w:line="276" w:lineRule="auto" w:before="0" w:after="200"/>
        <w:ind w:left="878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13. Validation of outcomes instrument (if applicable). </w:t>
      </w:r>
      <w:r>
        <w:rPr>
          <w:rFonts w:ascii="Arial" w:hAnsi="Arial" w:eastAsia="Lora"/>
          <w:b w:val="0"/>
          <w:i w:val="0"/>
          <w:color w:val="333333"/>
          <w:sz w:val="18"/>
        </w:rPr>
        <w:t>14. Compliance behavior.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15. Generalizability of the population treated.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16. Relevance to enrolled populations.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17. Publication citations/references used.</w:t>
      </w:r>
    </w:p>
    <w:p>
      <w:pPr>
        <w:autoSpaceDN w:val="0"/>
        <w:autoSpaceDE w:val="0"/>
        <w:widowControl/>
        <w:spacing w:line="276" w:lineRule="auto" w:before="0" w:after="200"/>
        <w:ind w:left="1148" w:right="156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18. State whether trials or other studies for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registered in a public trial registry and, if so, </w:t>
      </w:r>
      <w:r>
        <w:rPr>
          <w:rFonts w:ascii="Arial" w:hAnsi="Arial" w:eastAsia="Lora"/>
          <w:b w:val="0"/>
          <w:i w:val="0"/>
          <w:color w:val="333333"/>
          <w:sz w:val="18"/>
        </w:rPr>
        <w:t>provide access information (e.g., ClinicalTrials.gov).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3.0B Clinical Evidence</w:t>
      </w:r>
    </w:p>
    <w:p>
      <w:pPr>
        <w:autoSpaceDN w:val="0"/>
        <w:autoSpaceDE w:val="0"/>
        <w:widowControl/>
        <w:spacing w:line="276" w:lineRule="auto" w:before="0" w:after="200"/>
        <w:ind w:left="698" w:right="156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3.0B should consist of clinical studies that support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use and value of the product in a  clear and concise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format. </w:t>
      </w:r>
    </w:p>
    <w:p>
      <w:pPr>
        <w:autoSpaceDN w:val="0"/>
        <w:tabs>
          <w:tab w:pos="878" w:val="left"/>
          <w:tab w:pos="105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 is important that Section 3.0B is transparent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reflects the full body of clinical evidence that exists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product. For a new product, available evidence may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limited to a few studies, and inclusion of all studies in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 is sensible. For a legacy product, there may be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very large number of studies in the medical literature,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so inclusion of every study may be impractical for both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and HCDMs. In such cases, it is important </w:t>
      </w:r>
      <w:r>
        <w:rPr>
          <w:rFonts w:ascii="Arial" w:hAnsi="Arial" w:eastAsia="Lora"/>
          <w:b w:val="0"/>
          <w:i w:val="0"/>
          <w:color w:val="333333"/>
          <w:sz w:val="18"/>
        </w:rPr>
        <w:t>that the manufacturer exhibits transparency and fair repre-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sentation concerning the evidence included in the dossier,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while at the same time providing a dossier that is useful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manageable for HCDMs. Therefore, it is recommended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such cases, the evidence be separated into the following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categories: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An overview of clinical information should be provided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first page of Section 3.0B. </w:t>
      </w:r>
    </w:p>
    <w:p>
      <w:pPr>
        <w:autoSpaceDN w:val="0"/>
        <w:autoSpaceDE w:val="0"/>
        <w:widowControl/>
        <w:spacing w:line="276" w:lineRule="auto" w:before="0" w:after="200"/>
        <w:ind w:left="1058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Pivotal data, and in some instances other RCTs and/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real-world evidence, that contribute significantly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knowledge base of the product should be included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 </w:t>
      </w:r>
      <w:r>
        <w:rPr>
          <w:rFonts w:ascii="Arial" w:hAnsi="Arial" w:eastAsia="Lora"/>
          <w:b w:val="0"/>
          <w:i/>
          <w:color w:val="333333"/>
          <w:sz w:val="18"/>
        </w:rPr>
        <w:t>study summaries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(see Section 3.1B) and </w:t>
      </w:r>
      <w:r>
        <w:rPr>
          <w:rFonts w:ascii="Arial" w:hAnsi="Arial" w:eastAsia="Lora"/>
          <w:b w:val="0"/>
          <w:i/>
          <w:color w:val="333333"/>
          <w:sz w:val="18"/>
        </w:rPr>
        <w:t xml:space="preserve">evidence </w:t>
      </w:r>
      <w:r>
        <w:rPr>
          <w:rFonts w:ascii="Arial" w:hAnsi="Arial" w:eastAsia="Lora"/>
          <w:b w:val="0"/>
          <w:i/>
          <w:color w:val="333333"/>
          <w:sz w:val="18"/>
        </w:rPr>
        <w:t>tables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(see Section 3.2B).</w:t>
      </w:r>
    </w:p>
    <w:p>
      <w:pPr>
        <w:autoSpaceDN w:val="0"/>
        <w:autoSpaceDE w:val="0"/>
        <w:widowControl/>
        <w:spacing w:line="276" w:lineRule="auto" w:before="0" w:after="200"/>
        <w:ind w:left="1058" w:right="158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Informative but smaller and/or less rigorous studies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may add to the evidence base should be included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 </w:t>
      </w:r>
      <w:r>
        <w:rPr>
          <w:rFonts w:ascii="Arial" w:hAnsi="Arial" w:eastAsia="Lora"/>
          <w:b w:val="0"/>
          <w:i/>
          <w:color w:val="333333"/>
          <w:sz w:val="18"/>
        </w:rPr>
        <w:t>evidence tables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(see Section 3.2B) only.</w:t>
      </w:r>
    </w:p>
    <w:p>
      <w:pPr>
        <w:autoSpaceDN w:val="0"/>
        <w:autoSpaceDE w:val="0"/>
        <w:widowControl/>
        <w:spacing w:line="276" w:lineRule="auto" w:before="0" w:after="200"/>
        <w:ind w:left="1058" w:right="15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All other studies that have been reported but do 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add significantly to the knowledge base of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be identified in a </w:t>
      </w:r>
      <w:r>
        <w:rPr>
          <w:rFonts w:ascii="Arial" w:hAnsi="Arial" w:eastAsia="Lora"/>
          <w:b w:val="0"/>
          <w:i/>
          <w:color w:val="333333"/>
          <w:sz w:val="18"/>
        </w:rPr>
        <w:t>bibliography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only.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overview of the information contained in Section 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3.0B should define a specific set of objective criteria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inclusion and exclusion of studies and describe how studies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were selected for inclusion and exclusion in this section. </w:t>
      </w:r>
      <w:r>
        <w:rPr>
          <w:rFonts w:ascii="Arial" w:hAnsi="Arial" w:eastAsia="Lora"/>
          <w:b w:val="0"/>
          <w:i w:val="0"/>
          <w:color w:val="333333"/>
          <w:sz w:val="18"/>
        </w:rPr>
        <w:t>Studies excluded do not need to be identified in a bibliogra-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phy. Considerations for establishing inclusion or exclusion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criteria can be based on the study characteristics as is done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ClinicalTrials.gov. These characteristics include, but 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limited to, study design, number of participants,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location of the study. </w:t>
      </w:r>
    </w:p>
    <w:p>
      <w:pPr>
        <w:autoSpaceDN w:val="0"/>
        <w:autoSpaceDE w:val="0"/>
        <w:widowControl/>
        <w:spacing w:line="276" w:lineRule="auto" w:before="0" w:after="200"/>
        <w:ind w:left="156" w:right="20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In this section, the manufacturer should clearly explain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objective rationale for delineation and assignment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 into each of the categories above to avoid selection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bias. Because these definitions may vary depending 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context of the product, clinical setting, and available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treatment alternatives (e.g., common disorder vs. orphan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disease), the manufacturer should justify how studies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included (study summaries vs. evidence tables vs. </w:t>
      </w:r>
      <w:r>
        <w:rPr>
          <w:rFonts w:ascii="Arial" w:hAnsi="Arial" w:eastAsia="Lora"/>
          <w:b w:val="0"/>
          <w:i w:val="0"/>
          <w:color w:val="333333"/>
          <w:sz w:val="18"/>
        </w:rPr>
        <w:t>bibliography).</w:t>
      </w:r>
    </w:p>
    <w:p>
      <w:pPr>
        <w:autoSpaceDN w:val="0"/>
        <w:autoSpaceDE w:val="0"/>
        <w:widowControl/>
        <w:spacing w:line="276" w:lineRule="auto" w:before="0" w:after="200"/>
        <w:ind w:left="156" w:right="2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should also explain the degree to which study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participants represent the target population as described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2.2.1B and identify differences that may obscure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translation to real-world effectiveness. </w:t>
      </w:r>
    </w:p>
    <w:p>
      <w:pPr>
        <w:autoSpaceDN w:val="0"/>
        <w:autoSpaceDE w:val="0"/>
        <w:widowControl/>
        <w:spacing w:line="276" w:lineRule="auto" w:before="0" w:after="200"/>
        <w:ind w:left="156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For clinical trials, the representation of study partic-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ipants to real-world populations should be explained.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Supplemental tables depicting representation are strongly </w:t>
      </w:r>
      <w:r>
        <w:rPr>
          <w:rFonts w:ascii="Arial" w:hAnsi="Arial" w:eastAsia="Lora"/>
          <w:b w:val="0"/>
          <w:i w:val="0"/>
          <w:color w:val="333333"/>
          <w:sz w:val="18"/>
        </w:rPr>
        <w:t>encouraged. Retrospective studies should include sub-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groups disproportionally affected by the health condition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if such data are available, and limitations that erode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generalizability should be disclosed. 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Considerations for Section 3.0B: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The length and level of detail for study summaries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evidence tables may vary based on the amount of avail-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able data. It must be noted that HCDMs want a concise,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focused, and user-friendly presentation of data. One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most common complaints from HCDMs is that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dossiers are too long.</w:t>
      </w:r>
    </w:p>
    <w:p>
      <w:pPr>
        <w:autoSpaceDN w:val="0"/>
        <w:autoSpaceDE w:val="0"/>
        <w:widowControl/>
        <w:spacing w:line="276" w:lineRule="auto" w:before="0" w:after="200"/>
        <w:ind w:left="516" w:right="20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Specific study designs are not prescribed in this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section. Manufacturers should include studies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generate evidence about clinical outcomes. </w:t>
      </w:r>
    </w:p>
    <w:p>
      <w:pPr>
        <w:autoSpaceDN w:val="0"/>
        <w:autoSpaceDE w:val="0"/>
        <w:widowControl/>
        <w:spacing w:line="276" w:lineRule="auto" w:before="0" w:after="200"/>
        <w:ind w:left="696" w:right="0" w:hanging="18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Prospective clinical studies including RCTs, obser-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vational data, registries, real-world evidence,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other studies that measure clinical endpoints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generally be included in Section 3.0B. Study results </w:t>
      </w:r>
      <w:r>
        <w:rPr>
          <w:rFonts w:ascii="Arial" w:hAnsi="Arial" w:eastAsia="Lora"/>
          <w:b w:val="0"/>
          <w:i w:val="0"/>
          <w:color w:val="333333"/>
          <w:sz w:val="18"/>
        </w:rPr>
        <w:t>and outcomes may include efficacy, safety, tolerabil-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ity, pharmacokinetics/pharmacodynamics, patient </w:t>
      </w:r>
      <w:r>
        <w:rPr>
          <w:rFonts w:ascii="Arial" w:hAnsi="Arial" w:eastAsia="Lora"/>
          <w:b w:val="0"/>
          <w:i w:val="0"/>
          <w:color w:val="333333"/>
          <w:sz w:val="18"/>
        </w:rPr>
        <w:t>preference, patient adherence, patient-reported out-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comes, quality of life, evidence that identifies patient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subgroups or clinical settings in which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be appropriate or yield varied outcomes, and </w:t>
      </w:r>
      <w:r>
        <w:rPr>
          <w:rFonts w:ascii="Arial" w:hAnsi="Arial" w:eastAsia="Lora"/>
          <w:b w:val="0"/>
          <w:i w:val="0"/>
          <w:color w:val="333333"/>
          <w:sz w:val="18"/>
        </w:rPr>
        <w:t>other clinically related outcomes.</w:t>
      </w:r>
    </w:p>
    <w:p>
      <w:pPr>
        <w:autoSpaceDN w:val="0"/>
        <w:autoSpaceDE w:val="0"/>
        <w:widowControl/>
        <w:spacing w:line="276" w:lineRule="auto" w:before="0" w:after="200"/>
        <w:ind w:left="516" w:right="0" w:firstLine="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Retrospective studies, including real-world evidence, 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140.0" w:type="dxa"/>
      </w:tblPr>
      <w:tblGrid>
        <w:gridCol w:w="4770"/>
        <w:gridCol w:w="4770"/>
      </w:tblGrid>
      <w:tr>
        <w:trPr>
          <w:trHeight w:hRule="exact" w:val="362"/>
        </w:trPr>
        <w:tc>
          <w:tcPr>
            <w:tcW w:type="dxa" w:w="5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33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36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supporting the clinical use and clinical value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product that are conducted using existing data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from chart reviews, medical and pharmacy claims,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electronic medical records, product and/or disease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registries, patient-generated data including data </w:t>
      </w:r>
      <w:r>
        <w:rPr>
          <w:rFonts w:ascii="Arial" w:hAnsi="Arial" w:eastAsia="Lora"/>
          <w:b w:val="0"/>
          <w:i w:val="0"/>
          <w:color w:val="333333"/>
          <w:sz w:val="18"/>
        </w:rPr>
        <w:t>gathered from other sources such as mobile applica-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tions, or other novel sources of data. Retrospective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 can be a valuable source of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about diverse subgroups and therapeutic variability;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however, many measures of diversity such as race, </w:t>
      </w:r>
      <w:r>
        <w:rPr>
          <w:rFonts w:ascii="Arial" w:hAnsi="Arial" w:eastAsia="Lora"/>
          <w:b w:val="0"/>
          <w:i w:val="0"/>
          <w:color w:val="333333"/>
          <w:sz w:val="18"/>
        </w:rPr>
        <w:t>ethnicity, and socioeconomic status are not consis-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tently available in retrospective databases. In cases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where health disparities cannot be examined,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rationale for omitting this information should be </w:t>
      </w:r>
      <w:r>
        <w:rPr>
          <w:rFonts w:ascii="Arial" w:hAnsi="Arial" w:eastAsia="Lora"/>
          <w:b w:val="0"/>
          <w:i w:val="0"/>
          <w:color w:val="333333"/>
          <w:sz w:val="18"/>
        </w:rPr>
        <w:t>provided.</w:t>
      </w:r>
    </w:p>
    <w:p>
      <w:pPr>
        <w:autoSpaceDN w:val="0"/>
        <w:autoSpaceDE w:val="0"/>
        <w:widowControl/>
        <w:spacing w:line="276" w:lineRule="auto" w:before="0" w:after="200"/>
        <w:ind w:left="360" w:right="156" w:hanging="180"/>
        <w:jc w:val="both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vitro, animal, and phase 1 studies are generally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included unless the value proposition is based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relevant pharmacologic, pharmacodynamics, or </w:t>
      </w:r>
      <w:r>
        <w:rPr>
          <w:rFonts w:ascii="Arial" w:hAnsi="Arial" w:eastAsia="Lora"/>
          <w:b w:val="0"/>
          <w:i w:val="0"/>
          <w:color w:val="333333"/>
          <w:sz w:val="18"/>
        </w:rPr>
        <w:t>pharmacokinetic evidence in these earlier studies.</w:t>
      </w:r>
    </w:p>
    <w:p>
      <w:pPr>
        <w:autoSpaceDN w:val="0"/>
        <w:tabs>
          <w:tab w:pos="180" w:val="left"/>
          <w:tab w:pos="1304" w:val="left"/>
          <w:tab w:pos="1716" w:val="left"/>
          <w:tab w:pos="2742" w:val="left"/>
          <w:tab w:pos="3170" w:val="left"/>
          <w:tab w:pos="4088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Studies from peer-reviewed published medical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journals are preferred. When publications are not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available, medical congress abstracts, posters,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scientific podium presentations can be considered.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Publicly available information from manuscripts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submitted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accepted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medical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journals,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ClinicalTrials.gov, FDA briefing documents, and manu-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facturers’ data on file can also be used, when applicable.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Comparative evidence is a necessary component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comprehensive product dossier. For this reason, it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strongly recommended that head-to-head clinical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studies between the product and its primary com-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parators be included in Section 3.0B. In the absence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head-to-head data, other comparative efficacy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safety analyses may be considered.</w:t>
      </w:r>
    </w:p>
    <w:p>
      <w:pPr>
        <w:autoSpaceDN w:val="0"/>
        <w:autoSpaceDE w:val="0"/>
        <w:widowControl/>
        <w:spacing w:line="276" w:lineRule="auto" w:before="0" w:after="200"/>
        <w:ind w:left="180" w:right="15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If the results of a trial have been reported in more than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one journal article or conference abstract, poster,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scientific podium presentation, all may be combined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into one summary and one row of an evidence table,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citing all the sources from which data have been drawn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clearly stating the total number of participants.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Discuss important study findings and comment 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their implications for different patient populations. </w:t>
      </w:r>
    </w:p>
    <w:p>
      <w:pPr>
        <w:autoSpaceDN w:val="0"/>
        <w:autoSpaceDE w:val="0"/>
        <w:widowControl/>
        <w:spacing w:line="276" w:lineRule="auto" w:before="0" w:after="200"/>
        <w:ind w:left="180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Potential off-label uses are of significant interest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HCDMs. As such, clinical studies involving off-label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uses should be included in dossiers. Manufacturers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clearly delineate evidence for on- and off-label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uses (i.e., organize and report on-label indications and </w:t>
      </w:r>
      <w:r>
        <w:rPr>
          <w:rFonts w:ascii="Arial" w:hAnsi="Arial" w:eastAsia="Lora"/>
          <w:b w:val="0"/>
          <w:i w:val="0"/>
          <w:color w:val="333333"/>
          <w:sz w:val="18"/>
        </w:rPr>
        <w:t>information first and off-label after). If data regard-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ing off-label use have been submitted to the FDA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approval but the FDA decision was to deny the approval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proposed new indication, then the FDA decision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900" w:header="720" w:footer="720" w:gutter="0"/>
          <w:cols w:num="2" w:equalWidth="0">
            <w:col w:w="50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51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should be briefly summarized.</w:t>
      </w:r>
    </w:p>
    <w:p>
      <w:pPr>
        <w:autoSpaceDN w:val="0"/>
        <w:autoSpaceDE w:val="0"/>
        <w:widowControl/>
        <w:spacing w:line="276" w:lineRule="auto" w:before="0" w:after="200"/>
        <w:ind w:left="516" w:right="672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For products with more than one approved indication,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pharmaceutical manufacturer should decide how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 for labeled indications should be presented. If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decides to have separate dossiers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each approved indication, those requesting dossiers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must be apprised of the existence of more than one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dossier, and that each can only be supplied pursuant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 unsolicited request. In all cases, however, all studies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a given indication should be grouped together in </w:t>
      </w:r>
      <w:r>
        <w:rPr>
          <w:rFonts w:ascii="Arial" w:hAnsi="Arial" w:eastAsia="Lora"/>
          <w:b w:val="0"/>
          <w:i w:val="0"/>
          <w:color w:val="333333"/>
          <w:sz w:val="18"/>
        </w:rPr>
        <w:t>the dossier.</w:t>
      </w:r>
    </w:p>
    <w:p>
      <w:pPr>
        <w:autoSpaceDN w:val="0"/>
        <w:autoSpaceDE w:val="0"/>
        <w:widowControl/>
        <w:spacing w:line="276" w:lineRule="auto" w:before="0" w:after="200"/>
        <w:ind w:left="516" w:right="576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For pharmaceuticals designated by the FDA as “break-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through drugs,” evidentiary reporting requirements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the same as for other drugs. For biosimilars, basic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evidentiary needs are the same as for “traditional”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“specialty” pharmaceuticals. While it is recognized that </w:t>
      </w:r>
      <w:r>
        <w:rPr>
          <w:rFonts w:ascii="Arial" w:hAnsi="Arial" w:eastAsia="Lora"/>
          <w:b w:val="0"/>
          <w:i w:val="0"/>
          <w:color w:val="333333"/>
          <w:sz w:val="18"/>
        </w:rPr>
        <w:t>trials dealing with interchangeability, dosing equiva-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lency, and comparison with innovator agents, etc., 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especially important, all relevant trials dealing with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biosimilars should be reported, since there is often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limited data available for such products, and HCDMs </w:t>
      </w:r>
      <w:r>
        <w:rPr>
          <w:rFonts w:ascii="Arial" w:hAnsi="Arial" w:eastAsia="Lora"/>
          <w:b w:val="0"/>
          <w:i w:val="0"/>
          <w:color w:val="333333"/>
          <w:sz w:val="18"/>
        </w:rPr>
        <w:t>need access to all relevant evidence and data.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Data summarized in Section 3.0B should not be restated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 Section 5.0B.</w:t>
      </w:r>
    </w:p>
    <w:p>
      <w:pPr>
        <w:autoSpaceDN w:val="0"/>
        <w:tabs>
          <w:tab w:pos="336" w:val="left"/>
          <w:tab w:pos="606" w:val="left"/>
          <w:tab w:pos="87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3.1B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STUDY SUMMARIES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each study summary is five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pages (maximum ten). Study summaries should include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following items where available and applicable: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Publication citations, study name, ClinicalTrials.gov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ID number, sponsor, or funding source.</w:t>
      </w:r>
    </w:p>
    <w:p>
      <w:pPr>
        <w:autoSpaceDN w:val="0"/>
        <w:tabs>
          <w:tab w:pos="60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Objective, location, and study start and completion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dates.</w:t>
      </w:r>
    </w:p>
    <w:p>
      <w:pPr>
        <w:autoSpaceDN w:val="0"/>
        <w:autoSpaceDE w:val="0"/>
        <w:widowControl/>
        <w:spacing w:line="276" w:lineRule="auto" w:before="0" w:after="200"/>
        <w:ind w:left="336" w:right="72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Trial design, randomization, and blinding procedures. </w:t>
      </w:r>
      <w:r>
        <w:rPr>
          <w:rFonts w:ascii="Arial" w:hAnsi="Arial" w:eastAsia="Lora"/>
          <w:b w:val="0"/>
          <w:i w:val="0"/>
          <w:color w:val="333333"/>
          <w:sz w:val="18"/>
        </w:rPr>
        <w:t>4. Setting, inclusion, and exclusion criteria.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5. Baseline patient characteristics and demographics.</w:t>
      </w:r>
    </w:p>
    <w:p>
      <w:pPr>
        <w:autoSpaceDN w:val="0"/>
        <w:tabs>
          <w:tab w:pos="606" w:val="left"/>
        </w:tabs>
        <w:autoSpaceDE w:val="0"/>
        <w:widowControl/>
        <w:spacing w:line="276" w:lineRule="auto" w:before="0" w:after="200"/>
        <w:ind w:left="336" w:right="72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6. Drop-out rates and procedures for handling drop-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outs (e.g., ITT, per protocol).</w:t>
      </w:r>
    </w:p>
    <w:p>
      <w:pPr>
        <w:autoSpaceDN w:val="0"/>
        <w:autoSpaceDE w:val="0"/>
        <w:widowControl/>
        <w:spacing w:line="276" w:lineRule="auto" w:before="0" w:after="200"/>
        <w:ind w:left="606" w:right="672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7. Treatments and interventions, dosage regimens,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washout period, concomitant therapies, and relevant </w:t>
      </w:r>
      <w:r>
        <w:rPr>
          <w:rFonts w:ascii="Arial" w:hAnsi="Arial" w:eastAsia="Lora"/>
          <w:b w:val="0"/>
          <w:i w:val="0"/>
          <w:color w:val="333333"/>
          <w:sz w:val="18"/>
        </w:rPr>
        <w:t>pre/post-protocol care, etc.</w:t>
      </w:r>
    </w:p>
    <w:p>
      <w:pPr>
        <w:autoSpaceDN w:val="0"/>
        <w:tabs>
          <w:tab w:pos="606" w:val="left"/>
          <w:tab w:pos="1406" w:val="left"/>
          <w:tab w:pos="2598" w:val="left"/>
          <w:tab w:pos="3512" w:val="left"/>
          <w:tab w:pos="4280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8. Clinical outcome(s) evaluated, measured, and col-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lected,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delineating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primary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versus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secondary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endpoints as well as pre-specified versus post hoc.</w:t>
      </w:r>
    </w:p>
    <w:p>
      <w:pPr>
        <w:autoSpaceDN w:val="0"/>
        <w:autoSpaceDE w:val="0"/>
        <w:widowControl/>
        <w:spacing w:line="276" w:lineRule="auto" w:before="0" w:after="200"/>
        <w:ind w:left="606" w:right="672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9. Measures of effect (e.g., risk difference, risk ratio, odds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ratio, number needed to treat), statistical significance </w:t>
      </w:r>
      <w:r>
        <w:rPr>
          <w:rFonts w:ascii="Arial" w:hAnsi="Arial" w:eastAsia="Lora"/>
          <w:b w:val="0"/>
          <w:i w:val="0"/>
          <w:color w:val="333333"/>
          <w:sz w:val="18"/>
        </w:rPr>
        <w:t>of outcomes, and power calculations.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10. Validation of outcomes instruments, if applicable.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11. Generalizability of the population treated.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12. Study limitations, as stated by the authors.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900" w:header="720" w:footer="720" w:gutter="0"/>
          <w:cols w:num="2" w:equalWidth="0">
            <w:col w:w="50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34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878" w:val="left"/>
          <w:tab w:pos="1058" w:val="left"/>
          <w:tab w:pos="141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3.2B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EVIDENCE TABLES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a row in the evidence table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less than one page (maximum two) for each study.  Evidence </w:t>
      </w:r>
      <w:r>
        <w:rPr>
          <w:rFonts w:ascii="Arial" w:hAnsi="Arial" w:eastAsia="Lora"/>
          <w:b w:val="0"/>
          <w:i w:val="0"/>
          <w:color w:val="333333"/>
          <w:sz w:val="18"/>
        </w:rPr>
        <w:t>tables should include the following data elements: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Citation (if unpublished, give abstract information 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indicate “data on file”)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Treatments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Sample size and length of follow-up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Inclusion and exclusion criteria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Design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Primary endpoints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Secondary endpoints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Results (provide an explicit statement of effect size, not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just relative risk reduction and statistical significance. </w:t>
      </w:r>
    </w:p>
    <w:p>
      <w:pPr>
        <w:autoSpaceDN w:val="0"/>
        <w:tabs>
          <w:tab w:pos="878" w:val="left"/>
          <w:tab w:pos="105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Within the Results column, include a table of key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results)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Statistical significance (e.g., p-value and confidence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interval)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 may be helpful to display evidence tables in landscape </w:t>
      </w:r>
      <w:r>
        <w:rPr>
          <w:rFonts w:ascii="Arial" w:hAnsi="Arial" w:eastAsia="Lora"/>
          <w:b w:val="0"/>
          <w:i w:val="0"/>
          <w:color w:val="333333"/>
          <w:sz w:val="18"/>
        </w:rPr>
        <w:t>rather than portrait formats with appropriate use of abbre-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viations and other acceptable ways to display data in a clear, </w:t>
      </w:r>
      <w:r>
        <w:rPr>
          <w:rFonts w:ascii="Arial" w:hAnsi="Arial" w:eastAsia="Lora"/>
          <w:b w:val="0"/>
          <w:i w:val="0"/>
          <w:color w:val="333333"/>
          <w:sz w:val="18"/>
        </w:rPr>
        <w:t>objective, and concise way.</w:t>
      </w:r>
    </w:p>
    <w:p>
      <w:pPr>
        <w:autoSpaceDN w:val="0"/>
        <w:autoSpaceDE w:val="0"/>
        <w:widowControl/>
        <w:spacing w:line="276" w:lineRule="auto" w:before="0" w:after="200"/>
        <w:ind w:left="698" w:right="1584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4.0B Economic Value and </w:t>
      </w:r>
      <w:r>
        <w:rPr>
          <w:rFonts w:ascii="Arial" w:hAnsi="Arial" w:eastAsia="Asap"/>
          <w:b/>
          <w:i w:val="0"/>
          <w:color w:val="333333"/>
          <w:sz w:val="32"/>
        </w:rPr>
        <w:t>Modeling Report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4.0B is 12 pages </w:t>
      </w:r>
      <w:r>
        <w:rPr>
          <w:rFonts w:ascii="Arial" w:hAnsi="Arial" w:eastAsia="Lora"/>
          <w:b w:val="0"/>
          <w:i w:val="0"/>
          <w:color w:val="333333"/>
          <w:sz w:val="18"/>
        </w:rPr>
        <w:t>(maximum 20) for each model.</w:t>
      </w:r>
    </w:p>
    <w:p>
      <w:pPr>
        <w:autoSpaceDN w:val="0"/>
        <w:tabs>
          <w:tab w:pos="141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4.1B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MODELING OVERVIEW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presents an overview of the rationale, approach,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suggested methods for developing economic models.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intent of the model is to quantify for the HCDM the </w:t>
      </w:r>
      <w:r>
        <w:rPr>
          <w:rFonts w:ascii="Arial" w:hAnsi="Arial" w:eastAsia="Lora"/>
          <w:b w:val="0"/>
          <w:i w:val="0"/>
          <w:color w:val="333333"/>
          <w:sz w:val="18"/>
        </w:rPr>
        <w:t>risk-benefit trade-off of the product and its economic value.</w:t>
      </w:r>
    </w:p>
    <w:p>
      <w:pPr>
        <w:autoSpaceDN w:val="0"/>
        <w:tabs>
          <w:tab w:pos="105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4.1.1B USE OF MODELING FOR DECISION-MAKING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Available data on the clinical benefits and harms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impact of the product under consideration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provided in Sections 3.0B and 5.0B of the 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Dossier and are the core of evidence-based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decision-making. Most of the source data for models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in Section 3.0B, whereas Section 5.0B contains data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from external sources such as clinical practice guidelines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prior HTAs. Additional data may exist in the form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real-world evidence which may also provide source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for economic modeling. These data, however,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have important limitations for decision-making.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example: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RCTs may not include all relevant comparator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interventions.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The duration of follow-up in RCTs may be limited.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RCTs may not have collected all necessary data for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economic evaluation.</w:t>
      </w: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Patient populations in RCTs may not be representative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of plan populations or patient subgroups.</w:t>
      </w: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5. Safety data may be limited or from disparate sources.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6. Health care costs may not be generalizable across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HCDMs.</w:t>
      </w:r>
    </w:p>
    <w:p>
      <w:pPr>
        <w:autoSpaceDN w:val="0"/>
        <w:autoSpaceDE w:val="0"/>
        <w:widowControl/>
        <w:spacing w:line="276" w:lineRule="auto" w:before="0" w:after="200"/>
        <w:ind w:left="426" w:right="20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7. Real-world evidence may be less precisely collected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than RCT data, with potential discrepancies in data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based on the data source (medical study registry data </w:t>
      </w:r>
      <w:r>
        <w:rPr>
          <w:rFonts w:ascii="Arial" w:hAnsi="Arial" w:eastAsia="Lora"/>
          <w:b w:val="0"/>
          <w:i w:val="0"/>
          <w:color w:val="333333"/>
          <w:sz w:val="18"/>
        </w:rPr>
        <w:t>vs. pharmacy claims).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These limitations have led to recent efforts in CER to </w:t>
      </w:r>
      <w:r>
        <w:rPr>
          <w:rFonts w:ascii="Arial" w:hAnsi="Arial" w:eastAsia="Lora"/>
          <w:b w:val="0"/>
          <w:i w:val="0"/>
          <w:color w:val="333333"/>
          <w:sz w:val="18"/>
        </w:rPr>
        <w:t>improve the quantity, diversity, and relevance of infor-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mation available to HCDMs. Comparative 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>data—derived from studies including relevant popula-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tions, comparators, and outcomes—will prove valuable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 and should be reported in Sections 3.0B and 5.0B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Approved Product Dossier. These data are more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likely (and should be expected) to be available for more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mature products. In addition, evidence may be generated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through pay for performance or coverage with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development schemes. Synthesis and evaluation of these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data will remain challenging, however, and are unlikely to </w:t>
      </w:r>
      <w:r>
        <w:rPr>
          <w:rFonts w:ascii="Arial" w:hAnsi="Arial" w:eastAsia="Lora"/>
          <w:b w:val="0"/>
          <w:i w:val="0"/>
          <w:color w:val="333333"/>
          <w:sz w:val="18"/>
        </w:rPr>
        <w:t>be available for new products.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Cost-effectiveness models based on decision analytics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an effective means to assess the overall potential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value of health care technologies. They are disease-based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consider the effect of the new technology on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 outcomes for the target population. Typically,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they include evidence on the incidence of the disease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condition in the target population, the medical care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required to diagnose and treat the disease, the relative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absolute risk reductions offered by the technology,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survival and quality-of-life effects, and the costs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interventions. Decision models can provide the following: </w:t>
      </w:r>
      <w:r>
        <w:rPr>
          <w:rFonts w:ascii="Arial" w:hAnsi="Arial" w:eastAsia="Lora"/>
          <w:b w:val="0"/>
          <w:i w:val="0"/>
          <w:color w:val="333333"/>
          <w:sz w:val="18"/>
        </w:rPr>
        <w:t>1. An explicit framework for decision-making.</w:t>
      </w: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A synthesis of evidence on health consequences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costs from different sources.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3. A formal assessment of uncertainty.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4. A quantitative measure of clinical risk-benefit.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5. Explicit and evaluable assumptions.</w:t>
      </w: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6. Specificity for a product’s role or place in therapy. </w:t>
      </w:r>
      <w:r>
        <w:rPr>
          <w:rFonts w:ascii="Arial" w:hAnsi="Arial" w:eastAsia="Lora"/>
          <w:b w:val="0"/>
          <w:i w:val="0"/>
          <w:color w:val="333333"/>
          <w:sz w:val="18"/>
        </w:rPr>
        <w:t>7. Benchmarks against which the product’s future perfor-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mance can be measured.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Models are not without challenges. In particular, </w:t>
      </w:r>
      <w:r>
        <w:rPr>
          <w:rFonts w:ascii="Arial" w:hAnsi="Arial" w:eastAsia="Lora"/>
          <w:b w:val="0"/>
          <w:i w:val="0"/>
          <w:color w:val="333333"/>
          <w:sz w:val="18"/>
        </w:rPr>
        <w:t>because of the complexity and inherent required assump-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tions, models can be perceived as a “black box” approach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biased. The AMCP Format has been developed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help address these limitations by providing a consistent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format for conducting and reporting cost-effectiveness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>models to improve their transparency and acceptability.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140.0" w:type="dxa"/>
      </w:tblPr>
      <w:tblGrid>
        <w:gridCol w:w="4770"/>
        <w:gridCol w:w="4770"/>
      </w:tblGrid>
      <w:tr>
        <w:trPr>
          <w:trHeight w:hRule="exact" w:val="362"/>
        </w:trPr>
        <w:tc>
          <w:tcPr>
            <w:tcW w:type="dxa" w:w="5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35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should consult with HCDMs, ideally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the early phases of model development, to identify </w:t>
      </w:r>
      <w:r>
        <w:rPr>
          <w:rFonts w:ascii="Arial" w:hAnsi="Arial" w:eastAsia="Lora"/>
          <w:b w:val="0"/>
          <w:i w:val="0"/>
          <w:color w:val="333333"/>
          <w:sz w:val="18"/>
        </w:rPr>
        <w:t>optimal modeling approaches and ensure the incor-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poration of appropriate comparator products, target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populations, and endpoints to reflect clinical reality and </w:t>
      </w:r>
      <w:r>
        <w:rPr>
          <w:rFonts w:ascii="Arial" w:hAnsi="Arial" w:eastAsia="Lora"/>
          <w:b w:val="0"/>
          <w:i w:val="0"/>
          <w:color w:val="333333"/>
          <w:sz w:val="18"/>
        </w:rPr>
        <w:t>HCDM needs.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4.1.2B TYPES OF MODELS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There are several types of models that can be helpful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HCDMs, including cost-effectiveness models, budget </w:t>
      </w:r>
      <w:r>
        <w:rPr>
          <w:rFonts w:ascii="Arial" w:hAnsi="Arial" w:eastAsia="Lora"/>
          <w:b w:val="0"/>
          <w:i w:val="0"/>
          <w:color w:val="333333"/>
          <w:sz w:val="18"/>
        </w:rPr>
        <w:t>impact models, and financial models.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Cost-effectiveness Models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Cost-effectiveness models address the question “Is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technology good value for the money?” The focus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Approved Product Dossier is the clinical and economic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value of products for plans and their members. Evaluations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include effects on patients (e.g., morbidity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mortality) and on health care costs are thus most relevant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termed in general “cost-effectiveness models.” These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models are primarily useful for assessing the overall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 risk-benefit and economic value of a product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relation to products in its class and other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interventions in general and are the primary focus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section. Cost-effectiveness models use clinical data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can be relatively complex and thus should follow the </w:t>
      </w:r>
      <w:r>
        <w:rPr>
          <w:rFonts w:ascii="Arial" w:hAnsi="Arial" w:eastAsia="Lora"/>
          <w:b w:val="0"/>
          <w:i w:val="0"/>
          <w:color w:val="333333"/>
          <w:sz w:val="18"/>
        </w:rPr>
        <w:t>recommendations in this section, as well as best prac-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tices published by ISPOR Society for Medical Decision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Making (SMDM) Modeling Good Research Practices Task </w:t>
      </w:r>
      <w:r>
        <w:rPr>
          <w:rFonts w:ascii="Arial" w:hAnsi="Arial" w:eastAsia="Lora"/>
          <w:b w:val="0"/>
          <w:i w:val="0"/>
          <w:color w:val="333333"/>
          <w:sz w:val="18"/>
        </w:rPr>
        <w:t>Force.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42,65-70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Budget Impact Models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Budget impact analyses address the question “Is the tech-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nology affordable to the health system?” A budget impact </w:t>
      </w:r>
      <w:r>
        <w:rPr>
          <w:rFonts w:ascii="Arial" w:hAnsi="Arial" w:eastAsia="Lora"/>
          <w:b w:val="0"/>
          <w:i w:val="0"/>
          <w:color w:val="333333"/>
          <w:sz w:val="18"/>
        </w:rPr>
        <w:t>model estimates “the expected changes in the expendi-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ture of a health care system after the adoption of a new </w:t>
      </w:r>
      <w:r>
        <w:rPr>
          <w:rFonts w:ascii="Arial" w:hAnsi="Arial" w:eastAsia="Lora"/>
          <w:b w:val="0"/>
          <w:i w:val="0"/>
          <w:color w:val="333333"/>
          <w:sz w:val="18"/>
        </w:rPr>
        <w:t>intervention.”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71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Budget impact models are not intended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establish the overall value of health care technologies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because they do not include the full long-term effects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technology on clinical and patient outcomes.  They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can be useful for estimating systemwide (e.g., pharmacy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medical) budget impacts, however, and are commonly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used by HCDMs. These models, as defined here, estimate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target population, drug/product costs,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cost offsets, and adverse event costs, as well as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expected utilization in the health care system, to derive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projected PMPM and overall cost impacts. Budget impact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models use clinical data, including real-world evidence,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can be relatively complex so they should follow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recommendations in this section and best practices </w:t>
      </w:r>
      <w:r>
        <w:rPr>
          <w:rFonts w:ascii="Arial" w:hAnsi="Arial" w:eastAsia="Lora"/>
          <w:b w:val="0"/>
          <w:i w:val="0"/>
          <w:color w:val="333333"/>
          <w:sz w:val="18"/>
        </w:rPr>
        <w:t>published by ISPOR.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71,72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Financial Models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Financial models provide an estimate of the financial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impact of new technology on the pharmacy budget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only because they typically include drug/product costs,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network or other discounts, rebates, cost-sharing,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other benefit design effects, but no evaluation of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effects or other economic consequences. HCDMs usually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have the necessary internal resources to develop such </w:t>
      </w:r>
      <w:r>
        <w:rPr>
          <w:rFonts w:ascii="Arial" w:hAnsi="Arial" w:eastAsia="Lora"/>
          <w:b w:val="0"/>
          <w:i w:val="0"/>
          <w:color w:val="333333"/>
          <w:sz w:val="18"/>
        </w:rPr>
        <w:t>models. Although these models may be useful for nego-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tiations between manufacturers and HCDMs, they are </w:t>
      </w:r>
      <w:r>
        <w:rPr>
          <w:rFonts w:ascii="Arial" w:hAnsi="Arial" w:eastAsia="Lora"/>
          <w:b w:val="0"/>
          <w:i w:val="0"/>
          <w:color w:val="333333"/>
          <w:sz w:val="18"/>
        </w:rPr>
        <w:t>not central to the evidence- and value-based decision-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making process and are not addressed further in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 Format. Financial models are not required but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be included in the dossier at the discretion of the </w:t>
      </w:r>
      <w:r>
        <w:rPr>
          <w:rFonts w:ascii="Arial" w:hAnsi="Arial" w:eastAsia="Lora"/>
          <w:b w:val="0"/>
          <w:i w:val="0"/>
          <w:color w:val="333333"/>
          <w:sz w:val="18"/>
        </w:rPr>
        <w:t>manufacturer.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4.1.3B OTHER CONSIDERATIONS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A clear, written statement of the decision problem,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modeling objective, study perspective, and scope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model should be developed. This should include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spectrum of disease considered, target population,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alternative interventions, health and other outcomes,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and time horizon.</w:t>
      </w:r>
    </w:p>
    <w:p>
      <w:pPr>
        <w:autoSpaceDN w:val="0"/>
        <w:autoSpaceDE w:val="0"/>
        <w:widowControl/>
        <w:spacing w:line="276" w:lineRule="auto" w:before="0" w:after="200"/>
        <w:ind w:left="516" w:right="576" w:hanging="27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ISPOR and SMDM have produced comprehensive </w:t>
      </w:r>
      <w:r>
        <w:rPr>
          <w:rFonts w:ascii="Arial" w:hAnsi="Arial" w:eastAsia="Lora"/>
          <w:b w:val="0"/>
          <w:i w:val="0"/>
          <w:color w:val="333333"/>
          <w:sz w:val="18"/>
        </w:rPr>
        <w:t>guidance related to various aspects of modeling.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42,65-70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ISPOR-SMDM best practices should be followed when </w:t>
      </w:r>
      <w:r>
        <w:rPr>
          <w:rFonts w:ascii="Arial" w:hAnsi="Arial" w:eastAsia="Lora"/>
          <w:b w:val="0"/>
          <w:i w:val="0"/>
          <w:color w:val="333333"/>
          <w:sz w:val="18"/>
        </w:rPr>
        <w:t>applicable.</w:t>
      </w:r>
    </w:p>
    <w:p>
      <w:pPr>
        <w:autoSpaceDN w:val="0"/>
        <w:autoSpaceDE w:val="0"/>
        <w:widowControl/>
        <w:spacing w:line="276" w:lineRule="auto" w:before="0" w:after="200"/>
        <w:ind w:left="516" w:right="672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When a product is intended for treatment of more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than one disease or indication, its effect should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modeled for each, unless a reasonable case can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made for a single model, such as may be the case for </w:t>
      </w:r>
      <w:r>
        <w:rPr>
          <w:rFonts w:ascii="Arial" w:hAnsi="Arial" w:eastAsia="Lora"/>
          <w:b w:val="0"/>
          <w:i w:val="0"/>
          <w:color w:val="333333"/>
          <w:sz w:val="18"/>
        </w:rPr>
        <w:t>budget impact models.</w:t>
      </w:r>
    </w:p>
    <w:p>
      <w:pPr>
        <w:autoSpaceDN w:val="0"/>
        <w:autoSpaceDE w:val="0"/>
        <w:widowControl/>
        <w:spacing w:line="276" w:lineRule="auto" w:before="0" w:after="200"/>
        <w:ind w:left="516" w:right="576" w:hanging="27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Models that have been previously developed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adapted for use according to the AMCP Format. </w:t>
      </w:r>
    </w:p>
    <w:p>
      <w:pPr>
        <w:autoSpaceDN w:val="0"/>
        <w:autoSpaceDE w:val="0"/>
        <w:widowControl/>
        <w:spacing w:line="276" w:lineRule="auto" w:before="0" w:after="200"/>
        <w:ind w:left="51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An existing model should be modified to follow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general framework described in this document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must be able to demonstrate the systemwide effect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introducing the product to health care system </w:t>
      </w:r>
      <w:r>
        <w:rPr>
          <w:rFonts w:ascii="Arial" w:hAnsi="Arial" w:eastAsia="Lora"/>
          <w:b w:val="0"/>
          <w:i w:val="0"/>
          <w:color w:val="333333"/>
          <w:sz w:val="18"/>
        </w:rPr>
        <w:t>formularies. Evidence supporting the validity of exist-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ing models should be provided, as well as sufficient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documentation and transparency on their design, </w:t>
      </w:r>
      <w:r>
        <w:rPr>
          <w:rFonts w:ascii="Arial" w:hAnsi="Arial" w:eastAsia="Lora"/>
          <w:b w:val="0"/>
          <w:i w:val="0"/>
          <w:color w:val="333333"/>
          <w:sz w:val="18"/>
        </w:rPr>
        <w:t>functioning, and data inputs.</w:t>
      </w:r>
    </w:p>
    <w:p>
      <w:pPr>
        <w:autoSpaceDN w:val="0"/>
        <w:autoSpaceDE w:val="0"/>
        <w:widowControl/>
        <w:spacing w:line="276" w:lineRule="auto" w:before="0" w:after="200"/>
        <w:ind w:left="516" w:right="672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5. Cost-effectiveness analyses conducted alongside RCTs,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particularly when of sufficient size and follow-up, can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provide useful and sometimes substantial evidence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value. Cost-effectiveness models should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considered complementary to such studies, allowing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the adjustment of health care resource use, unit </w:t>
      </w:r>
      <w:r>
        <w:rPr>
          <w:rFonts w:ascii="Arial" w:hAnsi="Arial" w:eastAsia="Lora"/>
          <w:b w:val="0"/>
          <w:i w:val="0"/>
          <w:color w:val="333333"/>
          <w:sz w:val="18"/>
        </w:rPr>
        <w:t>costs, effectiveness, and practice patterns.</w:t>
      </w:r>
    </w:p>
    <w:p>
      <w:pPr>
        <w:autoSpaceDN w:val="0"/>
        <w:autoSpaceDE w:val="0"/>
        <w:widowControl/>
        <w:spacing w:line="276" w:lineRule="auto" w:before="0" w:after="200"/>
        <w:ind w:left="516" w:right="576" w:hanging="27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6. Real-world evidence studies can provide additional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insights from larger populations in more realistic 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36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148" w:right="248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conditions that may be more generalizable to practical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 but should be supplemental to efficacy/safety data </w:t>
      </w:r>
      <w:r>
        <w:rPr>
          <w:rFonts w:ascii="Arial" w:hAnsi="Arial" w:eastAsia="Lora"/>
          <w:b w:val="0"/>
          <w:i w:val="0"/>
          <w:color w:val="333333"/>
          <w:sz w:val="18"/>
        </w:rPr>
        <w:t>gathered from well-designed RCTs.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7. All assumptions should be clearly presented.</w:t>
      </w:r>
    </w:p>
    <w:p>
      <w:pPr>
        <w:autoSpaceDN w:val="0"/>
        <w:tabs>
          <w:tab w:pos="114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8. Drugs administered by health care providers should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generally be considered in a similar manner to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traditional pharmaceutical products. Additional con-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siderations may be required for site of care (e.g.,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inpatient, home infusion, outpatient infusion center).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9. Because of similarity to their reference product,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biosimilars generally do not require the development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specific cost-effectiveness models. Budget impact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models or cost-minimization analyses may be more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relevant.</w:t>
      </w:r>
    </w:p>
    <w:p>
      <w:pPr>
        <w:autoSpaceDN w:val="0"/>
        <w:autoSpaceDE w:val="0"/>
        <w:widowControl/>
        <w:spacing w:line="276" w:lineRule="auto" w:before="0" w:after="200"/>
        <w:ind w:left="1148" w:right="144" w:hanging="27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10. When possible, a stand-alone, electronic, unlocked,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modifiable model should be provided to HCDMs.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 of commonly available software (e.g., Microsoft </w:t>
      </w:r>
      <w:r>
        <w:rPr>
          <w:rFonts w:ascii="Arial" w:hAnsi="Arial" w:eastAsia="Lora"/>
          <w:b w:val="0"/>
          <w:i w:val="0"/>
          <w:color w:val="333333"/>
          <w:sz w:val="18"/>
        </w:rPr>
        <w:t>Excel) is recommended. The model should be interac-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tive and flexible, allowing the user to choose which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inputs to include in the model and tailor inputs to the </w:t>
      </w:r>
      <w:r>
        <w:rPr>
          <w:rFonts w:ascii="Arial" w:hAnsi="Arial" w:eastAsia="Lora"/>
          <w:b w:val="0"/>
          <w:i w:val="0"/>
          <w:color w:val="333333"/>
          <w:sz w:val="18"/>
        </w:rPr>
        <w:t>health system or health plan.</w:t>
      </w:r>
    </w:p>
    <w:p>
      <w:pPr>
        <w:autoSpaceDN w:val="0"/>
        <w:autoSpaceDE w:val="0"/>
        <w:widowControl/>
        <w:spacing w:line="276" w:lineRule="auto" w:before="0" w:after="200"/>
        <w:ind w:left="1148" w:right="248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11. Key limitations of the model should be disclosed,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particularly those involving the representation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important patient subgroups, and generalizability to </w:t>
      </w:r>
      <w:r>
        <w:rPr>
          <w:rFonts w:ascii="Arial" w:hAnsi="Arial" w:eastAsia="Lora"/>
          <w:b w:val="0"/>
          <w:i w:val="0"/>
          <w:color w:val="333333"/>
          <w:sz w:val="18"/>
        </w:rPr>
        <w:t>real-world populations.</w:t>
      </w:r>
    </w:p>
    <w:p>
      <w:pPr>
        <w:autoSpaceDN w:val="0"/>
        <w:autoSpaceDE w:val="0"/>
        <w:widowControl/>
        <w:spacing w:line="276" w:lineRule="auto" w:before="0" w:after="200"/>
        <w:ind w:left="1148" w:right="246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12. Users of this document should recognize that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 Format is a set of recommendations for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types of evidence and reporting formats that 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likely to be useful for HCDM. The need for flexibility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recognized by AMCP, however. Specific requirements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determined by individual HCDMs and may consist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data requests or methods beyond those outlined in </w:t>
      </w:r>
      <w:r>
        <w:rPr>
          <w:rFonts w:ascii="Arial" w:hAnsi="Arial" w:eastAsia="Lora"/>
          <w:b w:val="0"/>
          <w:i w:val="0"/>
          <w:color w:val="333333"/>
          <w:sz w:val="18"/>
        </w:rPr>
        <w:t>this document.</w:t>
      </w:r>
    </w:p>
    <w:p>
      <w:pPr>
        <w:autoSpaceDN w:val="0"/>
        <w:tabs>
          <w:tab w:pos="1418" w:val="left"/>
        </w:tabs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4.2B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>COST-EFFECTIVENESS ANALYSIS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>4.2.1B APPROACH AND FRAMEWORK</w:t>
      </w:r>
    </w:p>
    <w:p>
      <w:pPr>
        <w:autoSpaceDN w:val="0"/>
        <w:tabs>
          <w:tab w:pos="105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Guidelines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In general, the cost-effectiveness framework should con-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sider recommendations published by ISPOR and SMDM </w:t>
      </w:r>
      <w:r>
        <w:rPr>
          <w:rFonts w:ascii="Arial" w:hAnsi="Arial" w:eastAsia="Lora"/>
          <w:b w:val="0"/>
          <w:i w:val="0"/>
          <w:color w:val="333333"/>
          <w:sz w:val="18"/>
        </w:rPr>
        <w:t>Modeling Good Research Practices Task Force.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42,65-70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model should be disease-based and depict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following: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Disease or condition, patient population, natural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history, clinical course, and outcomes.</w:t>
      </w:r>
    </w:p>
    <w:p>
      <w:pPr>
        <w:autoSpaceDN w:val="0"/>
        <w:autoSpaceDE w:val="0"/>
        <w:widowControl/>
        <w:spacing w:line="276" w:lineRule="auto" w:before="0" w:after="200"/>
        <w:ind w:left="1058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Relevant treatment options and the treatment process </w:t>
      </w:r>
      <w:r>
        <w:rPr>
          <w:rFonts w:ascii="Arial" w:hAnsi="Arial" w:eastAsia="Lora"/>
          <w:b w:val="0"/>
          <w:i w:val="0"/>
          <w:color w:val="333333"/>
          <w:sz w:val="18"/>
        </w:rPr>
        <w:t>for each option—preferably based on treatment guide-</w:t>
      </w:r>
      <w:r>
        <w:rPr>
          <w:rFonts w:ascii="Arial" w:hAnsi="Arial" w:eastAsia="Lora"/>
          <w:b w:val="0"/>
          <w:i w:val="0"/>
          <w:color w:val="333333"/>
          <w:sz w:val="18"/>
        </w:rPr>
        <w:t>lines or actual practice.</w:t>
      </w:r>
    </w:p>
    <w:p>
      <w:pPr>
        <w:autoSpaceDN w:val="0"/>
        <w:tabs>
          <w:tab w:pos="105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Costs of the product and other medical resources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consumed within each clinical pathway. 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Economic impact of adverse events and costs of 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42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monitoring for both therapeutic effect and safety.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5. Outcomes of therapy for each clinical pathway.</w:t>
      </w:r>
    </w:p>
    <w:p>
      <w:pPr>
        <w:autoSpaceDN w:val="0"/>
        <w:autoSpaceDE w:val="0"/>
        <w:widowControl/>
        <w:spacing w:line="276" w:lineRule="auto" w:before="0" w:after="200"/>
        <w:ind w:left="426" w:right="0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6. Cost and outcomes analysis presented in cost/conse-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quences tables and as incremental cost-effectiveness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>ratios.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Analytic Framework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general category of cost-effectiveness models </w:t>
      </w:r>
      <w:r>
        <w:rPr>
          <w:rFonts w:ascii="Arial" w:hAnsi="Arial" w:eastAsia="Lora"/>
          <w:b w:val="0"/>
          <w:i w:val="0"/>
          <w:color w:val="333333"/>
          <w:sz w:val="18"/>
        </w:rPr>
        <w:t>includes analyses that value outcomes by assessing clini-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cal events, life expectancy, and QALYs. Clinical events 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more readily interpretable by clinicians and allow for </w:t>
      </w:r>
      <w:r>
        <w:rPr>
          <w:rFonts w:ascii="Arial" w:hAnsi="Arial" w:eastAsia="Lora"/>
          <w:b w:val="0"/>
          <w:i w:val="0"/>
          <w:color w:val="333333"/>
          <w:sz w:val="18"/>
        </w:rPr>
        <w:t>direct assessment of the effect of clinical data, but cost-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per-event-avoided calculations are not comparable across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disease areas. In contrast, QALYs allow for assessment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overall health care value but may be more difficult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interpret from a health care system perspective. It is thus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recommended that clinical events, life expectancy, and </w:t>
      </w:r>
      <w:r>
        <w:rPr>
          <w:rFonts w:ascii="Arial" w:hAnsi="Arial" w:eastAsia="Lora"/>
          <w:b w:val="0"/>
          <w:i w:val="0"/>
          <w:color w:val="333333"/>
          <w:sz w:val="18"/>
        </w:rPr>
        <w:t>QALYs be assessed, with the latter two outcomes primar-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ily relevant for lifetime time frame analyses.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events can serve as a supplemental analysis. The results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be reported separately, as outlined subsequently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this section. Exclusion of any of these endpoints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justified. If possible, use of surrogate endpoints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avoided, since they are not as useful as final endpoints </w:t>
      </w:r>
      <w:r>
        <w:rPr>
          <w:rFonts w:ascii="Arial" w:hAnsi="Arial" w:eastAsia="Lora"/>
          <w:b w:val="0"/>
          <w:i w:val="0"/>
          <w:color w:val="333333"/>
          <w:sz w:val="18"/>
        </w:rPr>
        <w:t>in decision-making.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Modeling Technique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There are several decision-analytic-based approaches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constructing disease-based cost-effectiveness models,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primarily: (1) decision trees, (2) Markov (cohort) models, </w:t>
      </w:r>
      <w:r>
        <w:rPr>
          <w:rFonts w:ascii="Arial" w:hAnsi="Arial" w:eastAsia="Lora"/>
          <w:b w:val="0"/>
          <w:i w:val="0"/>
          <w:color w:val="333333"/>
          <w:sz w:val="18"/>
        </w:rPr>
        <w:t>and (3) patient-level simulation (discrete event simula-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tion). There are advantages and disadvantages to each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technique, mainly related to the conflicting factors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transparency and data availability versus the complexity </w:t>
      </w:r>
      <w:r>
        <w:rPr>
          <w:rFonts w:ascii="Arial" w:hAnsi="Arial" w:eastAsia="Lora"/>
          <w:b w:val="0"/>
          <w:i w:val="0"/>
          <w:color w:val="333333"/>
          <w:sz w:val="18"/>
        </w:rPr>
        <w:t>of many diseases and their treatments.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It is recommended that the simplest feasible modeling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approach be used. In other words, the model should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sophisticated enough to capture the key aspects of the </w:t>
      </w:r>
      <w:r>
        <w:rPr>
          <w:rFonts w:ascii="Arial" w:hAnsi="Arial" w:eastAsia="Lora"/>
          <w:b w:val="0"/>
          <w:i w:val="0"/>
          <w:color w:val="333333"/>
          <w:sz w:val="18"/>
        </w:rPr>
        <w:t>disease and treatments yet be well supported by high-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quality data that are available to and interpretable by the </w:t>
      </w:r>
      <w:r>
        <w:rPr>
          <w:rFonts w:ascii="Arial" w:hAnsi="Arial" w:eastAsia="Lora"/>
          <w:b w:val="0"/>
          <w:i w:val="0"/>
          <w:color w:val="333333"/>
          <w:sz w:val="18"/>
        </w:rPr>
        <w:t>user.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Perspective and Time Frame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HCDM perspective is recommended for the primary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analysis, with optional perspectives (e.g., societal,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employer) conducted as secondary evaluations.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 should consider a time horizon that is appropriate </w:t>
      </w:r>
      <w:r>
        <w:rPr>
          <w:rFonts w:ascii="Arial" w:hAnsi="Arial" w:eastAsia="Lora"/>
          <w:b w:val="0"/>
          <w:i w:val="0"/>
          <w:color w:val="333333"/>
          <w:sz w:val="18"/>
        </w:rPr>
        <w:t>to the disease being studied and reflect the decision-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making, financial, and budget constraints consistent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the perspective. The time horizon should be long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enough to reflect all important differences in costs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outcomes between the technologies being compared.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Adjustment for time preference should be incorporated 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140.0" w:type="dxa"/>
      </w:tblPr>
      <w:tblGrid>
        <w:gridCol w:w="4770"/>
        <w:gridCol w:w="4770"/>
      </w:tblGrid>
      <w:tr>
        <w:trPr>
          <w:trHeight w:hRule="exact" w:val="362"/>
        </w:trPr>
        <w:tc>
          <w:tcPr>
            <w:tcW w:type="dxa" w:w="5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246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as appropriate and follow U.S. Public Health Service Panel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recommendations (discounting both future costs and </w:t>
      </w:r>
      <w:r>
        <w:rPr>
          <w:rFonts w:ascii="Arial" w:hAnsi="Arial" w:eastAsia="Lora"/>
          <w:b w:val="0"/>
          <w:i w:val="0"/>
          <w:color w:val="333333"/>
          <w:sz w:val="18"/>
        </w:rPr>
        <w:t>health effects).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73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4.2.2B DATA SOURCES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identification, selection, interpretation, and use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data to inform the model are key to the modeling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process and should receive ample attention from model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developers and users. The analysis should be based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highest-quality and most up-to-date clinical,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epidemiologic, patient, and economic data available from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sources most relevant to the model. The process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identifying, evaluating, and selecting all the data in the </w:t>
      </w:r>
      <w:r>
        <w:rPr>
          <w:rFonts w:ascii="Arial" w:hAnsi="Arial" w:eastAsia="Lora"/>
          <w:b w:val="0"/>
          <w:i w:val="0"/>
          <w:color w:val="333333"/>
          <w:sz w:val="18"/>
        </w:rPr>
        <w:t>model should be clear and systematic.</w:t>
      </w:r>
    </w:p>
    <w:p>
      <w:pPr>
        <w:autoSpaceDN w:val="0"/>
        <w:tabs>
          <w:tab w:pos="18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It is important that modeled claims for cost-effective-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ness derive from well-conducted trials for the treatments </w:t>
      </w:r>
      <w:r>
        <w:rPr>
          <w:rFonts w:ascii="Arial" w:hAnsi="Arial" w:eastAsia="Lora"/>
          <w:b w:val="0"/>
          <w:i w:val="0"/>
          <w:color w:val="333333"/>
          <w:sz w:val="18"/>
        </w:rPr>
        <w:t>of interest. Ideally, comparative trials that evaluate treat-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ments directly should be used. In the absence of such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studies, indirect comparisons should be considered.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general, relevant studies should: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Directly or indirectly compare and quantify treatment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effects and other relevant patient-reported outcomes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(including quality of life).</w:t>
      </w:r>
    </w:p>
    <w:p>
      <w:pPr>
        <w:autoSpaceDN w:val="0"/>
        <w:tabs>
          <w:tab w:pos="18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Assess patient and community preferences for alterna-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tive therapies.</w:t>
      </w:r>
    </w:p>
    <w:p>
      <w:pPr>
        <w:autoSpaceDN w:val="0"/>
        <w:tabs>
          <w:tab w:pos="18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Quantify costs and benefits over the natural course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the disease.</w:t>
      </w:r>
    </w:p>
    <w:p>
      <w:pPr>
        <w:autoSpaceDN w:val="0"/>
        <w:tabs>
          <w:tab w:pos="18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Assess resources used to support alternative therapies.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5. Evaluate the effect of uncertainty on the claims made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for alternative therapies.</w:t>
      </w:r>
    </w:p>
    <w:p>
      <w:pPr>
        <w:autoSpaceDN w:val="0"/>
        <w:autoSpaceDE w:val="0"/>
        <w:widowControl/>
        <w:spacing w:line="276" w:lineRule="auto" w:before="0" w:after="200"/>
        <w:ind w:left="0" w:right="246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Parameter estimates used in the model for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under consideration should be closely linked with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evidence provided in all sections of the Approved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Dossier. All necessary assumptions should be clearly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stated. In addition to the identification of base-case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estimates for the model, ranges for parameters should be </w:t>
      </w:r>
      <w:r>
        <w:rPr>
          <w:rFonts w:ascii="Arial" w:hAnsi="Arial" w:eastAsia="Lora"/>
          <w:b w:val="0"/>
          <w:i w:val="0"/>
          <w:color w:val="333333"/>
          <w:sz w:val="18"/>
        </w:rPr>
        <w:t>determined and well-referenced.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Drug Effectiveness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When available, RCT data should be assessed and con-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sidered as the basis of all efficacy or 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estimates. Justification should be provided for inclusion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exclusion of any RCTs potentially relevant to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analysis. When available, real-world evidence, including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prospective and retrospective observational trials,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direct and indirect comparisons should be assessed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relevance and validity, particularly when such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further informs outcomes for populations that were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underrepresented in RCTs. If appropriate, these data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also be incorporated into the model or addressed </w:t>
      </w:r>
      <w:r>
        <w:rPr>
          <w:rFonts w:ascii="Arial" w:hAnsi="Arial" w:eastAsia="Lora"/>
          <w:b w:val="0"/>
          <w:i w:val="0"/>
          <w:color w:val="333333"/>
          <w:sz w:val="18"/>
        </w:rPr>
        <w:t>in sensitivity analyses.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Drug Safety Data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Clinically relevant adverse events observed in RCTs </w:t>
      </w:r>
      <w:r>
        <w:rPr>
          <w:rFonts w:ascii="Arial" w:hAnsi="Arial" w:eastAsia="Lora"/>
          <w:b w:val="0"/>
          <w:i w:val="0"/>
          <w:color w:val="333333"/>
          <w:sz w:val="18"/>
        </w:rPr>
        <w:t>should be included in the model, as well as signifi-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cant safety signals derived from other study types (e.g.,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observational studies and/or real-world evidence).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impact of treatment-related adverse events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be incorporated into cost-effectiveness analyses.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wide range of estimates should be explored given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challenge of accurately ascertaining the likelihood of </w:t>
      </w:r>
      <w:r>
        <w:rPr>
          <w:rFonts w:ascii="Arial" w:hAnsi="Arial" w:eastAsia="Lora"/>
          <w:b w:val="0"/>
          <w:i w:val="0"/>
          <w:color w:val="333333"/>
          <w:sz w:val="18"/>
        </w:rPr>
        <w:t>low-probability events.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Economic Data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Unit cost data ideally would be relevant to HCDMs,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based on health care system data. If specific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system data are not available, costs from representative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U.S. private payers, Medicare, and others may be used.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Because the costs of infused and injected drugs may also </w:t>
      </w:r>
      <w:r>
        <w:rPr>
          <w:rFonts w:ascii="Arial" w:hAnsi="Arial" w:eastAsia="Lora"/>
          <w:b w:val="0"/>
          <w:i w:val="0"/>
          <w:color w:val="333333"/>
          <w:sz w:val="18"/>
        </w:rPr>
        <w:t>depend on the site of care, models should take these attri-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butes into consideration. Real-world evidence may also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 estimates of related medical costs and utilization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patterns. Decision-analytic models should be sufficiently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flexible to adapt the input assumptions to conform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local practice and billing patterns.  Additionally,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methodology should clearly explain how the model </w:t>
      </w:r>
      <w:r>
        <w:rPr>
          <w:rFonts w:ascii="Arial" w:hAnsi="Arial" w:eastAsia="Lora"/>
          <w:b w:val="0"/>
          <w:i w:val="0"/>
          <w:color w:val="333333"/>
          <w:sz w:val="18"/>
        </w:rPr>
        <w:t>addresses patient cost-sharing for the treatment(s) evalu-</w:t>
      </w:r>
      <w:r>
        <w:rPr>
          <w:rFonts w:ascii="Arial" w:hAnsi="Arial" w:eastAsia="Lora"/>
          <w:b w:val="0"/>
          <w:i w:val="0"/>
          <w:color w:val="333333"/>
          <w:sz w:val="18"/>
        </w:rPr>
        <w:t>ated and assumptions about patient adherence.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70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Utilities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Preference estimates should be derived from studies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surveying either patients or the general population, using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direct elicitation method, such as time trade-off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standard gamble, or an instrument, such as the EuroQol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(EQ-5D), Health Utilities Index (HUI), Short Form-Six </w:t>
      </w:r>
      <w:r>
        <w:rPr>
          <w:rFonts w:ascii="Arial" w:hAnsi="Arial" w:eastAsia="Lora"/>
          <w:b w:val="0"/>
          <w:i w:val="0"/>
          <w:color w:val="333333"/>
          <w:sz w:val="18"/>
        </w:rPr>
        <w:t>Dimension (SF-6D), or Quality of Well-Being (QWB).</w:t>
      </w:r>
    </w:p>
    <w:p>
      <w:pPr>
        <w:autoSpaceDN w:val="0"/>
        <w:autoSpaceDE w:val="0"/>
        <w:widowControl/>
        <w:spacing w:line="276" w:lineRule="auto" w:before="0" w:after="200"/>
        <w:ind w:left="246" w:right="67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Because cost-effectiveness analysis is conducted 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population level, the ideal source of utility values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general population. This may be impractical in some </w:t>
      </w:r>
      <w:r>
        <w:rPr>
          <w:rFonts w:ascii="Arial" w:hAnsi="Arial" w:eastAsia="Lora"/>
          <w:b w:val="0"/>
          <w:i w:val="0"/>
          <w:color w:val="333333"/>
          <w:sz w:val="18"/>
        </w:rPr>
        <w:t>situations and trial-derived utilities may be used.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Demographic and Practice Pattern Data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Ideally, the model would be interactive, allowing HCDMs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incorporate demographic and practice pattern data, </w:t>
      </w:r>
      <w:r>
        <w:rPr>
          <w:rFonts w:ascii="Arial" w:hAnsi="Arial" w:eastAsia="Lora"/>
          <w:b w:val="0"/>
          <w:i w:val="0"/>
          <w:color w:val="333333"/>
          <w:sz w:val="18"/>
        </w:rPr>
        <w:t>improving the relevance of the model.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Surrogate Markers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When surrogate markers are used to model longer-term </w:t>
      </w:r>
      <w:r>
        <w:rPr>
          <w:rFonts w:ascii="Arial" w:hAnsi="Arial" w:eastAsia="Lora"/>
          <w:b w:val="0"/>
          <w:i w:val="0"/>
          <w:color w:val="333333"/>
          <w:sz w:val="18"/>
        </w:rPr>
        <w:t>outcomes, specific evidence should be provided support-</w:t>
      </w:r>
      <w:r>
        <w:rPr>
          <w:rFonts w:ascii="Arial" w:hAnsi="Arial" w:eastAsia="Lora"/>
          <w:b w:val="0"/>
          <w:i w:val="0"/>
          <w:color w:val="333333"/>
          <w:sz w:val="18"/>
        </w:rPr>
        <w:t>ing their validity.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Expert Opinion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Data derived from expert panels are not generally accept-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able, especially for key effectiveness or safety variables.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However, this approach may be reasonable for other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variables where estimates are not available through 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900" w:header="720" w:footer="720" w:gutter="0"/>
          <w:cols w:num="2" w:equalWidth="0">
            <w:col w:w="515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38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literature, databases, trials, or other typical sources.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such cases, the expert assumptions should be clearly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stated and thoroughly tested in sensitivity analyses. </w:t>
      </w:r>
      <w:r>
        <w:rPr>
          <w:rFonts w:ascii="Arial" w:hAnsi="Arial" w:eastAsia="Lora"/>
          <w:b w:val="0"/>
          <w:i w:val="0"/>
          <w:color w:val="333333"/>
          <w:sz w:val="18"/>
        </w:rPr>
        <w:t>Inputs obtained from an expert panel should be modifi-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able in case local opinion leaders disagree with the panel </w:t>
      </w:r>
      <w:r>
        <w:rPr>
          <w:rFonts w:ascii="Arial" w:hAnsi="Arial" w:eastAsia="Lora"/>
          <w:b w:val="0"/>
          <w:i w:val="0"/>
          <w:color w:val="333333"/>
          <w:sz w:val="18"/>
        </w:rPr>
        <w:t>members.</w:t>
      </w:r>
    </w:p>
    <w:p>
      <w:pPr>
        <w:autoSpaceDN w:val="0"/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Efficacy Versus Effectiveness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When feasible and scientifically plausible, efficacy results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from RCTs should be transformed into 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parameters. For example, this may involve inclusion of an </w:t>
      </w:r>
      <w:r>
        <w:rPr>
          <w:rFonts w:ascii="Arial" w:hAnsi="Arial" w:eastAsia="Lora"/>
          <w:b w:val="0"/>
          <w:i w:val="0"/>
          <w:color w:val="333333"/>
          <w:sz w:val="18"/>
        </w:rPr>
        <w:t>adherence parameter into the model based on observa-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tional data. Documentation and a clear description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methodology will be necessary for health care system </w:t>
      </w:r>
      <w:r>
        <w:rPr>
          <w:rFonts w:ascii="Arial" w:hAnsi="Arial" w:eastAsia="Lora"/>
          <w:b w:val="0"/>
          <w:i w:val="0"/>
          <w:color w:val="333333"/>
          <w:sz w:val="18"/>
        </w:rPr>
        <w:t>staff to evaluate the validity of this approach.</w:t>
      </w:r>
    </w:p>
    <w:p>
      <w:pPr>
        <w:autoSpaceDN w:val="0"/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Real-World Evidence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While RCTs provide fundamental efficacy and safety data,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real-world evidence can provide valuable supplemental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insight. Prospective or retrospective observational data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include larger populations than RCTs and more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accurately reflect real-world conditions and practical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utilization, which may enhance a model’s robustness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applicability. Real-world evidence may be more limited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quality due to the observational nature of data, greater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risk of confounding in an uncontrolled environment, and </w:t>
      </w:r>
      <w:r>
        <w:rPr>
          <w:rFonts w:ascii="Arial" w:hAnsi="Arial" w:eastAsia="Lora"/>
          <w:b w:val="0"/>
          <w:i w:val="0"/>
          <w:color w:val="333333"/>
          <w:sz w:val="18"/>
        </w:rPr>
        <w:t>limitations of current data sources.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>4.2.3B CONDUCT</w:t>
      </w:r>
    </w:p>
    <w:p>
      <w:pPr>
        <w:autoSpaceDN w:val="0"/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Base-case Estimates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expected (average) clinical and economic outcomes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be calculated for each strategy evaluated, as well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 incremental costs and effectiveness. Differences in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absolute risk of events should be determined, and health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care cost offsets versus drug costs should be displayed </w:t>
      </w:r>
      <w:r>
        <w:rPr>
          <w:rFonts w:ascii="Arial" w:hAnsi="Arial" w:eastAsia="Lora"/>
          <w:b w:val="0"/>
          <w:i w:val="0"/>
          <w:color w:val="333333"/>
          <w:sz w:val="18"/>
        </w:rPr>
        <w:t>independently and combined. Clinical risk-benefit trade-</w:t>
      </w:r>
      <w:r>
        <w:rPr>
          <w:rFonts w:ascii="Arial" w:hAnsi="Arial" w:eastAsia="Lora"/>
          <w:b w:val="0"/>
          <w:i w:val="0"/>
          <w:color w:val="333333"/>
          <w:sz w:val="18"/>
        </w:rPr>
        <w:t>offs should be explicitly presented and discussed.</w:t>
      </w:r>
    </w:p>
    <w:p>
      <w:pPr>
        <w:autoSpaceDN w:val="0"/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Sensitivity Analysis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Because cost-effectiveness models are simplified views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disease processes, specifying the model structure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important. Developers of such analyses should employ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established model frameworks, if available, and seek input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from clinicians to ensure that models have good face </w:t>
      </w:r>
      <w:r>
        <w:rPr>
          <w:rFonts w:ascii="Arial" w:hAnsi="Arial" w:eastAsia="Lora"/>
          <w:b w:val="0"/>
          <w:i w:val="0"/>
          <w:color w:val="333333"/>
          <w:sz w:val="18"/>
        </w:rPr>
        <w:t>validity for the disease or condition being evaluated.</w:t>
      </w:r>
    </w:p>
    <w:p>
      <w:pPr>
        <w:autoSpaceDN w:val="0"/>
        <w:autoSpaceDE w:val="0"/>
        <w:widowControl/>
        <w:spacing w:line="276" w:lineRule="auto" w:before="0" w:after="200"/>
        <w:ind w:left="878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Both deterministic and probabilistic sensitivity analy-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ses should be conducted to assess the robustness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results. Analysts should identify the distribution used for </w:t>
      </w:r>
      <w:r>
        <w:rPr>
          <w:rFonts w:ascii="Arial" w:hAnsi="Arial" w:eastAsia="Lora"/>
          <w:b w:val="0"/>
          <w:i w:val="0"/>
          <w:color w:val="333333"/>
          <w:sz w:val="18"/>
        </w:rPr>
        <w:t>each parameter that is included in a probabilistic sen-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sitivity analysis. One-way sensitivity analyses of all key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parameters in the model are also strongly recommended,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including assessment of effects on both incremental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effectiveness (e.g., QALYs) and cost-effectiveness. Use 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of generally accepted confidence levels (95%) should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employed if parameter uncertainty is, at least largely,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characterized by random error. The use of tornado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diagrams is encouraged to identify the most influential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parameters. The parameters and assumptions that have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greatest effect on the results should be identified.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Scenario analyses testing the assumptions used in the </w:t>
      </w:r>
      <w:r>
        <w:rPr>
          <w:rFonts w:ascii="Arial" w:hAnsi="Arial" w:eastAsia="Lora"/>
          <w:b w:val="0"/>
          <w:i w:val="0"/>
          <w:color w:val="333333"/>
          <w:sz w:val="18"/>
        </w:rPr>
        <w:t>model are also highly recommended. Generation of cost-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effectiveness scatter plots and acceptability curves are </w:t>
      </w:r>
      <w:r>
        <w:rPr>
          <w:rFonts w:ascii="Arial" w:hAnsi="Arial" w:eastAsia="Lora"/>
          <w:b w:val="0"/>
          <w:i w:val="0"/>
          <w:color w:val="333333"/>
          <w:sz w:val="18"/>
        </w:rPr>
        <w:t>recommended to display the results of the analysis.</w:t>
      </w:r>
    </w:p>
    <w:p>
      <w:pPr>
        <w:autoSpaceDN w:val="0"/>
        <w:tabs>
          <w:tab w:pos="876" w:val="left"/>
        </w:tabs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4.3B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>BUDGET IMPACT MODEL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>4.3.1B APPROACH AND FRAMEWORK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Guidelines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modeling approach and analytic framework of the </w:t>
      </w:r>
      <w:r>
        <w:rPr>
          <w:rFonts w:ascii="Arial" w:hAnsi="Arial" w:eastAsia="Lora"/>
          <w:b w:val="0"/>
          <w:i w:val="0"/>
          <w:color w:val="333333"/>
          <w:sz w:val="18"/>
        </w:rPr>
        <w:t>budget impact model should generally follow the guid-</w:t>
      </w:r>
      <w:r>
        <w:rPr>
          <w:rFonts w:ascii="Arial" w:hAnsi="Arial" w:eastAsia="Lora"/>
          <w:b w:val="0"/>
          <w:i w:val="0"/>
          <w:color w:val="333333"/>
          <w:sz w:val="18"/>
        </w:rPr>
        <w:t>ance provided by ISPOR.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71,72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model should be based on a health care system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take the following into consideration: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Characteristics of a health system, such as prevalence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incidence of disease among the population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restrictions to access.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Use and cost of current mix of therapies used to treat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the condition.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Projected use and costs of the new mix of therapies to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treat the condition.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Costs and cost offsets associated with change in use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condition-specific health services.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Perspective and Time Frame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The perspective of the HCDM organization is recom-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mended. The time horizon of the model should be of </w:t>
      </w:r>
      <w:r>
        <w:rPr>
          <w:rFonts w:ascii="Arial" w:hAnsi="Arial" w:eastAsia="Lora"/>
          <w:b w:val="0"/>
          <w:i w:val="0"/>
          <w:color w:val="333333"/>
          <w:sz w:val="18"/>
        </w:rPr>
        <w:t>relevance to the HCDM, typically one to five years.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Population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target population for a budget impact model should </w:t>
      </w:r>
      <w:r>
        <w:rPr>
          <w:rFonts w:ascii="Arial" w:hAnsi="Arial" w:eastAsia="Lora"/>
          <w:b w:val="0"/>
          <w:i w:val="0"/>
          <w:color w:val="333333"/>
          <w:sz w:val="18"/>
        </w:rPr>
        <w:t>include all patients eligible to receive the new interven-</w:t>
      </w:r>
      <w:r>
        <w:rPr>
          <w:rFonts w:ascii="Arial" w:hAnsi="Arial" w:eastAsia="Lora"/>
          <w:b w:val="0"/>
          <w:i w:val="0"/>
          <w:color w:val="333333"/>
          <w:sz w:val="18"/>
        </w:rPr>
        <w:t>tion during the modeled time horizon.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4.3.2B DATA SOURCES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base-case model (as presented in the written dossier)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be representative of the U.S. population or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general commercial, Medicare, or Medicaid population.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However, the model should be sufficiently flexible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allow users to input data specific to their setting, such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size of the population, prevalence of the condition, and </w:t>
      </w:r>
      <w:r>
        <w:rPr>
          <w:rFonts w:ascii="Arial" w:hAnsi="Arial" w:eastAsia="Lora"/>
          <w:b w:val="0"/>
          <w:i w:val="0"/>
          <w:color w:val="333333"/>
          <w:sz w:val="18"/>
        </w:rPr>
        <w:t>estimated and projected costs and cost offsets.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>4.3.3B CONDUCT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Results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When reporting the economic impact of the intervention,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 is recommended to present the findings as both the 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39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PMPM cost difference and the overall budget impact on </w:t>
      </w:r>
      <w:r>
        <w:rPr>
          <w:rFonts w:ascii="Arial" w:hAnsi="Arial" w:eastAsia="Lora"/>
          <w:b w:val="0"/>
          <w:i w:val="0"/>
          <w:color w:val="333333"/>
          <w:sz w:val="18"/>
        </w:rPr>
        <w:t>the health system. Results may also include cost per-</w:t>
      </w:r>
      <w:r>
        <w:rPr>
          <w:rFonts w:ascii="Arial" w:hAnsi="Arial" w:eastAsia="Lora"/>
          <w:b w:val="0"/>
          <w:i w:val="0"/>
          <w:color w:val="333333"/>
          <w:sz w:val="18"/>
        </w:rPr>
        <w:t>treated member per-month (PTMPM).</w:t>
      </w:r>
    </w:p>
    <w:p>
      <w:pPr>
        <w:autoSpaceDN w:val="0"/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Sensitivity Analysis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Sensitivity analyses are recommended for assessing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parameter uncertainty within the budget impact model.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Scenario analyses are recommended to assess structural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uncertainty in model design and assumptions. </w:t>
      </w:r>
    </w:p>
    <w:p>
      <w:pPr>
        <w:autoSpaceDN w:val="0"/>
        <w:autoSpaceDE w:val="0"/>
        <w:widowControl/>
        <w:spacing w:line="276" w:lineRule="auto" w:before="0" w:after="200"/>
        <w:ind w:left="180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Any expected off-label use of the new health technol-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ogy should not be included in the main budget impact </w:t>
      </w:r>
      <w:r>
        <w:rPr>
          <w:rFonts w:ascii="Arial" w:hAnsi="Arial" w:eastAsia="Lora"/>
          <w:b w:val="0"/>
          <w:i w:val="0"/>
          <w:color w:val="333333"/>
          <w:sz w:val="18"/>
        </w:rPr>
        <w:t>analysis but may be considered in scenario analyses.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60"/>
        <w:gridCol w:w="4860"/>
      </w:tblGrid>
      <w:tr>
        <w:trPr>
          <w:trHeight w:hRule="exact" w:val="614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 xml:space="preserve">4.4B </w:t>
            </w:r>
          </w:p>
        </w:tc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42" w:right="432" w:hanging="2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 xml:space="preserve">MODELING REPORT AND INTERACTIVE </w:t>
            </w: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>MODEL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4.4.1B TRANSPARENCY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Transparency and clarity of presentation are a neces-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sity. The need for and value of transparency is widely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recognized and can provide some protection against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bias and error. Model transparency serves the important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purpose of providing both a high-level overview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 structure, components, and outputs, as well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detailed documentation for users interested in evaluating </w:t>
      </w:r>
      <w:r>
        <w:rPr>
          <w:rFonts w:ascii="Arial" w:hAnsi="Arial" w:eastAsia="Lora"/>
          <w:b w:val="0"/>
          <w:i w:val="0"/>
          <w:color w:val="333333"/>
          <w:sz w:val="18"/>
        </w:rPr>
        <w:t>the technical elements of the model.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66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Therefore, manu-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facturers are encouraged to focus efforts on the clarity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transparency of results. Detailed descriptions that </w:t>
      </w:r>
      <w:r>
        <w:rPr>
          <w:rFonts w:ascii="Arial" w:hAnsi="Arial" w:eastAsia="Lora"/>
          <w:b w:val="0"/>
          <w:i w:val="0"/>
          <w:color w:val="333333"/>
          <w:sz w:val="18"/>
        </w:rPr>
        <w:t>explain the flow of data through the model are recom-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mended. All calculations should be explained in a simple,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straightforward manner to allow a non-health economist </w:t>
      </w:r>
      <w:r>
        <w:rPr>
          <w:rFonts w:ascii="Arial" w:hAnsi="Arial" w:eastAsia="Lora"/>
          <w:b w:val="0"/>
          <w:i w:val="0"/>
          <w:color w:val="333333"/>
          <w:sz w:val="18"/>
        </w:rPr>
        <w:t>to comprehend the analysis. The information and refer-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ences should be accessible in the report format, as well as </w:t>
      </w:r>
      <w:r>
        <w:rPr>
          <w:rFonts w:ascii="Arial" w:hAnsi="Arial" w:eastAsia="Lora"/>
          <w:b w:val="0"/>
          <w:i w:val="0"/>
          <w:color w:val="333333"/>
          <w:sz w:val="18"/>
        </w:rPr>
        <w:t>shown directly in the model to optimize ease of review.</w:t>
      </w:r>
    </w:p>
    <w:p>
      <w:pPr>
        <w:autoSpaceDN w:val="0"/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4.4.2B MODELING REPORT FORMAT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modeling report should follow this format: (1)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Introduction/Background, (2) Methods, (3) Results, (4)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Limitations, and (5) Discussion. A 500-word abstract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following this same format should be provided on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first page of the modeling report and include an explicit </w:t>
      </w:r>
      <w:r>
        <w:rPr>
          <w:rFonts w:ascii="Arial" w:hAnsi="Arial" w:eastAsia="Lora"/>
          <w:b w:val="0"/>
          <w:i w:val="0"/>
          <w:color w:val="333333"/>
          <w:sz w:val="18"/>
        </w:rPr>
        <w:t>description of the key drivers of the model results identi-</w:t>
      </w:r>
      <w:r>
        <w:rPr>
          <w:rFonts w:ascii="Arial" w:hAnsi="Arial" w:eastAsia="Lora"/>
          <w:b w:val="0"/>
          <w:i w:val="0"/>
          <w:color w:val="333333"/>
          <w:sz w:val="18"/>
        </w:rPr>
        <w:t>fied in sensitivity and scenario analyses.</w:t>
      </w:r>
    </w:p>
    <w:p>
      <w:pPr>
        <w:autoSpaceDN w:val="0"/>
        <w:autoSpaceDE w:val="0"/>
        <w:widowControl/>
        <w:spacing w:line="276" w:lineRule="auto" w:before="0" w:after="200"/>
        <w:ind w:left="180" w:right="246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Below are the minimum recommended figures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tables for economic models. Multiple tables in each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category (e.g., Table 1a, 1b) may be used, if needed, based </w:t>
      </w:r>
      <w:r>
        <w:rPr>
          <w:rFonts w:ascii="Arial" w:hAnsi="Arial" w:eastAsia="Lora"/>
          <w:b w:val="0"/>
          <w:i w:val="0"/>
          <w:color w:val="333333"/>
          <w:sz w:val="18"/>
        </w:rPr>
        <w:t>on the modeling approach being presented.</w:t>
      </w:r>
    </w:p>
    <w:p>
      <w:pPr>
        <w:autoSpaceDN w:val="0"/>
        <w:autoSpaceDE w:val="0"/>
        <w:widowControl/>
        <w:spacing w:line="276" w:lineRule="auto" w:before="0" w:after="200"/>
        <w:ind w:left="180" w:right="246" w:firstLine="18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Figure 1.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Provide a figure displaying the structure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model (e.g., a decision tree, Markov model, budget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impact model). A simplified schematic diagram may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used for ease of presentation, but a detailed figure should </w:t>
      </w:r>
      <w:r>
        <w:rPr>
          <w:rFonts w:ascii="Arial" w:hAnsi="Arial" w:eastAsia="Lora"/>
          <w:b w:val="0"/>
          <w:i w:val="0"/>
          <w:color w:val="333333"/>
          <w:sz w:val="18"/>
        </w:rPr>
        <w:t>also be included.</w:t>
      </w:r>
    </w:p>
    <w:p>
      <w:pPr>
        <w:autoSpaceDN w:val="0"/>
        <w:autoSpaceDE w:val="0"/>
        <w:widowControl/>
        <w:spacing w:line="276" w:lineRule="auto" w:before="0" w:after="200"/>
        <w:ind w:left="180" w:right="144" w:firstLine="18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Table 1.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Provide a table listing all the model inputs,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including probabilities, costs, and utility estimates if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33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46" w:right="72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appropriate. Provide a range of values on which sensitiv-</w:t>
      </w:r>
      <w:r>
        <w:rPr>
          <w:rFonts w:ascii="Arial" w:hAnsi="Arial" w:eastAsia="Lora"/>
          <w:b w:val="0"/>
          <w:i w:val="0"/>
          <w:color w:val="333333"/>
          <w:sz w:val="18"/>
        </w:rPr>
        <w:t>ity analyses are based for each input.</w:t>
      </w: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1. Include references in the table for all inputs, including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ranges.</w:t>
      </w: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Note in the table any estimates that lack supporting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evidence.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18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Table 2.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Provide an explicit list of model assumptions,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including assumptions about comparator interventions, </w:t>
      </w:r>
      <w:r>
        <w:rPr>
          <w:rFonts w:ascii="Arial" w:hAnsi="Arial" w:eastAsia="Lora"/>
          <w:b w:val="0"/>
          <w:i w:val="0"/>
          <w:color w:val="333333"/>
          <w:sz w:val="18"/>
        </w:rPr>
        <w:t>clinical events, patient management, delivery, adminis-</w:t>
      </w:r>
      <w:r>
        <w:rPr>
          <w:rFonts w:ascii="Arial" w:hAnsi="Arial" w:eastAsia="Lora"/>
          <w:b w:val="0"/>
          <w:i w:val="0"/>
          <w:color w:val="333333"/>
          <w:sz w:val="18"/>
        </w:rPr>
        <w:t>tration, setting of care, and costs.</w:t>
      </w: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/>
          <w:i w:val="0"/>
          <w:color w:val="333333"/>
          <w:sz w:val="18"/>
        </w:rPr>
        <w:t>Table 3.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Present the disaggregated results in a table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(e.g., cost-consequence style, with costs presented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separately from health outcomes). Data presented in this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format are more easily understood and interpreted by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health care system formulary committees. The following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specific data should be presented for each strategy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appropriate for the analysis type: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1. The projected clinical events (e.g., heart attacks, cir-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rhosis, recurrence).</w:t>
      </w: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72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The life expectancy, QALY estimates, or other mea-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sured outcomes.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3. Total health care costs.</w:t>
      </w:r>
    </w:p>
    <w:p>
      <w:pPr>
        <w:autoSpaceDN w:val="0"/>
        <w:autoSpaceDE w:val="0"/>
        <w:widowControl/>
        <w:spacing w:line="276" w:lineRule="auto" w:before="0" w:after="200"/>
        <w:ind w:left="426" w:right="576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The cost of implementing therapy, including all </w:t>
      </w:r>
      <w:r>
        <w:rPr>
          <w:rFonts w:ascii="Arial" w:hAnsi="Arial" w:eastAsia="Lora"/>
          <w:b w:val="0"/>
          <w:i w:val="0"/>
          <w:color w:val="333333"/>
          <w:sz w:val="18"/>
        </w:rPr>
        <w:t>anticipated costs of care management, delivery, admin-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istration, and setting of care, and the resulting cost </w:t>
      </w:r>
      <w:r>
        <w:rPr>
          <w:rFonts w:ascii="Arial" w:hAnsi="Arial" w:eastAsia="Lora"/>
          <w:b w:val="0"/>
          <w:i w:val="0"/>
          <w:color w:val="333333"/>
          <w:sz w:val="18"/>
        </w:rPr>
        <w:t>offsets.</w:t>
      </w:r>
    </w:p>
    <w:p>
      <w:pPr>
        <w:autoSpaceDN w:val="0"/>
        <w:autoSpaceDE w:val="0"/>
        <w:widowControl/>
        <w:spacing w:line="276" w:lineRule="auto" w:before="0" w:after="200"/>
        <w:ind w:left="426" w:right="672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5. Model results as appropriate for the model type (e.g.,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incremental cost-effectiveness ratios, PMPM estimates </w:t>
      </w:r>
      <w:r>
        <w:rPr>
          <w:rFonts w:ascii="Arial" w:hAnsi="Arial" w:eastAsia="Lora"/>
          <w:b w:val="0"/>
          <w:i w:val="0"/>
          <w:color w:val="333333"/>
          <w:sz w:val="18"/>
        </w:rPr>
        <w:t>of budget impact).</w:t>
      </w:r>
    </w:p>
    <w:p>
      <w:pPr>
        <w:autoSpaceDN w:val="0"/>
        <w:tabs>
          <w:tab w:pos="426" w:val="left"/>
        </w:tabs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/>
          <w:i w:val="0"/>
          <w:color w:val="333333"/>
          <w:sz w:val="18"/>
        </w:rPr>
        <w:t>Figure 2.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Present one-way sensitivity analyses on all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 inputs in a figure (e.g., tornado diagram) or a table.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Clearly present the model inputs or assumptions that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drive the difference in (1) costs, (2) effects, and (3)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incremental cost-effectiveness.</w:t>
      </w:r>
    </w:p>
    <w:p>
      <w:pPr>
        <w:autoSpaceDN w:val="0"/>
        <w:autoSpaceDE w:val="0"/>
        <w:widowControl/>
        <w:spacing w:line="276" w:lineRule="auto" w:before="0" w:after="200"/>
        <w:ind w:left="426" w:right="672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When appropriate, present multiway (e.g., two-way,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best- and worst-case scenario, probabilistic) sensitivity </w:t>
      </w:r>
      <w:r>
        <w:rPr>
          <w:rFonts w:ascii="Arial" w:hAnsi="Arial" w:eastAsia="Lora"/>
          <w:b w:val="0"/>
          <w:i w:val="0"/>
          <w:color w:val="333333"/>
          <w:sz w:val="18"/>
        </w:rPr>
        <w:t>analyses.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CHEERS Guidance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addition to the general guidance provided above,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notable addition to the scientific literature related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reporting standards for economic evaluations published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since our last AMCP Format revision is the Consolidated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Health Economic Evaluation Reporting Standards </w:t>
      </w:r>
      <w:r>
        <w:rPr>
          <w:rFonts w:ascii="Arial" w:hAnsi="Arial" w:eastAsia="Lora"/>
          <w:b w:val="0"/>
          <w:i w:val="0"/>
          <w:color w:val="333333"/>
          <w:sz w:val="18"/>
        </w:rPr>
        <w:t>(CHEERS) statement.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74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This statement provides additional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guidance regarding preferred reporting standards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evaluations and may serve as an additional </w:t>
      </w:r>
      <w:r>
        <w:rPr>
          <w:rFonts w:ascii="Arial" w:hAnsi="Arial" w:eastAsia="Lora"/>
          <w:b w:val="0"/>
          <w:i w:val="0"/>
          <w:color w:val="333333"/>
          <w:sz w:val="18"/>
        </w:rPr>
        <w:t>resource to model developers.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>4.4.3B INTERACTIVE MODEL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Model Characteristics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improve transparency and ease of use, it is 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33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40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105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recommended that models be implemented in spread-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sheet software. Other software packages should only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used if the user (1) is familiar with them, and (2) agrees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the manufacturer about their use. Custom software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models are generally discouraged but may be suitable if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clearly documented in peer-reviewed publications and a </w:t>
      </w:r>
      <w:r>
        <w:rPr>
          <w:rFonts w:ascii="Arial" w:hAnsi="Arial" w:eastAsia="Lora"/>
          <w:b w:val="0"/>
          <w:i w:val="0"/>
          <w:color w:val="333333"/>
          <w:sz w:val="18"/>
        </w:rPr>
        <w:t>user’s manual. Interactive models should have the follow-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ing characteristics: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All data and calculations relevant to the economic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 should be contained in the spreadsheet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visible to the user.</w:t>
      </w:r>
    </w:p>
    <w:p>
      <w:pPr>
        <w:autoSpaceDN w:val="0"/>
        <w:autoSpaceDE w:val="0"/>
        <w:widowControl/>
        <w:spacing w:line="276" w:lineRule="auto" w:before="0" w:after="200"/>
        <w:ind w:left="0" w:right="0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>2. All key inputs should be modifiable by the user.</w:t>
      </w:r>
    </w:p>
    <w:p>
      <w:pPr>
        <w:autoSpaceDN w:val="0"/>
        <w:autoSpaceDE w:val="0"/>
        <w:widowControl/>
        <w:spacing w:line="276" w:lineRule="auto" w:before="0" w:after="200"/>
        <w:ind w:left="1058" w:right="154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To the extent feasible, the model, its logic, and its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calculations should be clear and self-documenting,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using best practices for formatting, comments, and </w:t>
      </w:r>
      <w:r>
        <w:rPr>
          <w:rFonts w:ascii="Arial" w:hAnsi="Arial" w:eastAsia="Lora"/>
          <w:b w:val="0"/>
          <w:i w:val="0"/>
          <w:color w:val="333333"/>
          <w:sz w:val="18"/>
        </w:rPr>
        <w:t>explanatory guides such as text boxes.</w:t>
      </w:r>
    </w:p>
    <w:p>
      <w:pPr>
        <w:autoSpaceDN w:val="0"/>
        <w:tabs>
          <w:tab w:pos="105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4. The model allows for analysis of relevant subpopula-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tions (age, sex, comorbidities) where applicable.</w:t>
      </w:r>
    </w:p>
    <w:p>
      <w:pPr>
        <w:autoSpaceDN w:val="0"/>
        <w:autoSpaceDE w:val="0"/>
        <w:widowControl/>
        <w:spacing w:line="276" w:lineRule="auto" w:before="0" w:after="200"/>
        <w:ind w:left="1058" w:right="154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5. The model allows the health care system to incorporate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its own data (e.g., membership size, prevalence rates,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cost estimates) in place of default data, such as national </w:t>
      </w:r>
      <w:r>
        <w:rPr>
          <w:rFonts w:ascii="Arial" w:hAnsi="Arial" w:eastAsia="Lora"/>
          <w:b w:val="0"/>
          <w:i w:val="0"/>
          <w:color w:val="333333"/>
          <w:sz w:val="18"/>
        </w:rPr>
        <w:t>norms.</w:t>
      </w:r>
    </w:p>
    <w:p>
      <w:pPr>
        <w:autoSpaceDN w:val="0"/>
        <w:tabs>
          <w:tab w:pos="105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6. The model provides automated one-way sensitivity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analysis.</w:t>
      </w:r>
    </w:p>
    <w:p>
      <w:pPr>
        <w:autoSpaceDN w:val="0"/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Model Accessibility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 is recommended that the health care system require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an interactive model be made available electronically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(e.g., Microsoft Excel), preferably after meeting with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to review and discuss its design, key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assumptions, base-case results, sensitivity analyses,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practical application. If the manufacturer will not provide </w:t>
      </w:r>
      <w:r>
        <w:rPr>
          <w:rFonts w:ascii="Arial" w:hAnsi="Arial" w:eastAsia="Lora"/>
          <w:b w:val="0"/>
          <w:i w:val="0"/>
          <w:color w:val="333333"/>
          <w:sz w:val="18"/>
        </w:rPr>
        <w:t>an interactive model for the HCDM’s use, a clear state-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 to this effect and standing policy should be provided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the modeling report. Alternative approaches include </w:t>
      </w:r>
      <w:r>
        <w:rPr>
          <w:rFonts w:ascii="Arial" w:hAnsi="Arial" w:eastAsia="Lora"/>
          <w:b w:val="0"/>
          <w:i w:val="0"/>
          <w:color w:val="333333"/>
          <w:sz w:val="18"/>
        </w:rPr>
        <w:t>interactive modification of the model with a representa-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tive of the manufacturer without providing a leave-behind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version of the model, although such arrangements 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less desirable. Manufacturers are also encouraged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publish economic models in the peer-reviewed literature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update the models and publications with real-world </w:t>
      </w:r>
      <w:r>
        <w:rPr>
          <w:rFonts w:ascii="Arial" w:hAnsi="Arial" w:eastAsia="Lora"/>
          <w:b w:val="0"/>
          <w:i w:val="0"/>
          <w:color w:val="333333"/>
          <w:sz w:val="18"/>
        </w:rPr>
        <w:t>evidence as available.</w:t>
      </w:r>
    </w:p>
    <w:p>
      <w:pPr>
        <w:autoSpaceDN w:val="0"/>
        <w:autoSpaceDE w:val="0"/>
        <w:widowControl/>
        <w:spacing w:line="276" w:lineRule="auto" w:before="0" w:after="200"/>
        <w:ind w:left="878" w:right="154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Model users should recognize that input parameters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must be plausible, and many combinations of inputs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complex models will not be self-consistent. Thus, users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modify model inputs based on available data and </w:t>
      </w:r>
      <w:r>
        <w:rPr>
          <w:rFonts w:ascii="Arial" w:hAnsi="Arial" w:eastAsia="Lora"/>
          <w:b w:val="0"/>
          <w:i w:val="0"/>
          <w:color w:val="333333"/>
          <w:sz w:val="18"/>
        </w:rPr>
        <w:t>reasonable assumptions.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8" w:right="1152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5.0B Additional Supporting </w:t>
      </w:r>
      <w:r>
        <w:rPr>
          <w:rFonts w:ascii="Arial" w:hAnsi="Arial" w:eastAsia="Asap"/>
          <w:b/>
          <w:i w:val="0"/>
          <w:color w:val="333333"/>
          <w:sz w:val="32"/>
        </w:rPr>
        <w:t>Evidence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5.0B is two pages </w:t>
      </w:r>
      <w:r>
        <w:rPr>
          <w:rFonts w:ascii="Arial" w:hAnsi="Arial" w:eastAsia="Lora"/>
          <w:b w:val="0"/>
          <w:i w:val="0"/>
          <w:color w:val="333333"/>
          <w:sz w:val="18"/>
        </w:rPr>
        <w:t>(maximum five) for each study or source.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5.0B should consist of all other types of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studies that do not fit in Section 3.0B that support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 and value of the product reported in a clear and concise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format. Examples include clinical practice guidelines, HTAs </w:t>
      </w:r>
      <w:r>
        <w:rPr>
          <w:rFonts w:ascii="Arial" w:hAnsi="Arial" w:eastAsia="Lora"/>
          <w:b w:val="0"/>
          <w:i w:val="0"/>
          <w:color w:val="333333"/>
          <w:sz w:val="18"/>
        </w:rPr>
        <w:t>and systematic reviews, compendia, modeling, and phar-</w:t>
      </w:r>
      <w:r>
        <w:rPr>
          <w:rFonts w:ascii="Arial" w:hAnsi="Arial" w:eastAsia="Lora"/>
          <w:b w:val="0"/>
          <w:i w:val="0"/>
          <w:color w:val="333333"/>
          <w:sz w:val="18"/>
        </w:rPr>
        <w:t>macoeconomic and pharmacoequity studies.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Similar to Section 3.0B, evidence reported in this section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includes the following relevancy criteria: FDA-approved </w:t>
      </w:r>
      <w:r>
        <w:rPr>
          <w:rFonts w:ascii="Arial" w:hAnsi="Arial" w:eastAsia="Lora"/>
          <w:b w:val="0"/>
          <w:i w:val="0"/>
          <w:color w:val="333333"/>
          <w:sz w:val="18"/>
        </w:rPr>
        <w:t>indications and unapproved uses; published and unpub-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lished studies and data; any study regardless of study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design; study results regardless of positive, negative, or null </w:t>
      </w:r>
      <w:r>
        <w:rPr>
          <w:rFonts w:ascii="Arial" w:hAnsi="Arial" w:eastAsia="Lora"/>
          <w:b w:val="0"/>
          <w:i w:val="0"/>
          <w:color w:val="333333"/>
          <w:sz w:val="18"/>
        </w:rPr>
        <w:t>findings; and studies inside and outside of the U.S.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5.1B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CLINICAL PRACTICE GUIDELINES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Identify important clinical practice guidelines that have </w:t>
      </w:r>
      <w:r>
        <w:rPr>
          <w:rFonts w:ascii="Arial" w:hAnsi="Arial" w:eastAsia="Lora"/>
          <w:b w:val="0"/>
          <w:i w:val="0"/>
          <w:color w:val="333333"/>
          <w:sz w:val="18"/>
        </w:rPr>
        <w:t>been developed and published by medical societies, gov-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ernment agencies, and other national or international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organizations that are relevant to the product. This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also include position statements, consensus statements,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 pathways, and other similarly termed guidance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are evidence-based and provide specific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recommendations. </w:t>
      </w:r>
    </w:p>
    <w:p>
      <w:pPr>
        <w:autoSpaceDN w:val="0"/>
        <w:autoSpaceDE w:val="0"/>
        <w:widowControl/>
        <w:spacing w:line="276" w:lineRule="auto" w:before="0" w:after="200"/>
        <w:ind w:left="158" w:right="2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Focus on guideline recommendations from the U.S.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specific to the product, its comparators, the disease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state, and how the new product is anticipated to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included in or influenced by the guidelines. </w:t>
      </w:r>
    </w:p>
    <w:p>
      <w:pPr>
        <w:autoSpaceDN w:val="0"/>
        <w:autoSpaceDE w:val="0"/>
        <w:widowControl/>
        <w:spacing w:line="276" w:lineRule="auto" w:before="0" w:after="200"/>
        <w:ind w:left="158" w:right="20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Summarize information from clinical practice guidelines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briefly and, if feasible, provide a copy of the full guidelines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request or provide links to the original guidelines.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 should describe how it included or excluded </w:t>
      </w:r>
      <w:r>
        <w:rPr>
          <w:rFonts w:ascii="Arial" w:hAnsi="Arial" w:eastAsia="Lora"/>
          <w:b w:val="0"/>
          <w:i w:val="0"/>
          <w:color w:val="333333"/>
          <w:sz w:val="18"/>
        </w:rPr>
        <w:t>clinical practice guidelines in this section.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5.2B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HTAS AND SYSTEMATIC REVIEWS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Summarize relevant HTAs, systematic reviews, and evi-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dence frameworks (also known as value frameworks)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available. Examples include Cochrane Collaboration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systematic reviews, formal systematic reviews published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peer-reviewed journals, evidence reviews by AHRQ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PCORI, reports from ICER, and HTAs from recognized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public or private organizations, including international </w:t>
      </w:r>
      <w:r>
        <w:rPr>
          <w:rFonts w:ascii="Arial" w:hAnsi="Arial" w:eastAsia="Lora"/>
          <w:b w:val="0"/>
          <w:i w:val="0"/>
          <w:color w:val="333333"/>
          <w:sz w:val="18"/>
        </w:rPr>
        <w:t>bodies such as NICE and CADTH. Summarize the informa-</w:t>
      </w:r>
      <w:r>
        <w:rPr>
          <w:rFonts w:ascii="Arial" w:hAnsi="Arial" w:eastAsia="Lora"/>
          <w:b w:val="0"/>
          <w:i w:val="0"/>
          <w:color w:val="333333"/>
          <w:sz w:val="18"/>
        </w:rPr>
        <w:t>tion that is relevant to the product.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5.3B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COMPENDIA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Summarize important information found in compendia 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41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154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that are officially recognized by the Secretary of Health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Human Services that list the product. Since many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compendia publications are available only by subscription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are protected by copyrights, companies may not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able to provide PDF documents or reprints of the relevant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content, even if requested by HCDMs. Each manufacturer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determine its own process for handling requests for </w:t>
      </w:r>
      <w:r>
        <w:rPr>
          <w:rFonts w:ascii="Arial" w:hAnsi="Arial" w:eastAsia="Lora"/>
          <w:b w:val="0"/>
          <w:i w:val="0"/>
          <w:color w:val="333333"/>
          <w:sz w:val="18"/>
        </w:rPr>
        <w:t>reprints or copies of compendia information.</w:t>
      </w: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5.4B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OTHER ECONOMIC OR OUTCOMES EVIDENCE </w:t>
      </w:r>
      <w:r>
        <w:rPr>
          <w:rFonts w:ascii="Arial" w:hAnsi="Arial" w:eastAsia="Lora"/>
          <w:b w:val="0"/>
          <w:i w:val="0"/>
          <w:color w:val="333333"/>
          <w:sz w:val="18"/>
        </w:rPr>
        <w:t>Include published studies that result in economic evi-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dence or other outcomes that do not fit in Section 3.0B,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example, pharmacoeconomic, modeling,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>utilization, pharmacoequity, productivity studies, and real-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world evidence. Conduct and reporting of studies in this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should follow accepted practice as evidenced by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published methodology and reporting guidelines from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reputable professional societies or government agencies.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description of how studies were selected for inclusion </w:t>
      </w:r>
      <w:r>
        <w:rPr>
          <w:rFonts w:ascii="Arial" w:hAnsi="Arial" w:eastAsia="Lora"/>
          <w:b w:val="0"/>
          <w:i w:val="0"/>
          <w:color w:val="333333"/>
          <w:sz w:val="18"/>
        </w:rPr>
        <w:t>should be summarized and included.</w:t>
      </w:r>
    </w:p>
    <w:p>
      <w:pPr>
        <w:autoSpaceDN w:val="0"/>
        <w:tabs>
          <w:tab w:pos="180" w:val="left"/>
          <w:tab w:pos="36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Refer to Section 3.0B for items to be included in study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summaries and evidence tables. In addition, summaries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studies should include the following: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Definition of economic endpoints (e.g., mean overall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costs, cancer-related cost, cost per life-years gained,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cost per QALY, including references for standard-of-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care costs.</w:t>
      </w:r>
    </w:p>
    <w:p>
      <w:pPr>
        <w:autoSpaceDN w:val="0"/>
        <w:autoSpaceDE w:val="0"/>
        <w:widowControl/>
        <w:spacing w:line="276" w:lineRule="auto" w:before="0" w:after="200"/>
        <w:ind w:left="18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2. Data sources for economic endpoints.</w:t>
      </w:r>
    </w:p>
    <w:p>
      <w:pPr>
        <w:autoSpaceDN w:val="0"/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Statistical methods/math used to calculate endpoints. </w:t>
      </w:r>
      <w:r>
        <w:rPr>
          <w:rFonts w:ascii="Arial" w:hAnsi="Arial" w:eastAsia="Lora"/>
          <w:b w:val="0"/>
          <w:i w:val="0"/>
          <w:color w:val="333333"/>
          <w:sz w:val="18"/>
        </w:rPr>
        <w:t>4. Modeling methodology (if applicable).</w:t>
      </w:r>
    </w:p>
    <w:p>
      <w:pPr>
        <w:autoSpaceDN w:val="0"/>
        <w:autoSpaceDE w:val="0"/>
        <w:widowControl/>
        <w:spacing w:line="276" w:lineRule="auto" w:before="0" w:after="200"/>
        <w:ind w:left="18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5. Sensitivity analysis (if applicable).</w:t>
      </w:r>
    </w:p>
    <w:p>
      <w:pPr>
        <w:autoSpaceDN w:val="0"/>
        <w:autoSpaceDE w:val="0"/>
        <w:widowControl/>
        <w:spacing w:line="276" w:lineRule="auto" w:before="0" w:after="200"/>
        <w:ind w:left="0" w:right="154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Refer to Section 3.0B for additional guidance that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relevant for this section (e.g., provide reprints on request, </w:t>
      </w:r>
      <w:r>
        <w:rPr>
          <w:rFonts w:ascii="Arial" w:hAnsi="Arial" w:eastAsia="Lora"/>
          <w:b w:val="0"/>
          <w:i w:val="0"/>
          <w:color w:val="333333"/>
          <w:sz w:val="18"/>
        </w:rPr>
        <w:t>explain criteria for inclusion and exclusion of studies).</w:t>
      </w: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5.5B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EFFECT ON EQUITY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RCTs and cost-effectiveness analyses typically do 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address barriers to the equitable use of a new drug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device. Such barriers may include, but are not limited to,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access to specialists, health disparities and social barriers, </w:t>
      </w:r>
      <w:r>
        <w:rPr>
          <w:rFonts w:ascii="Arial" w:hAnsi="Arial" w:eastAsia="Lora"/>
          <w:b w:val="0"/>
          <w:i w:val="0"/>
          <w:color w:val="333333"/>
          <w:sz w:val="18"/>
        </w:rPr>
        <w:t>stigma, and the patient’s ability to afford and utilize a medi-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cation. While health equity data for new interventions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initially be very limited, equity considerations often have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implications for value assessment and should be discussed. </w:t>
      </w: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5.6B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EFFECT ON QUALITY MEASURES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is to accommodate information and research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where the product has a potential for or demonstrated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effect on quality measures that may not fit into any other </w:t>
      </w:r>
      <w:r>
        <w:rPr>
          <w:rFonts w:ascii="Arial" w:hAnsi="Arial" w:eastAsia="Lora"/>
          <w:b w:val="0"/>
          <w:i w:val="0"/>
          <w:color w:val="333333"/>
          <w:sz w:val="18"/>
        </w:rPr>
        <w:t>sections as described by the AMCP Format. If no informa-</w:t>
      </w:r>
      <w:r>
        <w:rPr>
          <w:rFonts w:ascii="Arial" w:hAnsi="Arial" w:eastAsia="Lora"/>
          <w:b w:val="0"/>
          <w:i w:val="0"/>
          <w:color w:val="333333"/>
          <w:sz w:val="18"/>
        </w:rPr>
        <w:t>tion exists, this section is not applicable.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5.7B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OTHER EVIDENCE OR INFORMATION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is to accommodate other important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relevant evidence or information that may not fit into any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other sections as described by the AMCP Format. Examples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include, but are not limited to, in vitro analytical tests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animal studies that demonstrate pharmacokinetics for </w:t>
      </w:r>
      <w:r>
        <w:rPr>
          <w:rFonts w:ascii="Arial" w:hAnsi="Arial" w:eastAsia="Lora"/>
          <w:b w:val="0"/>
          <w:i w:val="0"/>
          <w:color w:val="333333"/>
          <w:sz w:val="18"/>
        </w:rPr>
        <w:t>biosimilar products; other ancillary evidence that demon-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strates the uniqueness, benefits, or value of the product;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information regarding effects on patients’ families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caregivers. If no information exists, this section is not </w:t>
      </w:r>
      <w:r>
        <w:rPr>
          <w:rFonts w:ascii="Arial" w:hAnsi="Arial" w:eastAsia="Lora"/>
          <w:b w:val="0"/>
          <w:i w:val="0"/>
          <w:color w:val="333333"/>
          <w:sz w:val="18"/>
        </w:rPr>
        <w:t>applicable.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6.0B Dossier Appendices</w:t>
      </w:r>
    </w:p>
    <w:p>
      <w:pPr>
        <w:autoSpaceDN w:val="0"/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following information is valuable to HCDMs and should </w:t>
      </w:r>
      <w:r>
        <w:rPr>
          <w:rFonts w:ascii="Arial" w:hAnsi="Arial" w:eastAsia="Lora"/>
          <w:b w:val="0"/>
          <w:i w:val="0"/>
          <w:color w:val="333333"/>
          <w:sz w:val="18"/>
        </w:rPr>
        <w:t>be included in Section 6.0B, where possible.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6.1B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REFERENCES CONTAINED IN DOSSIERS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citations for all known published clinical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studies in the bibliography section. Reprints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relevant published studies should be available on request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and, where possible, should provide links to original sources </w:t>
      </w:r>
      <w:r>
        <w:rPr>
          <w:rFonts w:ascii="Arial" w:hAnsi="Arial" w:eastAsia="Lora"/>
          <w:b w:val="0"/>
          <w:i w:val="0"/>
          <w:color w:val="333333"/>
          <w:sz w:val="18"/>
        </w:rPr>
        <w:t>if they are free.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302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6.2B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ECONOMIC MODELS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Include economic models.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6.3C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PRODUCT PRESCRIBING INFORMATION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the FDA-approved PI and instructions for use for </w:t>
      </w:r>
      <w:r>
        <w:rPr>
          <w:rFonts w:ascii="Arial" w:hAnsi="Arial" w:eastAsia="Lora"/>
          <w:b w:val="0"/>
          <w:i w:val="0"/>
          <w:color w:val="333333"/>
          <w:sz w:val="18"/>
        </w:rPr>
        <w:t>the approved uses of the product.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6.4C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PATIENT INFORMATION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any patient information, such as patient PIs and </w:t>
      </w:r>
      <w:r>
        <w:rPr>
          <w:rFonts w:ascii="Arial" w:hAnsi="Arial" w:eastAsia="Lora"/>
          <w:b w:val="0"/>
          <w:i w:val="0"/>
          <w:color w:val="333333"/>
          <w:sz w:val="18"/>
        </w:rPr>
        <w:t>medication guides, for the approved uses of the product.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6.5B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MATERIAL SAFETY DATA SHEET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or link to a Material Safety Data Sheet for the </w:t>
      </w:r>
      <w:r>
        <w:rPr>
          <w:rFonts w:ascii="Arial" w:hAnsi="Arial" w:eastAsia="Lora"/>
          <w:b w:val="0"/>
          <w:i w:val="0"/>
          <w:color w:val="333333"/>
          <w:sz w:val="18"/>
        </w:rPr>
        <w:t>product.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6.6B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>APPENDICES SPECIFIC TO DTX PRODUCTS</w:t>
      </w:r>
    </w:p>
    <w:p>
      <w:pPr>
        <w:autoSpaceDN w:val="0"/>
        <w:autoSpaceDE w:val="0"/>
        <w:widowControl/>
        <w:spacing w:line="276" w:lineRule="auto" w:before="0" w:after="200"/>
        <w:ind w:left="338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Privacy and data security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related to privacy and security is required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included in an AMCP dossier. Although the intended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audience of the dossier is HCDMs who may lack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expertise needed to thoroughly evaluate the privacy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data security specifications for DTx products, a thorough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evaluation of privacy and data security is required, since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is essential to a comprehensive evaluation. Moreover,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review of privacy and safety may be performed prior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 evaluation of the clinical evidence by a P&amp;T committee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body. If needed, HCDMs may seek additional expertise 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42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from data information technology/security experts,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establish a DTx subcommittee, or have a separate group </w:t>
      </w:r>
      <w:r>
        <w:rPr>
          <w:rFonts w:ascii="Arial" w:hAnsi="Arial" w:eastAsia="Lora"/>
          <w:b w:val="0"/>
          <w:i w:val="0"/>
          <w:color w:val="333333"/>
          <w:sz w:val="18"/>
        </w:rPr>
        <w:t>(such as an innovation center), and assist with DTx evalu-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ation. DTx manufacturers may work directly with HCDMs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integrate and implement DTx. Manufacturers may also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provide relevant links to related information (i.e., privacy </w:t>
      </w:r>
      <w:r>
        <w:rPr>
          <w:rFonts w:ascii="Arial" w:hAnsi="Arial" w:eastAsia="Lora"/>
          <w:b w:val="0"/>
          <w:i w:val="0"/>
          <w:color w:val="333333"/>
          <w:sz w:val="18"/>
        </w:rPr>
        <w:t>policies, terms of service).</w:t>
      </w:r>
    </w:p>
    <w:p>
      <w:pPr>
        <w:autoSpaceDN w:val="0"/>
        <w:tabs>
          <w:tab w:pos="1058" w:val="left"/>
        </w:tabs>
        <w:autoSpaceDE w:val="0"/>
        <w:widowControl/>
        <w:spacing w:line="276" w:lineRule="auto" w:before="0" w:after="200"/>
        <w:ind w:left="878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Items to be addressed in a privacy and data security </w:t>
      </w:r>
      <w:r>
        <w:rPr>
          <w:rFonts w:ascii="Arial" w:hAnsi="Arial" w:eastAsia="Lora"/>
          <w:b w:val="0"/>
          <w:i w:val="0"/>
          <w:color w:val="333333"/>
          <w:sz w:val="18"/>
        </w:rPr>
        <w:t>appendix include the following: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Certifications (e.g., SOC 2, HITRUST, PCI DSS, ITIL, ISO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27001, CIPP)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Data encryption: software supports SSL encryption</w:t>
      </w:r>
      <w:r>
        <w:rPr>
          <w:rFonts w:ascii="Arial" w:hAnsi="Arial" w:eastAsia="Lora"/>
          <w:b w:val="0"/>
          <w:i w:val="0"/>
          <w:color w:val="333333"/>
          <w:sz w:val="18"/>
        </w:rPr>
        <w:t>• Antivirus software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Data protection security measures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Security information and event management solu-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 (SIEM), web application firewalls (WAF), SECOPS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monitoring, managed security providers (MSSPs), secu-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rity orchestration automation and response platforms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(SOAR)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Data backup and recovery solutions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Details on where data are stored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Processes for secure disposal of information technol-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ogy equipment and media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Intrusion detection systems (IDS) or intrusion preven-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tion systems (IPS) used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46" w:right="1872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Parental restrictions for minors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Data integrity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Cybersecurity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Data privacy processes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Multifactor authentication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Ransomware protection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Other hack prevention methods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Engagement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may specify how they define engagement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an optional appendix. Due to the wide variety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DTx products available, measures for engagement, user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satisfaction, and active users have not been standardized.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Furthermore, standard measures used for traditional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products, such as adherence and persistence, may 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apply to DTx products. If engagement measures were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used in clinical trials or real-world evidence, they may be </w:t>
      </w:r>
      <w:r>
        <w:rPr>
          <w:rFonts w:ascii="Arial" w:hAnsi="Arial" w:eastAsia="Lora"/>
          <w:b w:val="0"/>
          <w:i w:val="0"/>
          <w:color w:val="333333"/>
          <w:sz w:val="18"/>
        </w:rPr>
        <w:t>addressed in Section 3.0B or Section 5.0B.</w:t>
      </w:r>
    </w:p>
    <w:p>
      <w:pPr>
        <w:autoSpaceDN w:val="0"/>
        <w:autoSpaceDE w:val="0"/>
        <w:widowControl/>
        <w:spacing w:line="276" w:lineRule="auto" w:before="0" w:after="200"/>
        <w:ind w:left="246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Screenshots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Screenshots of the patient-facing or clinician-facing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application may be included in the dossier as an optional </w:t>
      </w:r>
      <w:r>
        <w:rPr>
          <w:rFonts w:ascii="Arial" w:hAnsi="Arial" w:eastAsia="Lora"/>
          <w:b w:val="0"/>
          <w:i w:val="0"/>
          <w:color w:val="333333"/>
          <w:sz w:val="18"/>
        </w:rPr>
        <w:t>appendix. If included, the version number of the applica-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must be stated. Links to external websites intended </w:t>
      </w:r>
      <w:r>
        <w:rPr>
          <w:rFonts w:ascii="Arial" w:hAnsi="Arial" w:eastAsia="Lora"/>
          <w:b w:val="0"/>
          <w:i w:val="0"/>
          <w:color w:val="333333"/>
          <w:sz w:val="18"/>
        </w:rPr>
        <w:t>for health care professionals may also be included.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32" w:space="0"/>
            <w:col w:w="517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1152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 xml:space="preserve">Evidence Recommendations for Unapproved </w:t>
      </w:r>
      <w:r>
        <w:rPr>
          <w:rFonts w:ascii="Arial" w:hAnsi="Arial" w:eastAsia="Asap"/>
          <w:b w:val="0"/>
          <w:i w:val="0"/>
          <w:color w:val="333333"/>
          <w:sz w:val="48"/>
        </w:rPr>
        <w:t>Use Dossiers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1.0C – HIGHLIGHTS AND OVERVIEW</w:t>
      </w:r>
    </w:p>
    <w:p>
      <w:pPr>
        <w:autoSpaceDN w:val="0"/>
        <w:tabs>
          <w:tab w:pos="2176" w:val="left"/>
        </w:tabs>
        <w:autoSpaceDE w:val="0"/>
        <w:widowControl/>
        <w:spacing w:line="276" w:lineRule="auto" w:before="0" w:after="200"/>
        <w:ind w:left="698" w:right="86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SECTION 2.0C – PRODUCT INFORMATION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>DISEASE DESCRIPTION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3.0C – CLINICAL EVIDENCE</w:t>
      </w:r>
    </w:p>
    <w:p>
      <w:pPr>
        <w:autoSpaceDN w:val="0"/>
        <w:tabs>
          <w:tab w:pos="2176" w:val="left"/>
        </w:tabs>
        <w:autoSpaceDE w:val="0"/>
        <w:widowControl/>
        <w:spacing w:line="276" w:lineRule="auto" w:before="0" w:after="200"/>
        <w:ind w:left="698" w:right="144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SECTION 4.0C – ECONOMIC VALUE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>MODELING REPORT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5.0C – ADDITIONAL SUPPORTING EVIDENCE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SECTION 6.0C – DOSSIER APPENDICES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1.0C HIGHLIGHTS AND OVERVIEW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1.0C is two pages </w:t>
      </w:r>
      <w:r>
        <w:rPr>
          <w:rFonts w:ascii="Arial" w:hAnsi="Arial" w:eastAsia="Lora"/>
          <w:b w:val="0"/>
          <w:i w:val="0"/>
          <w:color w:val="333333"/>
          <w:sz w:val="18"/>
        </w:rPr>
        <w:t>(maximum four).</w:t>
      </w:r>
    </w:p>
    <w:p>
      <w:pPr>
        <w:autoSpaceDN w:val="0"/>
        <w:autoSpaceDE w:val="0"/>
        <w:widowControl/>
        <w:spacing w:line="276" w:lineRule="auto" w:before="0" w:after="200"/>
        <w:ind w:left="698" w:right="158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provides an at-a-glance overview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key information about an unapproved use of an 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for which the manufacturer is seeking approval </w:t>
      </w:r>
      <w:r>
        <w:rPr>
          <w:rFonts w:ascii="Arial" w:hAnsi="Arial" w:eastAsia="Lora"/>
          <w:b w:val="0"/>
          <w:i w:val="0"/>
          <w:color w:val="333333"/>
          <w:sz w:val="18"/>
        </w:rPr>
        <w:t>from the FDA.</w:t>
      </w:r>
    </w:p>
    <w:p>
      <w:pPr>
        <w:autoSpaceDN w:val="0"/>
        <w:autoSpaceDE w:val="0"/>
        <w:widowControl/>
        <w:spacing w:line="276" w:lineRule="auto" w:before="0" w:after="200"/>
        <w:ind w:left="87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may not make claims about an unapproved 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use of an approved product. No characterizations or conclu-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sions should be made regarding the safety or 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unapproved use. Manufacturers may provide factual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objective information about the unapproved use in an </w:t>
      </w:r>
      <w:r>
        <w:rPr>
          <w:rFonts w:ascii="Arial" w:hAnsi="Arial" w:eastAsia="Lora"/>
          <w:b w:val="0"/>
          <w:i w:val="0"/>
          <w:color w:val="333333"/>
          <w:sz w:val="18"/>
        </w:rPr>
        <w:t>Unapproved Use Dossier.</w:t>
      </w:r>
    </w:p>
    <w:p>
      <w:pPr>
        <w:autoSpaceDN w:val="0"/>
        <w:autoSpaceDE w:val="0"/>
        <w:widowControl/>
        <w:spacing w:line="276" w:lineRule="auto" w:before="0" w:after="200"/>
        <w:ind w:left="156" w:right="2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Just as with the Unapproved Product Dossier, there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 Executive Summary in an Unapproved Use Dossier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because the intent of an Executive Summary is to convey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overall value proposition of a product based on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economic evidence. In an Unapproved Use Dossier, no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characterization or conclusions should be made regarding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safety or effectiveness of the unapproved use of 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approved product. However, key information should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included about the unapproved use, using the Table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Highlights for Unapproved Use of An Approved Product </w:t>
      </w:r>
      <w:r>
        <w:rPr>
          <w:rFonts w:ascii="Arial" w:hAnsi="Arial" w:eastAsia="Lora"/>
          <w:b w:val="0"/>
          <w:i w:val="0"/>
          <w:color w:val="333333"/>
          <w:sz w:val="18"/>
        </w:rPr>
        <w:t>(Table 1.1C).</w:t>
      </w:r>
    </w:p>
    <w:p>
      <w:pPr>
        <w:autoSpaceDN w:val="0"/>
        <w:autoSpaceDE w:val="0"/>
        <w:widowControl/>
        <w:spacing w:line="276" w:lineRule="auto" w:before="0" w:after="200"/>
        <w:ind w:left="156" w:right="20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It is important to acknowledge that information may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not be available depending on the phase of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 for the unapproved use during the post-marketing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period of an approved product. If information is not yet 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42.0" w:type="dxa"/>
      </w:tblPr>
      <w:tblGrid>
        <w:gridCol w:w="4871"/>
        <w:gridCol w:w="4871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43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6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available or cannot be disclosed per the manufacturer’s </w:t>
      </w:r>
      <w:r>
        <w:rPr>
          <w:rFonts w:ascii="Arial" w:hAnsi="Arial" w:eastAsia="Lora"/>
          <w:b w:val="0"/>
          <w:i w:val="0"/>
          <w:color w:val="333333"/>
          <w:sz w:val="18"/>
        </w:rPr>
        <w:t>discretion, indicate “N/A.” As information becomes avail-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able for communication, the manufacturer should update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698" w:header="720" w:footer="720" w:gutter="0"/>
          <w:cols w:num="2" w:equalWidth="0">
            <w:col w:w="5244" w:space="0"/>
            <w:col w:w="593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the dossier.</w:t>
      </w:r>
    </w:p>
    <w:p>
      <w:pPr>
        <w:autoSpaceDN w:val="0"/>
        <w:tabs>
          <w:tab w:pos="33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brief and concise. Provide citations and references to </w:t>
      </w:r>
      <w:r>
        <w:rPr>
          <w:rFonts w:ascii="Arial" w:hAnsi="Arial" w:eastAsia="Lora"/>
          <w:b w:val="0"/>
          <w:i w:val="0"/>
          <w:color w:val="333333"/>
          <w:sz w:val="18"/>
        </w:rPr>
        <w:t>indicate the source of information where applicable.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698" w:header="720" w:footer="720" w:gutter="0"/>
          <w:cols w:num="2" w:equalWidth="0">
            <w:col w:w="5244" w:space="0"/>
            <w:col w:w="593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6.00000000000009" w:type="dxa"/>
      </w:tblPr>
      <w:tblGrid>
        <w:gridCol w:w="4871"/>
        <w:gridCol w:w="4871"/>
      </w:tblGrid>
      <w:tr>
        <w:trPr>
          <w:trHeight w:hRule="exact" w:val="370"/>
        </w:trPr>
        <w:tc>
          <w:tcPr>
            <w:tcW w:type="dxa" w:w="2202"/>
            <w:tcBorders>
              <w:top w:sz="3.5999999046325684" w:val="single" w:color="#474B55"/>
            </w:tcBorders>
            <w:shd w:fill="474b5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45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>TABLE 1.1.C</w:t>
            </w:r>
          </w:p>
        </w:tc>
        <w:tc>
          <w:tcPr>
            <w:tcW w:type="dxa" w:w="8140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14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20"/>
              </w:rPr>
              <w:t>TABLE OF HIGHLIGHTS FOR UNAPPROVED USE OF AN APPROVED PRODUCT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871"/>
        <w:gridCol w:w="4871"/>
      </w:tblGrid>
      <w:tr>
        <w:trPr>
          <w:trHeight w:hRule="exact" w:val="308"/>
        </w:trPr>
        <w:tc>
          <w:tcPr>
            <w:tcW w:type="dxa" w:w="2936"/>
            <w:tcBorders>
              <w:top w:sz="16.0" w:val="single" w:color="#474B55"/>
              <w:end w:sz="4.0" w:val="single" w:color="#FFFFFF"/>
              <w:bottom w:sz="4.0" w:val="single" w:color="#C6C8C7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Type of Information</w:t>
            </w:r>
          </w:p>
        </w:tc>
        <w:tc>
          <w:tcPr>
            <w:tcW w:type="dxa" w:w="7534"/>
            <w:tcBorders>
              <w:start w:sz="4.0" w:val="single" w:color="#FFFFFF"/>
              <w:top w:sz="16.0" w:val="single" w:color="#474B55"/>
              <w:bottom w:sz="4.0" w:val="single" w:color="#C6C8C7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Description of Information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Revision dates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dates of revisions to this table in reverse chronological order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Manufacturer name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names of companies involved in developing and marketing the unapproved use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Approved product name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names of the approved product (brand, generic, chemical name)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Drug class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Describe the drug class in which the product belongs</w:t>
            </w:r>
          </w:p>
        </w:tc>
      </w:tr>
      <w:tr>
        <w:trPr>
          <w:trHeight w:hRule="exact" w:val="468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Unapproved use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diseases, indications, and target populations for which the unapproved use is being studied and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FDA approval is being sought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Approved use and indication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FDA-approved uses and indications for the approved product</w:t>
            </w:r>
          </w:p>
        </w:tc>
      </w:tr>
      <w:tr>
        <w:trPr>
          <w:trHeight w:hRule="exact" w:val="47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Special FDA designations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432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special designations per FDA (e.g., fast track, orphan, breakthrough) and the date of designation;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provide links to source information (e.g., FDA, press release)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FDA submission date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date of NDA/BLA submission to the FDA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FDA Advisory Committee meeting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date of the planned or anticipated FDA Advisory Committee meeting</w:t>
            </w:r>
          </w:p>
        </w:tc>
      </w:tr>
      <w:tr>
        <w:trPr>
          <w:trHeight w:hRule="exact" w:val="49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432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Original FDA approval date and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anticipated approval date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432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original date of FDA approval for the product and the date or time frame (e.g., year, quarter) of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anticipated FDA approval for the unapproved use</w:t>
            </w:r>
          </w:p>
        </w:tc>
      </w:tr>
      <w:tr>
        <w:trPr>
          <w:trHeight w:hRule="exact" w:val="488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144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Approval dates and indications in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other countries (outside of the U.S.)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other countries and (anticipated) approval dates and indications</w:t>
            </w:r>
          </w:p>
        </w:tc>
      </w:tr>
      <w:tr>
        <w:trPr>
          <w:trHeight w:hRule="exact" w:val="49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Phase 3 trials related to unapproved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use completed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name or citation of trials and dates completed, key endpoints, and number of patients; provide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links to ClinicalTrials.gov or PubMed</w:t>
            </w:r>
          </w:p>
        </w:tc>
      </w:tr>
      <w:tr>
        <w:trPr>
          <w:trHeight w:hRule="exact" w:val="49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Phase 3 trials related to unapproved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use in progress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name or citation of trials and dates in progress, key endpoints, and number of patients; provide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links to ClinicalTrials.gov or PubMed</w:t>
            </w:r>
          </w:p>
        </w:tc>
      </w:tr>
      <w:tr>
        <w:trPr>
          <w:trHeight w:hRule="exact" w:val="49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Phase 2 trials related to unapproved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use completed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name or citation of trials and dates completed, key endpoints, and number of patients; provide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links to ClinicalTrials.gov or PubMed</w:t>
            </w:r>
          </w:p>
        </w:tc>
      </w:tr>
      <w:tr>
        <w:trPr>
          <w:trHeight w:hRule="exact" w:val="488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Phase 2 trials related to unapproved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use in progress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28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List the name or citation of trials and dates in progress, key endpoints, and number of patients; provide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links to ClinicalTrials.gov or PubMed</w:t>
            </w:r>
          </w:p>
        </w:tc>
      </w:tr>
      <w:tr>
        <w:trPr>
          <w:trHeight w:hRule="exact" w:val="488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576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Anticipated routes and dosing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information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Describe the route(s) of administration and dose(s) for the unapproved use of the product that were used in 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clinical trials and anticipated to be approved by the FDA</w:t>
            </w:r>
          </w:p>
        </w:tc>
      </w:tr>
      <w:tr>
        <w:trPr>
          <w:trHeight w:hRule="exact" w:val="492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288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Anticipated location/settings for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product administration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1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Describe the location or health care setting where the unapproved use product was administered in clini-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cal trials and anticipated to be given when approved by the FDA</w:t>
            </w:r>
          </w:p>
        </w:tc>
      </w:tr>
      <w:tr>
        <w:trPr>
          <w:trHeight w:hRule="exact" w:val="488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144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Prevalence of condition associated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with unapproved use in the U.S.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Express results per 100,000 (e.g., 1 per 100,000 women, 5 per 100,000 live births, 10 per 100,000 per year)</w:t>
            </w:r>
          </w:p>
        </w:tc>
      </w:tr>
      <w:tr>
        <w:trPr>
          <w:trHeight w:hRule="exact" w:val="49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Annual incidence of condition associ-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ated with unapproved use in the U.S.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Express results per 100,000 (e.g., 1 per 100,000 women, 5 per 100,000 live births, 10 per 100,000 per year)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Product pricing information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List the price of the approved product</w:t>
            </w:r>
          </w:p>
        </w:tc>
      </w:tr>
      <w:tr>
        <w:trPr>
          <w:trHeight w:hRule="exact" w:val="310"/>
        </w:trPr>
        <w:tc>
          <w:tcPr>
            <w:tcW w:type="dxa" w:w="2936"/>
            <w:tcBorders>
              <w:top w:sz="4.0" w:val="single" w:color="#C6C8C7"/>
              <w:end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Anticipated patient support programs</w:t>
            </w:r>
          </w:p>
        </w:tc>
        <w:tc>
          <w:tcPr>
            <w:tcW w:type="dxa" w:w="7534"/>
            <w:tcBorders>
              <w:start w:sz="4.0" w:val="single" w:color="#C6C8C7"/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Describe potential plans for patient support programs</w:t>
            </w:r>
          </w:p>
        </w:tc>
      </w:tr>
      <w:tr>
        <w:trPr>
          <w:trHeight w:hRule="exact" w:val="308"/>
        </w:trPr>
        <w:tc>
          <w:tcPr>
            <w:tcW w:type="dxa" w:w="2936"/>
            <w:tcBorders>
              <w:top w:sz="4.0" w:val="single" w:color="#C6C8C7"/>
              <w:end w:sz="4.0" w:val="single" w:color="#FFFFFF"/>
              <w:bottom w:sz="16.0" w:val="single" w:color="#474B55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Anticipated distribution strategy</w:t>
            </w:r>
          </w:p>
        </w:tc>
        <w:tc>
          <w:tcPr>
            <w:tcW w:type="dxa" w:w="7534"/>
            <w:tcBorders>
              <w:start w:sz="4.0" w:val="single" w:color="#FFFFFF"/>
              <w:top w:sz="4.0" w:val="single" w:color="#C6C8C7"/>
              <w:bottom w:sz="16.0" w:val="single" w:color="#474B55"/>
            </w:tcBorders>
            <w:shd w:fill="eaea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Describe any anticipated changes to distribution of the unapproved use product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22" w:right="1296" w:firstLine="0"/>
        <w:jc w:val="left"/>
      </w:pPr>
      <w:r>
        <w:rPr>
          <w:rFonts w:ascii="Arial" w:hAnsi="Arial" w:eastAsia="Asap"/>
          <w:b w:val="0"/>
          <w:i/>
          <w:color w:val="333333"/>
          <w:sz w:val="15"/>
        </w:rPr>
        <w:t xml:space="preserve">FDA = U.S. Food and Drug Administration; sBLA = supplemental biologics license application; sNDA = supplemental new drug application; U.S. = </w:t>
      </w:r>
      <w:r>
        <w:rPr>
          <w:rFonts w:ascii="Arial" w:hAnsi="Arial" w:eastAsia="Asap"/>
          <w:b w:val="0"/>
          <w:i/>
          <w:color w:val="333333"/>
          <w:sz w:val="15"/>
        </w:rPr>
        <w:t>United States.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6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94"/>
        <w:gridCol w:w="4894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44</w:t>
            </w:r>
          </w:p>
        </w:tc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52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720" w:right="1008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2.0C Product Information and </w:t>
      </w:r>
      <w:r>
        <w:rPr>
          <w:rFonts w:ascii="Arial" w:hAnsi="Arial" w:eastAsia="Asap"/>
          <w:b/>
          <w:i w:val="0"/>
          <w:color w:val="333333"/>
          <w:sz w:val="32"/>
        </w:rPr>
        <w:t>Disease Description</w:t>
      </w:r>
    </w:p>
    <w:p>
      <w:pPr>
        <w:autoSpaceDN w:val="0"/>
        <w:tabs>
          <w:tab w:pos="1440" w:val="left"/>
        </w:tabs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2.1C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PRODUCT INFORMATION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2.1C is five pages </w:t>
      </w:r>
      <w:r>
        <w:rPr>
          <w:rFonts w:ascii="Arial" w:hAnsi="Arial" w:eastAsia="Lora"/>
          <w:b w:val="0"/>
          <w:i w:val="0"/>
          <w:color w:val="333333"/>
          <w:sz w:val="18"/>
        </w:rPr>
        <w:t>(maximum 10).</w:t>
      </w:r>
    </w:p>
    <w:p>
      <w:pPr>
        <w:autoSpaceDN w:val="0"/>
        <w:autoSpaceDE w:val="0"/>
        <w:widowControl/>
        <w:spacing w:line="276" w:lineRule="auto" w:before="0" w:after="200"/>
        <w:ind w:left="720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Manufacturers may not make claims about an unap-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proved use of an approved product. No characterizations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conclusions should be made regarding the safety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effectiveness of the unapproved use. Manufacturers may </w:t>
      </w:r>
      <w:r>
        <w:rPr>
          <w:rFonts w:ascii="Arial" w:hAnsi="Arial" w:eastAsia="Lora"/>
          <w:b w:val="0"/>
          <w:i w:val="0"/>
          <w:color w:val="333333"/>
          <w:sz w:val="18"/>
        </w:rPr>
        <w:t>provide factual and objective information about the unap-</w:t>
      </w:r>
      <w:r>
        <w:rPr>
          <w:rFonts w:ascii="Arial" w:hAnsi="Arial" w:eastAsia="Lora"/>
          <w:b w:val="0"/>
          <w:i w:val="0"/>
          <w:color w:val="333333"/>
          <w:sz w:val="18"/>
        </w:rPr>
        <w:t>proved use in an Unapproved Use Dossier.</w:t>
      </w:r>
    </w:p>
    <w:p>
      <w:pPr>
        <w:autoSpaceDN w:val="0"/>
        <w:tabs>
          <w:tab w:pos="900" w:val="left"/>
        </w:tabs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are encouraged to provide as much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detailed information about the unapproved use as possible.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 is important to acknowledge that information may or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be available depending on the phase of clinical studies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the unapproved use during the post-marketing period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an approved product.  If information is not yet available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cannot be disclosed per the manufacturer’s discretion, </w:t>
      </w:r>
      <w:r>
        <w:rPr>
          <w:rFonts w:ascii="Arial" w:hAnsi="Arial" w:eastAsia="Lora"/>
          <w:b w:val="0"/>
          <w:i w:val="0"/>
          <w:color w:val="333333"/>
          <w:sz w:val="18"/>
        </w:rPr>
        <w:t>indicate “N/A.”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 information becomes available for communication,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should update the dossier regularly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revise the corresponding information in Section 1.0C </w:t>
      </w:r>
      <w:r>
        <w:rPr>
          <w:rFonts w:ascii="Arial" w:hAnsi="Arial" w:eastAsia="Lora"/>
          <w:b w:val="0"/>
          <w:i w:val="0"/>
          <w:color w:val="333333"/>
          <w:sz w:val="18"/>
        </w:rPr>
        <w:t>Highlights and Overview.</w:t>
      </w:r>
    </w:p>
    <w:p>
      <w:pPr>
        <w:autoSpaceDN w:val="0"/>
        <w:tabs>
          <w:tab w:pos="900" w:val="left"/>
          <w:tab w:pos="1080" w:val="left"/>
        </w:tabs>
        <w:autoSpaceDE w:val="0"/>
        <w:widowControl/>
        <w:spacing w:line="276" w:lineRule="auto" w:before="0" w:after="200"/>
        <w:ind w:left="72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following are the components that should be included </w:t>
      </w:r>
      <w:r>
        <w:rPr>
          <w:rFonts w:ascii="Arial" w:hAnsi="Arial" w:eastAsia="Lora"/>
          <w:b w:val="0"/>
          <w:i w:val="0"/>
          <w:color w:val="333333"/>
          <w:sz w:val="18"/>
        </w:rPr>
        <w:t>(per FDA Final Guidance,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the PIE Act,⁴ and AMCP Format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recommendation):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A clear statement that the product is not FDA approved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the proposed indication, and that the safety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effectiveness have not been established for the pro-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posed indication.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3,4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2. Information related to the phase of product develop-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 (e.g., the status of any studies in which a product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being investigated and how it relates to the overall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product development plan, whether a marketing appli-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cation for the product has been submitted to the FDA,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or when such a submission is planned).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3,4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3. Provide a link to the PI.</w:t>
      </w:r>
    </w:p>
    <w:p>
      <w:pPr>
        <w:autoSpaceDN w:val="0"/>
        <w:tabs>
          <w:tab w:pos="1260" w:val="left"/>
          <w:tab w:pos="2176" w:val="left"/>
          <w:tab w:pos="2702" w:val="left"/>
          <w:tab w:pos="3236" w:val="left"/>
          <w:tab w:pos="4738" w:val="left"/>
        </w:tabs>
        <w:autoSpaceDE w:val="0"/>
        <w:widowControl/>
        <w:spacing w:line="276" w:lineRule="auto" w:before="0" w:after="200"/>
        <w:ind w:left="108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Provide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full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FDA-approved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prescribing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information.</w:t>
      </w:r>
    </w:p>
    <w:p>
      <w:pPr>
        <w:autoSpaceDN w:val="0"/>
        <w:tabs>
          <w:tab w:pos="1080" w:val="left"/>
          <w:tab w:pos="1260" w:val="left"/>
        </w:tabs>
        <w:autoSpaceDE w:val="0"/>
        <w:widowControl/>
        <w:spacing w:line="276" w:lineRule="auto" w:before="0" w:after="200"/>
        <w:ind w:left="90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Product information for the unapproved use (e.g., drug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class, device description, features).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3,4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Generic, brand, chemical, or other given name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the product.</w:t>
      </w:r>
    </w:p>
    <w:p>
      <w:pPr>
        <w:autoSpaceDN w:val="0"/>
        <w:autoSpaceDE w:val="0"/>
        <w:widowControl/>
        <w:spacing w:line="276" w:lineRule="auto" w:before="0" w:after="200"/>
        <w:ind w:left="108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Proposed mechanism of action.</w:t>
      </w:r>
    </w:p>
    <w:p>
      <w:pPr>
        <w:autoSpaceDN w:val="0"/>
        <w:tabs>
          <w:tab w:pos="1260" w:val="left"/>
        </w:tabs>
        <w:autoSpaceDE w:val="0"/>
        <w:widowControl/>
        <w:spacing w:line="276" w:lineRule="auto" w:before="0" w:after="200"/>
        <w:ind w:left="1080" w:right="288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Pharmacology, pharmacokinetic, and pharmaco-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dynamic information.</w:t>
      </w:r>
    </w:p>
    <w:p>
      <w:pPr>
        <w:autoSpaceDN w:val="0"/>
        <w:tabs>
          <w:tab w:pos="1260" w:val="left"/>
        </w:tabs>
        <w:autoSpaceDE w:val="0"/>
        <w:widowControl/>
        <w:spacing w:line="276" w:lineRule="auto" w:before="0" w:after="200"/>
        <w:ind w:left="1080" w:right="1152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Drug/drug, drug/food, and drug/disease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interactions.</w:t>
      </w:r>
    </w:p>
    <w:p>
      <w:pPr>
        <w:spacing w:line="276" w:lineRule="auto" w:after="200" w:before="0"/>
        <w:sectPr>
          <w:type w:val="continuous"/>
          <w:pgSz w:w="11880" w:h="15660"/>
          <w:pgMar w:top="360" w:right="652" w:bottom="266" w:left="0" w:header="720" w:footer="720" w:gutter="0"/>
          <w:cols w:num="2" w:equalWidth="0">
            <w:col w:w="6058" w:space="0"/>
            <w:col w:w="5170" w:space="0"/>
          </w:cols>
          <w:docGrid w:linePitch="360"/>
        </w:sectPr>
      </w:pPr>
    </w:p>
    <w:p>
      <w:pPr>
        <w:autoSpaceDN w:val="0"/>
        <w:tabs>
          <w:tab w:pos="608" w:val="left"/>
        </w:tabs>
        <w:autoSpaceDE w:val="0"/>
        <w:widowControl/>
        <w:spacing w:line="276" w:lineRule="auto" w:before="0" w:after="200"/>
        <w:ind w:left="42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Dosing and administration information (usually from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clinical trials).</w:t>
      </w:r>
    </w:p>
    <w:p>
      <w:pPr>
        <w:autoSpaceDN w:val="0"/>
        <w:autoSpaceDE w:val="0"/>
        <w:widowControl/>
        <w:spacing w:line="276" w:lineRule="auto" w:before="0" w:after="200"/>
        <w:ind w:left="0" w:right="0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>• Anticipated access and distribution information.</w:t>
      </w:r>
    </w:p>
    <w:p>
      <w:pPr>
        <w:autoSpaceDN w:val="0"/>
        <w:tabs>
          <w:tab w:pos="428" w:val="left"/>
          <w:tab w:pos="608" w:val="left"/>
        </w:tabs>
        <w:autoSpaceDE w:val="0"/>
        <w:widowControl/>
        <w:spacing w:line="276" w:lineRule="auto" w:before="0" w:after="200"/>
        <w:ind w:left="24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5. Information about the indication being sought, such as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information from the clinical study protocols about end-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points being studied and the patient population under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investigation (e.g., number of participants enrolled,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subject enrollment criteria, subject demographics).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3,4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6. Anticipated timeline for approval for indication being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sought (e.g., FDA approval/clearance/licensure of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unapproved use of the approved product).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3,4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Date of new drug application (NDA), BLA, device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pre-market approval (PMA), 510(k) submission for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FDA clearance.</w:t>
      </w:r>
    </w:p>
    <w:p>
      <w:pPr>
        <w:autoSpaceDN w:val="0"/>
        <w:autoSpaceDE w:val="0"/>
        <w:widowControl/>
        <w:spacing w:line="276" w:lineRule="auto" w:before="0" w:after="200"/>
        <w:ind w:left="42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Date of FDA Advisory Committee review, if any.</w:t>
      </w:r>
    </w:p>
    <w:p>
      <w:pPr>
        <w:autoSpaceDN w:val="0"/>
        <w:tabs>
          <w:tab w:pos="608" w:val="left"/>
        </w:tabs>
        <w:autoSpaceDE w:val="0"/>
        <w:widowControl/>
        <w:spacing w:line="276" w:lineRule="auto" w:before="0" w:after="200"/>
        <w:ind w:left="42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Date of anticipated FDA approval/clearance/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licensure.</w:t>
      </w:r>
    </w:p>
    <w:p>
      <w:pPr>
        <w:autoSpaceDN w:val="0"/>
        <w:autoSpaceDE w:val="0"/>
        <w:widowControl/>
        <w:spacing w:line="276" w:lineRule="auto" w:before="0" w:after="200"/>
        <w:ind w:left="24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7. Product pricing information.</w:t>
      </w:r>
    </w:p>
    <w:p>
      <w:pPr>
        <w:autoSpaceDN w:val="0"/>
        <w:tabs>
          <w:tab w:pos="608" w:val="left"/>
        </w:tabs>
        <w:autoSpaceDE w:val="0"/>
        <w:widowControl/>
        <w:spacing w:line="276" w:lineRule="auto" w:before="0" w:after="200"/>
        <w:ind w:left="42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See Section 4.0C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Information may be provided here and/or in Section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4.0C.</w:t>
      </w:r>
    </w:p>
    <w:p>
      <w:pPr>
        <w:autoSpaceDN w:val="0"/>
        <w:tabs>
          <w:tab w:pos="518" w:val="left"/>
        </w:tabs>
        <w:autoSpaceDE w:val="0"/>
        <w:widowControl/>
        <w:spacing w:line="276" w:lineRule="auto" w:before="0" w:after="200"/>
        <w:ind w:left="24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8. Patient utilization projections (e.g., epidemiological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data projection on incidence and prevalence).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3,4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9. Product-related programs or services (e.g., patient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support programs).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3,4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10. Factual presentations of results from studies, includ-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ing clinical studies of drugs or devices or bench tests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that describe device performance (i.e., no character-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izations or conclusions should be made regarding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safety or effectiveness of the unapproved use for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approved product).</w:t>
      </w:r>
    </w:p>
    <w:p>
      <w:pPr>
        <w:autoSpaceDN w:val="0"/>
        <w:autoSpaceDE w:val="0"/>
        <w:widowControl/>
        <w:spacing w:line="276" w:lineRule="auto" w:before="0" w:after="200"/>
        <w:ind w:left="42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See Section 3.0C.</w:t>
      </w:r>
    </w:p>
    <w:p>
      <w:pPr>
        <w:autoSpaceDN w:val="0"/>
        <w:tabs>
          <w:tab w:pos="608" w:val="left"/>
        </w:tabs>
        <w:autoSpaceDE w:val="0"/>
        <w:widowControl/>
        <w:spacing w:line="276" w:lineRule="auto" w:before="0" w:after="200"/>
        <w:ind w:left="42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Information may be provided here and/or in Section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3.0C.</w:t>
      </w:r>
    </w:p>
    <w:p>
      <w:pPr>
        <w:autoSpaceDN w:val="0"/>
        <w:autoSpaceDE w:val="0"/>
        <w:widowControl/>
        <w:spacing w:line="276" w:lineRule="auto" w:before="0" w:after="200"/>
        <w:ind w:left="24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11. Information on FDA expedited approval.</w:t>
      </w:r>
    </w:p>
    <w:p>
      <w:pPr>
        <w:autoSpaceDN w:val="0"/>
        <w:autoSpaceDE w:val="0"/>
        <w:widowControl/>
        <w:spacing w:line="276" w:lineRule="auto" w:before="0" w:after="200"/>
        <w:ind w:left="518" w:right="20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12. Other factual information per the manufacturer’s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discretion that does not run afoul of other guidelines </w:t>
      </w:r>
      <w:r>
        <w:rPr>
          <w:rFonts w:ascii="Arial" w:hAnsi="Arial" w:eastAsia="Lora"/>
          <w:b w:val="0"/>
          <w:i w:val="0"/>
          <w:color w:val="333333"/>
          <w:sz w:val="18"/>
        </w:rPr>
        <w:t>or restrictions.</w:t>
      </w:r>
    </w:p>
    <w:p>
      <w:pPr>
        <w:autoSpaceDN w:val="0"/>
        <w:autoSpaceDE w:val="0"/>
        <w:widowControl/>
        <w:spacing w:line="276" w:lineRule="auto" w:before="0" w:after="200"/>
        <w:ind w:left="248" w:right="20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For DTx products, complete the Table of Highlights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Use of an Approved Product (see Section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1.1C) in addition to the Table of Highlights for Digital </w:t>
      </w:r>
      <w:r>
        <w:rPr>
          <w:rFonts w:ascii="Arial" w:hAnsi="Arial" w:eastAsia="Lora"/>
          <w:b w:val="0"/>
          <w:i w:val="0"/>
          <w:color w:val="333333"/>
          <w:sz w:val="18"/>
        </w:rPr>
        <w:t>Therapeutics (Table 2.1.1C).</w:t>
      </w:r>
    </w:p>
    <w:p>
      <w:pPr>
        <w:spacing w:line="276" w:lineRule="auto" w:after="200" w:before="0"/>
        <w:sectPr>
          <w:type w:val="nextColumn"/>
          <w:pgSz w:w="11880" w:h="15660"/>
          <w:pgMar w:top="360" w:right="652" w:bottom="266" w:left="0" w:header="720" w:footer="720" w:gutter="0"/>
          <w:cols w:num="2" w:equalWidth="0">
            <w:col w:w="6058" w:space="0"/>
            <w:col w:w="5170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2435"/>
        <w:gridCol w:w="2435"/>
        <w:gridCol w:w="2435"/>
        <w:gridCol w:w="2435"/>
      </w:tblGrid>
      <w:tr>
        <w:trPr>
          <w:trHeight w:hRule="exact" w:val="1814"/>
        </w:trPr>
        <w:tc>
          <w:tcPr>
            <w:tcW w:type="dxa" w:w="2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304"/>
            </w:tblGrid>
            <w:tr>
              <w:trPr>
                <w:trHeight w:hRule="exact" w:val="354"/>
              </w:trPr>
              <w:tc>
                <w:tcPr>
                  <w:tcW w:type="dxa" w:w="2304"/>
                  <w:tcBorders/>
                  <w:shd w:fill="474b5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4" w:after="0"/>
                    <w:ind w:left="496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FFFFFF"/>
                      <w:sz w:val="20"/>
                    </w:rPr>
                    <w:t>TABLE 2.1.1C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0" w:right="0"/>
            </w:pPr>
          </w:p>
        </w:tc>
        <w:tc>
          <w:tcPr>
            <w:tcW w:type="dxa" w:w="54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16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20"/>
              </w:rPr>
              <w:t>TABLE OF HIGHLIGHTS FOR DIGITAL THERAPEUTICS</w:t>
            </w:r>
          </w:p>
        </w:tc>
        <w:tc>
          <w:tcPr>
            <w:tcW w:type="dxa" w:w="22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94"/>
            </w:tblGrid>
            <w:tr>
              <w:trPr>
                <w:trHeight w:hRule="exact" w:val="362"/>
              </w:trPr>
              <w:tc>
                <w:tcPr>
                  <w:tcW w:type="dxa" w:w="1094"/>
                  <w:tcBorders/>
                  <w:shd w:fill="6b146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72" w:after="0"/>
                    <w:ind w:left="90" w:right="0" w:firstLine="0"/>
                    <w:jc w:val="left"/>
                  </w:pPr>
                  <w:r>
                    <w:rPr>
                      <w:rFonts w:ascii="Asap" w:hAnsi="Asap" w:eastAsia="Asap"/>
                      <w:b/>
                      <w:i w:val="0"/>
                      <w:color w:val="FFFFFF"/>
                      <w:sz w:val="18"/>
                    </w:rPr>
                    <w:t>45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auto" w:before="0" w:after="8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70"/>
        <w:gridCol w:w="4870"/>
      </w:tblGrid>
      <w:tr>
        <w:trPr>
          <w:trHeight w:hRule="exact" w:val="338"/>
        </w:trPr>
        <w:tc>
          <w:tcPr>
            <w:tcW w:type="dxa" w:w="3484"/>
            <w:tcBorders>
              <w:top w:sz="16.0" w:val="single" w:color="#474B55"/>
              <w:end w:sz="8.0" w:val="single" w:color="#FFFFFF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1454564143"/>
                <w:rFonts w:ascii="Arial" w:hAnsi="Arial" w:eastAsia="Asap"/>
                <w:b/>
                <w:i w:val="0"/>
                <w:sz w:val="19"/>
              </w:rPr>
              <w:t>Type of Information</w:t>
            </w:r>
          </w:p>
        </w:tc>
        <w:tc>
          <w:tcPr>
            <w:tcW w:type="dxa" w:w="6956"/>
            <w:tcBorders>
              <w:start w:sz="8.0" w:val="single" w:color="#FFFFFF"/>
              <w:top w:sz="16.0" w:val="single" w:color="#474B55"/>
              <w:bottom w:sz="8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1454564143"/>
                <w:rFonts w:ascii="Arial" w:hAnsi="Arial" w:eastAsia="Asap"/>
                <w:b/>
                <w:i w:val="0"/>
                <w:sz w:val="19"/>
              </w:rPr>
              <w:t>Description of Information</w:t>
            </w:r>
          </w:p>
        </w:tc>
      </w:tr>
      <w:tr>
        <w:trPr>
          <w:trHeight w:hRule="exact" w:val="308"/>
        </w:trPr>
        <w:tc>
          <w:tcPr>
            <w:tcW w:type="dxa" w:w="3484"/>
            <w:tcBorders>
              <w:top w:sz="8.0" w:val="single" w:color="#13377C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Product version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13377C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Include version of application that the dossier applies to</w:t>
            </w:r>
          </w:p>
        </w:tc>
      </w:tr>
      <w:tr>
        <w:trPr>
          <w:trHeight w:hRule="exact" w:val="470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Approval pathway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0" w:val="left"/>
              </w:tabs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• FDA clearance, class II device, predicates based on the desktop app now transferred to the web,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etc.</w:t>
            </w:r>
          </w:p>
        </w:tc>
      </w:tr>
      <w:tr>
        <w:trPr>
          <w:trHeight w:hRule="exact" w:val="786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288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 xml:space="preserve">Intended environment of therapy delivery </w:t>
            </w: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and ongoing use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3168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Patient setting (home, work, school)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Health care setting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Institutional setting (nursing home, long-term care)</w:t>
            </w:r>
          </w:p>
        </w:tc>
      </w:tr>
      <w:tr>
        <w:trPr>
          <w:trHeight w:hRule="exact" w:val="308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Intended line of business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Commercial, Medicare, Medicaid, Other</w:t>
            </w:r>
          </w:p>
        </w:tc>
      </w:tr>
      <w:tr>
        <w:trPr>
          <w:trHeight w:hRule="exact" w:val="1026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Relationship to other therapies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3744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Stand alone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Add-on therapy to standard of care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Replaces existing therapy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Co-prescribed with pharmacologic therapy</w:t>
            </w:r>
          </w:p>
        </w:tc>
      </w:tr>
      <w:tr>
        <w:trPr>
          <w:trHeight w:hRule="exact" w:val="310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Language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Languages the product is available in</w:t>
            </w:r>
          </w:p>
        </w:tc>
      </w:tr>
      <w:tr>
        <w:trPr>
          <w:trHeight w:hRule="exact" w:val="310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6"/>
              </w:rPr>
              <w:t>Considerations for specific populations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Additional information on cultural, disability, age, health, or digital literacy requirements</w:t>
            </w:r>
          </w:p>
        </w:tc>
      </w:tr>
      <w:tr>
        <w:trPr>
          <w:trHeight w:hRule="exact" w:val="2092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9"/>
              </w:rPr>
              <w:t>Patient access to the product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0" w:val="left"/>
              </w:tabs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Formal prescription from a qualified clinician (in-person or virtual engagement)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Clinician referral for a nonprescription DTx product (in-person or virtual engagement)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Direct authorization by an employer for a nonprescription DTx product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Direct authorization by a payer for a nonprescription DTx product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• “Authorized clinical protocol” established by an HCDM to authorize automatic patient access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when necessary, qualification requirements are met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 xml:space="preserve">• “Clinically validated screening tool” that patients use to determine whether they qualify for the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therapy; “over-the-counter” model where no form of third-party authorization is necessary</w:t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Details on the dispensing process may also be included (e.g. download, specialty pharmacy, etc.)</w:t>
            </w:r>
          </w:p>
        </w:tc>
      </w:tr>
      <w:tr>
        <w:trPr>
          <w:trHeight w:hRule="exact" w:val="518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9"/>
              </w:rPr>
              <w:t xml:space="preserve">Components required for the software </w:t>
            </w:r>
            <w:r>
              <w:rPr>
                <w:rFonts w:ascii="Arial" w:hAnsi="Arial" w:eastAsia="Asap"/>
                <w:b/>
                <w:i w:val="0"/>
                <w:color w:val="333333"/>
                <w:sz w:val="19"/>
              </w:rPr>
              <w:t>to deliver its therapeutic value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Additional hardware or software required</w:t>
            </w:r>
          </w:p>
        </w:tc>
      </w:tr>
      <w:tr>
        <w:trPr>
          <w:trHeight w:hRule="exact" w:val="516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288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9"/>
              </w:rPr>
              <w:t>Host technology and required hard-</w:t>
            </w:r>
            <w:r>
              <w:rPr>
                <w:rFonts w:ascii="Arial" w:hAnsi="Arial" w:eastAsia="Asap"/>
                <w:b/>
                <w:i w:val="0"/>
                <w:color w:val="333333"/>
                <w:sz w:val="19"/>
              </w:rPr>
              <w:t>ware components (if applicable)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Smartphone, tablet, laptop, wearable device</w:t>
            </w:r>
          </w:p>
        </w:tc>
      </w:tr>
      <w:tr>
        <w:trPr>
          <w:trHeight w:hRule="exact" w:val="542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9"/>
              </w:rPr>
              <w:t>Technical requirements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5472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Offline-capable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Broadband</w:t>
            </w:r>
          </w:p>
        </w:tc>
      </w:tr>
      <w:tr>
        <w:trPr>
          <w:trHeight w:hRule="exact" w:val="784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9"/>
              </w:rPr>
              <w:t>Compatibility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8.0" w:val="single" w:color="#C6C8C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4176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PC/Mac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Browser (e.g., Chrome, Edge, Safari)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Operating system (e.g., iOS, Android)</w:t>
            </w:r>
          </w:p>
        </w:tc>
      </w:tr>
      <w:tr>
        <w:trPr>
          <w:trHeight w:hRule="exact" w:val="338"/>
        </w:trPr>
        <w:tc>
          <w:tcPr>
            <w:tcW w:type="dxa" w:w="3484"/>
            <w:tcBorders>
              <w:top w:sz="8.0" w:val="single" w:color="#C6C8C7"/>
              <w:end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9"/>
              </w:rPr>
              <w:t>Technical assistance availability</w:t>
            </w:r>
          </w:p>
        </w:tc>
        <w:tc>
          <w:tcPr>
            <w:tcW w:type="dxa" w:w="6956"/>
            <w:tcBorders>
              <w:start w:sz="8.0" w:val="single" w:color="#C6C8C7"/>
              <w:top w:sz="8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15"/>
              </w:rPr>
              <w:t>• In-app support via chat or call center availability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18" w:right="1008" w:firstLine="0"/>
        <w:jc w:val="left"/>
      </w:pPr>
      <w:r>
        <w:rPr>
          <w:rFonts w:ascii="Arial" w:hAnsi="Arial" w:eastAsia="Asap"/>
          <w:b w:val="0"/>
          <w:i/>
          <w:color w:val="333333"/>
          <w:sz w:val="15"/>
        </w:rPr>
        <w:t xml:space="preserve">DTx = digital therapeutics; FDA = U.S. Food and Drug Administration; HCDM = health care decision-maker; iOS = Apple operating system; PC/Mac = </w:t>
      </w:r>
      <w:r>
        <w:rPr>
          <w:rFonts w:ascii="Arial" w:hAnsi="Arial" w:eastAsia="Asap"/>
          <w:b w:val="0"/>
          <w:i/>
          <w:color w:val="333333"/>
          <w:sz w:val="15"/>
        </w:rPr>
        <w:t>refers to computers running IBM-based operating systems/computers produced by Apple.</w:t>
      </w:r>
    </w:p>
    <w:p>
      <w:pPr>
        <w:spacing w:line="276" w:lineRule="auto" w:after="200" w:before="0"/>
        <w:sectPr>
          <w:pgSz w:w="11880" w:h="15660"/>
          <w:pgMar w:top="360" w:right="0" w:bottom="266" w:left="700" w:header="720" w:footer="720" w:gutter="0"/>
          <w:cols/>
          <w:docGrid w:linePitch="360"/>
        </w:sectPr>
      </w:pPr>
    </w:p>
    <w:p>
      <w:pPr>
        <w:autoSpaceDN w:val="0"/>
        <w:tabs>
          <w:tab w:pos="740" w:val="left"/>
        </w:tabs>
        <w:autoSpaceDE w:val="0"/>
        <w:widowControl/>
        <w:spacing w:line="276" w:lineRule="auto" w:before="0" w:after="200"/>
        <w:ind w:left="2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2.2C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DISEASE DESCRIPTION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2.2C is five pages </w:t>
      </w:r>
      <w:r>
        <w:rPr>
          <w:rFonts w:ascii="Arial" w:hAnsi="Arial" w:eastAsia="Lora"/>
          <w:b w:val="0"/>
          <w:i w:val="0"/>
          <w:color w:val="333333"/>
          <w:sz w:val="18"/>
        </w:rPr>
        <w:t>(maximum 10) for each disease state.</w:t>
      </w:r>
    </w:p>
    <w:p>
      <w:pPr>
        <w:autoSpaceDN w:val="0"/>
        <w:autoSpaceDE w:val="0"/>
        <w:widowControl/>
        <w:spacing w:line="276" w:lineRule="auto" w:before="0" w:after="200"/>
        <w:ind w:left="20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It is understood that the exact indication of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 not fully known until final FDA approval. Manufacturers </w:t>
      </w:r>
      <w:r>
        <w:rPr>
          <w:rFonts w:ascii="Arial" w:hAnsi="Arial" w:eastAsia="Lora"/>
          <w:b w:val="0"/>
          <w:i w:val="0"/>
          <w:color w:val="333333"/>
          <w:sz w:val="18"/>
        </w:rPr>
        <w:t>may struggle with the depth and breadth of disease infor-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mation to be presented without making characterizations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conclusions about the safety or effectiveness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proposed indication. Nevertheless, HCDMs require a basic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understanding of the disease when reviewing information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about the proposed indication for the product.</w:t>
      </w:r>
    </w:p>
    <w:p>
      <w:pPr>
        <w:autoSpaceDN w:val="0"/>
        <w:autoSpaceDE w:val="0"/>
        <w:widowControl/>
        <w:spacing w:line="276" w:lineRule="auto" w:before="0" w:after="200"/>
        <w:ind w:left="156" w:right="576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Manufacturers are requested to provide as much infor-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mation as possible about the medical condition or disease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state for which the proposed indication for the product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being studied and FDA approval is being sought without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making characterizations or conclusions about the safety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effectiveness of this unapproved use. This is true especially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rare or orphan diseases. The intent is to give the reader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good overall sense of the disease. The disease description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be brief and should include epidemiology, risk 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46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factors, pathophysiology, clinical presentation, and burden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disease (e.g., societal, humanistic, health care resource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utilization, economic). Manufacturers should provide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description of specific patient subpopulations in which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unapproved use is being studied, if applicable. Include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 markers, diagnostic or genetic criteria, or other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markers, if known, that can be used to identify these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subpopulations. Information may be sourced from clinical </w:t>
      </w:r>
      <w:r>
        <w:rPr>
          <w:rFonts w:ascii="Arial" w:hAnsi="Arial" w:eastAsia="Lora"/>
          <w:b w:val="0"/>
          <w:i w:val="0"/>
          <w:color w:val="333333"/>
          <w:sz w:val="18"/>
        </w:rPr>
        <w:t>trials (e.g., target study population, inclusion and exclu-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sion criteria, baseline characteristics) and from medical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literature. Other sources may be used per manufacturers’ </w:t>
      </w:r>
      <w:r>
        <w:rPr>
          <w:rFonts w:ascii="Arial" w:hAnsi="Arial" w:eastAsia="Lora"/>
          <w:b w:val="0"/>
          <w:i w:val="0"/>
          <w:color w:val="333333"/>
          <w:sz w:val="18"/>
        </w:rPr>
        <w:t>discretion. Cite and reference all information.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3.0C Clinical Evidence</w:t>
      </w:r>
    </w:p>
    <w:p>
      <w:pPr>
        <w:autoSpaceDN w:val="0"/>
        <w:autoSpaceDE w:val="0"/>
        <w:widowControl/>
        <w:spacing w:line="276" w:lineRule="auto" w:before="0" w:after="200"/>
        <w:ind w:left="698" w:right="156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3.0C should consist of clinical studies that support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unapproved use and value of the product in a clear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concise format. </w:t>
      </w:r>
    </w:p>
    <w:p>
      <w:pPr>
        <w:autoSpaceDN w:val="0"/>
        <w:tabs>
          <w:tab w:pos="878" w:val="left"/>
          <w:tab w:pos="105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 is important that Section 3.0C is transparent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reflects the full body of clinical evidence that exists for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product. For the unapproved use, available evidence may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limited to a few studies, and inclusion of all studies in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dossier is sensible. It is important that the manufacturer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exhibit transparency and fair representation concerning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evidence included in the dossier, while at the same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time providing a dossier that is useful and manageable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HCDMs. Therefore, it is recommended that the evidence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separated into the following categories: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An overview of clinical information should be provided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first page of Section 3.0C. </w:t>
      </w:r>
    </w:p>
    <w:p>
      <w:pPr>
        <w:autoSpaceDN w:val="0"/>
        <w:autoSpaceDE w:val="0"/>
        <w:widowControl/>
        <w:spacing w:line="276" w:lineRule="auto" w:before="0" w:after="200"/>
        <w:ind w:left="1058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Pivotal data, and in some instances other RCTs and/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real-world evidence, that contribute significantly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the knowledge base of the unapproved use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included as </w:t>
      </w:r>
      <w:r>
        <w:rPr>
          <w:rFonts w:ascii="Arial" w:hAnsi="Arial" w:eastAsia="Lora"/>
          <w:b w:val="0"/>
          <w:i/>
          <w:color w:val="333333"/>
          <w:sz w:val="18"/>
        </w:rPr>
        <w:t>study summaries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(see Section 3.1B) and </w:t>
      </w:r>
      <w:r>
        <w:rPr>
          <w:rFonts w:ascii="Arial" w:hAnsi="Arial" w:eastAsia="Lora"/>
          <w:b w:val="0"/>
          <w:i/>
          <w:color w:val="333333"/>
          <w:sz w:val="18"/>
        </w:rPr>
        <w:t>evidence tables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(see Section 3.2C).</w:t>
      </w:r>
    </w:p>
    <w:p>
      <w:pPr>
        <w:autoSpaceDN w:val="0"/>
        <w:autoSpaceDE w:val="0"/>
        <w:widowControl/>
        <w:spacing w:line="276" w:lineRule="auto" w:before="0" w:after="200"/>
        <w:ind w:left="1058" w:right="15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Informative but smaller and/or less rigorous studies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may add to the evidence base for the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 should be included as </w:t>
      </w:r>
      <w:r>
        <w:rPr>
          <w:rFonts w:ascii="Arial" w:hAnsi="Arial" w:eastAsia="Lora"/>
          <w:b w:val="0"/>
          <w:i/>
          <w:color w:val="333333"/>
          <w:sz w:val="18"/>
        </w:rPr>
        <w:t>evidence tables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(see Section </w:t>
      </w:r>
      <w:r>
        <w:rPr>
          <w:rFonts w:ascii="Arial" w:hAnsi="Arial" w:eastAsia="Lora"/>
          <w:b w:val="0"/>
          <w:i w:val="0"/>
          <w:color w:val="333333"/>
          <w:sz w:val="18"/>
        </w:rPr>
        <w:t>3.2C) only.</w:t>
      </w:r>
    </w:p>
    <w:p>
      <w:pPr>
        <w:autoSpaceDN w:val="0"/>
        <w:autoSpaceDE w:val="0"/>
        <w:widowControl/>
        <w:spacing w:line="276" w:lineRule="auto" w:before="0" w:after="200"/>
        <w:ind w:left="1058" w:right="144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4. All other studies that have been reported but do not </w:t>
      </w:r>
      <w:r>
        <w:rPr>
          <w:rFonts w:ascii="Arial" w:hAnsi="Arial" w:eastAsia="Lora"/>
          <w:b w:val="0"/>
          <w:i w:val="0"/>
          <w:color w:val="333333"/>
          <w:sz w:val="18"/>
        </w:rPr>
        <w:t>add significantly to the knowledge base of the unap-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proved use should be identified in a </w:t>
      </w:r>
      <w:r>
        <w:rPr>
          <w:rFonts w:ascii="Arial" w:hAnsi="Arial" w:eastAsia="Lora"/>
          <w:b w:val="0"/>
          <w:i/>
          <w:color w:val="333333"/>
          <w:sz w:val="18"/>
        </w:rPr>
        <w:t>bibliography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only.</w:t>
      </w:r>
    </w:p>
    <w:p>
      <w:pPr>
        <w:autoSpaceDN w:val="0"/>
        <w:autoSpaceDE w:val="0"/>
        <w:widowControl/>
        <w:spacing w:line="276" w:lineRule="auto" w:before="0" w:after="200"/>
        <w:ind w:left="698" w:right="156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overview of the information contained in Section 3.0C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should define a specific set of objective criteria for inclusion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exclusion of studies and describe how studies were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selected for inclusion and exclusion. Studies excluded do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need to be identified in a bibliography. Considerations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establishing inclusion or exclusion criteria can be based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study characteristics as is done in ClinicalTrials.gov.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These characteristics include, but are not limited to, study </w:t>
      </w:r>
      <w:r>
        <w:rPr>
          <w:rFonts w:ascii="Arial" w:hAnsi="Arial" w:eastAsia="Lora"/>
          <w:b w:val="0"/>
          <w:i w:val="0"/>
          <w:color w:val="333333"/>
          <w:sz w:val="18"/>
        </w:rPr>
        <w:t>design, number of participants, and location of the study.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tabs>
          <w:tab w:pos="336" w:val="left"/>
        </w:tabs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this section, the manufacturer should clearly explain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objective rationale for delineation and assignment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 into each of the categories above to avoid selection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bias. Because these definitions may vary depending on the </w:t>
      </w:r>
      <w:r>
        <w:rPr>
          <w:rFonts w:ascii="Arial" w:hAnsi="Arial" w:eastAsia="Lora"/>
          <w:b w:val="0"/>
          <w:i w:val="0"/>
          <w:color w:val="333333"/>
          <w:sz w:val="18"/>
        </w:rPr>
        <w:t>context of the product, clinical setting, incidence/preva-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lence of the disorder, and available treatment alternatives,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manufacturer should justify how studies are included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(study summaries vs. evidence tables vs. bibliography).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should also explain the degree to which study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participants represent the target population as described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Section 2.2C and identify differences that may obscure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translation to real-world effectiveness. For clinical trials,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diversity of study participants should be explained,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supplemental tables depicting trial representativeness 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strongly encouraged. Retrospective studies should include </w:t>
      </w:r>
      <w:r>
        <w:rPr>
          <w:rFonts w:ascii="Arial" w:hAnsi="Arial" w:eastAsia="Lora"/>
          <w:b w:val="0"/>
          <w:i w:val="0"/>
          <w:color w:val="333333"/>
          <w:sz w:val="18"/>
        </w:rPr>
        <w:t>subgroups disproportionally affected by the health condi-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tion, and limitations that erode generalizability should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disclosed. 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Considerations for Section 3.0C: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The length and level of detail for study summaries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evidence tables may vary based on the amount of avail-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able data. It must be noted that HCDMs want a concise,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focused, and user-friendly presentation of data. One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most common complaints from HCDMs is that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dossiers are too long.</w:t>
      </w:r>
    </w:p>
    <w:p>
      <w:pPr>
        <w:autoSpaceDN w:val="0"/>
        <w:autoSpaceDE w:val="0"/>
        <w:widowControl/>
        <w:spacing w:line="276" w:lineRule="auto" w:before="0" w:after="200"/>
        <w:ind w:left="516" w:right="20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Specific study designs are not prescribed in this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section. Manufacturers should include studies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generate evidence about clinical outcomes. </w:t>
      </w:r>
    </w:p>
    <w:p>
      <w:pPr>
        <w:autoSpaceDN w:val="0"/>
        <w:autoSpaceDE w:val="0"/>
        <w:widowControl/>
        <w:spacing w:line="276" w:lineRule="auto" w:before="0" w:after="200"/>
        <w:ind w:left="696" w:right="0" w:hanging="180"/>
        <w:jc w:val="left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Prospective clinical studies including RCTs, obser-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vational data, registries, real-world evidence,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other studies that measure clinical endpoints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generally be included in Section 3.0C. Study results </w:t>
      </w:r>
      <w:r>
        <w:rPr>
          <w:rFonts w:ascii="Arial" w:hAnsi="Arial" w:eastAsia="Lora"/>
          <w:b w:val="0"/>
          <w:i w:val="0"/>
          <w:color w:val="333333"/>
          <w:sz w:val="18"/>
        </w:rPr>
        <w:t>and outcomes may include efficacy, safety, tolerabil-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ity, pharmacokinetics/pharmacodynamics, patient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preference, patient adherence, patient-reported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outcomes, quality of life, evidence that identifies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patient subgroups or clinical settings in which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may be appropriate, and other clinically </w:t>
      </w:r>
      <w:r>
        <w:rPr>
          <w:rFonts w:ascii="Arial" w:hAnsi="Arial" w:eastAsia="Lora"/>
          <w:b w:val="0"/>
          <w:i w:val="0"/>
          <w:color w:val="333333"/>
          <w:sz w:val="18"/>
        </w:rPr>
        <w:t>related outcomes.</w:t>
      </w:r>
    </w:p>
    <w:p>
      <w:pPr>
        <w:autoSpaceDN w:val="0"/>
        <w:autoSpaceDE w:val="0"/>
        <w:widowControl/>
        <w:spacing w:line="276" w:lineRule="auto" w:before="0" w:after="200"/>
        <w:ind w:left="696" w:right="22" w:hanging="180"/>
        <w:jc w:val="both"/>
      </w:pP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vitro, animal, and phase 1 studies are generally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included unless the value proposition is based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relevant pharmacologic, pharmacodynamics, or </w:t>
      </w:r>
      <w:r>
        <w:rPr>
          <w:rFonts w:ascii="Arial" w:hAnsi="Arial" w:eastAsia="Lora"/>
          <w:b w:val="0"/>
          <w:i w:val="0"/>
          <w:color w:val="333333"/>
          <w:sz w:val="18"/>
        </w:rPr>
        <w:t>pharmacokinetic evidence in these earlier studies.</w:t>
      </w:r>
    </w:p>
    <w:p>
      <w:pPr>
        <w:autoSpaceDN w:val="0"/>
        <w:autoSpaceDE w:val="0"/>
        <w:widowControl/>
        <w:spacing w:line="276" w:lineRule="auto" w:before="0" w:after="200"/>
        <w:ind w:left="516" w:right="0" w:hanging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Studies available from peer-reviewed published medical </w:t>
      </w:r>
      <w:r>
        <w:rPr>
          <w:rFonts w:ascii="Arial" w:hAnsi="Arial" w:eastAsia="Lora"/>
          <w:b w:val="0"/>
          <w:i w:val="0"/>
          <w:color w:val="333333"/>
          <w:sz w:val="18"/>
        </w:rPr>
        <w:t>journals are preferred. When publications are not avail-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able, medical congress abstracts, posters, and scientific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podium presentations can be considered. Publicly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available information from manuscripts submitted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accepted by medical journals, ClinicalTrials.gov, FDA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briefing documents, and manufacturers’ data on file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can also be used, when applicable. 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47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tabs>
          <w:tab w:pos="360" w:val="left"/>
        </w:tabs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If the results of a trial have been reported in more than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one journal article or conference abstract, poster, 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scientific podium presentation, all may be combined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into one summary and one row of an evidence table,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citing all the sources from which data have been drawn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clearly stating the total number of participants.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Discuss important study findings and comment 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their implications for different patient populations. </w:t>
      </w:r>
      <w:r>
        <w:rPr>
          <w:rFonts w:ascii="Arial" w:hAnsi="Arial" w:eastAsia="Lora"/>
          <w:b w:val="0"/>
          <w:i w:val="0"/>
          <w:color w:val="333333"/>
          <w:sz w:val="18"/>
        </w:rPr>
        <w:t>• Data summarized in Section 3.0C should not be re-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summarized in Sections 2.0C and 5.0C.</w:t>
      </w:r>
    </w:p>
    <w:p>
      <w:pPr>
        <w:autoSpaceDN w:val="0"/>
        <w:tabs>
          <w:tab w:pos="180" w:val="left"/>
          <w:tab w:pos="450" w:val="left"/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3.1C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STUDY SUMMARIES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each study summary is two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pages (maximum five). Study summaries should include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following items where available and applicable: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1. Publication citations, study name, ClinicalTrials.gov ID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number, and funding source.</w:t>
      </w:r>
    </w:p>
    <w:p>
      <w:pPr>
        <w:autoSpaceDN w:val="0"/>
        <w:tabs>
          <w:tab w:pos="450" w:val="left"/>
        </w:tabs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2. Objective, location, and study start and completion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dates.</w:t>
      </w:r>
    </w:p>
    <w:p>
      <w:pPr>
        <w:autoSpaceDN w:val="0"/>
        <w:autoSpaceDE w:val="0"/>
        <w:widowControl/>
        <w:spacing w:line="276" w:lineRule="auto" w:before="0" w:after="200"/>
        <w:ind w:left="180" w:right="288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3. Trial design, randomization, and blinding procedures. </w:t>
      </w:r>
      <w:r>
        <w:rPr>
          <w:rFonts w:ascii="Arial" w:hAnsi="Arial" w:eastAsia="Lora"/>
          <w:b w:val="0"/>
          <w:i w:val="0"/>
          <w:color w:val="333333"/>
          <w:sz w:val="18"/>
        </w:rPr>
        <w:t>4. Setting, inclusion, and exclusion criteria.</w:t>
      </w:r>
    </w:p>
    <w:p>
      <w:pPr>
        <w:autoSpaceDN w:val="0"/>
        <w:autoSpaceDE w:val="0"/>
        <w:widowControl/>
        <w:spacing w:line="276" w:lineRule="auto" w:before="0" w:after="200"/>
        <w:ind w:left="18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5. Baseline patient characteristics and demographics.</w:t>
      </w:r>
    </w:p>
    <w:p>
      <w:pPr>
        <w:autoSpaceDN w:val="0"/>
        <w:tabs>
          <w:tab w:pos="450" w:val="left"/>
        </w:tabs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6. Drop-out rates and procedures for handling drop-outs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(e.g., ITT,  per protocol).</w:t>
      </w:r>
    </w:p>
    <w:p>
      <w:pPr>
        <w:autoSpaceDN w:val="0"/>
        <w:tabs>
          <w:tab w:pos="450" w:val="left"/>
        </w:tabs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7. Treatments, interventions, dosage regimens, washout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period, concomitant therapies, etc.</w:t>
      </w:r>
    </w:p>
    <w:p>
      <w:pPr>
        <w:autoSpaceDN w:val="0"/>
        <w:autoSpaceDE w:val="0"/>
        <w:widowControl/>
        <w:spacing w:line="276" w:lineRule="auto" w:before="0" w:after="200"/>
        <w:ind w:left="450" w:right="154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8. Clinical outcomes evaluated, measured, and collected,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delineating primary versus secondary endpoints,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well as pre-specified versus post hoc analyses. When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applicable, information on surrogate endpoints should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also be provided (i.e., for expedited pathways). </w:t>
      </w:r>
    </w:p>
    <w:p>
      <w:pPr>
        <w:autoSpaceDN w:val="0"/>
        <w:autoSpaceDE w:val="0"/>
        <w:widowControl/>
        <w:spacing w:line="276" w:lineRule="auto" w:before="0" w:after="200"/>
        <w:ind w:left="450" w:right="154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9. Measures of effect (e.g., risk difference, risk ratio, odds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ratio, number needed to treat), statistical significance </w:t>
      </w:r>
      <w:r>
        <w:rPr>
          <w:rFonts w:ascii="Arial" w:hAnsi="Arial" w:eastAsia="Lora"/>
          <w:b w:val="0"/>
          <w:i w:val="0"/>
          <w:color w:val="333333"/>
          <w:sz w:val="18"/>
        </w:rPr>
        <w:t>of outcomes, and power calculations.</w:t>
      </w:r>
    </w:p>
    <w:p>
      <w:pPr>
        <w:autoSpaceDN w:val="0"/>
        <w:autoSpaceDE w:val="0"/>
        <w:widowControl/>
        <w:spacing w:line="276" w:lineRule="auto" w:before="0" w:after="200"/>
        <w:ind w:left="18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10. Validation of outcomes instruments (if applicable).</w:t>
      </w:r>
    </w:p>
    <w:p>
      <w:pPr>
        <w:autoSpaceDN w:val="0"/>
        <w:autoSpaceDE w:val="0"/>
        <w:widowControl/>
        <w:spacing w:line="276" w:lineRule="auto" w:before="0" w:after="200"/>
        <w:ind w:left="18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11. Generalizability of the population treated.</w:t>
      </w:r>
    </w:p>
    <w:p>
      <w:pPr>
        <w:autoSpaceDN w:val="0"/>
        <w:autoSpaceDE w:val="0"/>
        <w:widowControl/>
        <w:spacing w:line="276" w:lineRule="auto" w:before="0" w:after="200"/>
        <w:ind w:left="18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12. Study limitations, as stated by the authors.</w:t>
      </w:r>
    </w:p>
    <w:p>
      <w:pPr>
        <w:autoSpaceDN w:val="0"/>
        <w:tabs>
          <w:tab w:pos="180" w:val="left"/>
          <w:tab w:pos="360" w:val="left"/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3.2C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EVIDENCE TABLES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a row in the evidence table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less than one page (maximum two) for each study.  Evidence </w:t>
      </w:r>
      <w:r>
        <w:rPr>
          <w:rFonts w:ascii="Arial" w:hAnsi="Arial" w:eastAsia="Lora"/>
          <w:b w:val="0"/>
          <w:i w:val="0"/>
          <w:color w:val="333333"/>
          <w:sz w:val="18"/>
        </w:rPr>
        <w:t>tables should include the following data elements: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Citation (if unpublished, give abstract information 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indicate “data on file”)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Treatments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Sample size and length of follow-up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Inclusion and exclusion criteria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Design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Primary endpoints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• Secondary endpoints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Results (provide an explicit statement of effect size, not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51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just relative risk reduction and statistical significance. </w:t>
      </w:r>
    </w:p>
    <w:p>
      <w:pPr>
        <w:autoSpaceDN w:val="0"/>
        <w:tabs>
          <w:tab w:pos="338" w:val="left"/>
          <w:tab w:pos="518" w:val="left"/>
        </w:tabs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Within the Results column, include a table of key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results.)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Statistical significance (e.g., p-value and confidence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interval)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 may be helpful to display evidence tables in landscape </w:t>
      </w:r>
      <w:r>
        <w:rPr>
          <w:rFonts w:ascii="Arial" w:hAnsi="Arial" w:eastAsia="Lora"/>
          <w:b w:val="0"/>
          <w:i w:val="0"/>
          <w:color w:val="333333"/>
          <w:sz w:val="18"/>
        </w:rPr>
        <w:t>rather than portrait formats with appropriate use of abbre-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viations and other acceptable ways to display data in a clear, </w:t>
      </w:r>
      <w:r>
        <w:rPr>
          <w:rFonts w:ascii="Arial" w:hAnsi="Arial" w:eastAsia="Lora"/>
          <w:b w:val="0"/>
          <w:i w:val="0"/>
          <w:color w:val="333333"/>
          <w:sz w:val="18"/>
        </w:rPr>
        <w:t>objective, and concise way.</w:t>
      </w:r>
    </w:p>
    <w:p>
      <w:pPr>
        <w:autoSpaceDN w:val="0"/>
        <w:autoSpaceDE w:val="0"/>
        <w:widowControl/>
        <w:spacing w:line="276" w:lineRule="auto" w:before="0" w:after="200"/>
        <w:ind w:left="158" w:right="2016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4.0C Economic Value and </w:t>
      </w:r>
      <w:r>
        <w:rPr>
          <w:rFonts w:ascii="Arial" w:hAnsi="Arial" w:eastAsia="Asap"/>
          <w:b/>
          <w:i w:val="0"/>
          <w:color w:val="333333"/>
          <w:sz w:val="32"/>
        </w:rPr>
        <w:t>Modeling Report</w:t>
      </w:r>
    </w:p>
    <w:p>
      <w:pPr>
        <w:autoSpaceDN w:val="0"/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price of the product is already known for the 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and should be included in the Unapproved Use </w:t>
      </w:r>
      <w:r>
        <w:rPr>
          <w:rFonts w:ascii="Arial" w:hAnsi="Arial" w:eastAsia="Lora"/>
          <w:b w:val="0"/>
          <w:i w:val="0"/>
          <w:color w:val="333333"/>
          <w:sz w:val="18"/>
        </w:rPr>
        <w:t>Dossier. Product pricing information may help HCDMs con-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sider the potential economic impact and consequences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product. Describe any potential or anticipated changes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pricing expected if the proposed indication is approved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by the FDA. </w:t>
      </w:r>
    </w:p>
    <w:p>
      <w:pPr>
        <w:autoSpaceDN w:val="0"/>
        <w:autoSpaceDE w:val="0"/>
        <w:widowControl/>
        <w:spacing w:line="276" w:lineRule="auto" w:before="0" w:after="200"/>
        <w:ind w:left="158" w:right="576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It is recognized that budget impact models and cost-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effective models may not be feasible to construct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communicate before FDA approval of an unapproved use </w:t>
      </w:r>
      <w:r>
        <w:rPr>
          <w:rFonts w:ascii="Arial" w:hAnsi="Arial" w:eastAsia="Lora"/>
          <w:b w:val="0"/>
          <w:i w:val="0"/>
          <w:color w:val="333333"/>
          <w:sz w:val="18"/>
        </w:rPr>
        <w:t>because such models rely on certain outcomes and assump-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 regarding effectiveness and safety of the product. No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characterizations or conclusions should be made regarding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safety or effectiveness of the unapproved use of an </w:t>
      </w:r>
      <w:r>
        <w:rPr>
          <w:rFonts w:ascii="Arial" w:hAnsi="Arial" w:eastAsia="Lora"/>
          <w:b w:val="0"/>
          <w:i w:val="0"/>
          <w:color w:val="333333"/>
          <w:sz w:val="18"/>
        </w:rPr>
        <w:t>approved product.</w:t>
      </w:r>
    </w:p>
    <w:p>
      <w:pPr>
        <w:autoSpaceDN w:val="0"/>
        <w:autoSpaceDE w:val="0"/>
        <w:widowControl/>
        <w:spacing w:line="276" w:lineRule="auto" w:before="0" w:after="200"/>
        <w:ind w:left="158" w:right="67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When deemed necessary, manufacturers may request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execution of nondisclosure agreements so that sensitive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confidential pricing information may be shared or </w:t>
      </w:r>
      <w:r>
        <w:rPr>
          <w:rFonts w:ascii="Arial" w:hAnsi="Arial" w:eastAsia="Lora"/>
          <w:b w:val="0"/>
          <w:i w:val="0"/>
          <w:color w:val="333333"/>
          <w:sz w:val="18"/>
        </w:rPr>
        <w:t>discussed in a manner that is protected.</w:t>
      </w:r>
    </w:p>
    <w:p>
      <w:pPr>
        <w:autoSpaceDN w:val="0"/>
        <w:tabs>
          <w:tab w:pos="338" w:val="left"/>
        </w:tabs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on costs should be included, if anticipated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differ from the current price. </w:t>
      </w:r>
    </w:p>
    <w:p>
      <w:pPr>
        <w:autoSpaceDN w:val="0"/>
        <w:autoSpaceDE w:val="0"/>
        <w:widowControl/>
        <w:spacing w:line="276" w:lineRule="auto" w:before="0" w:after="200"/>
        <w:ind w:left="158" w:right="1728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 xml:space="preserve">5.0C Additional Supporting </w:t>
      </w:r>
      <w:r>
        <w:rPr>
          <w:rFonts w:ascii="Arial" w:hAnsi="Arial" w:eastAsia="Asap"/>
          <w:b/>
          <w:i w:val="0"/>
          <w:color w:val="333333"/>
          <w:sz w:val="32"/>
        </w:rPr>
        <w:t>Evidence</w:t>
      </w:r>
    </w:p>
    <w:p>
      <w:pPr>
        <w:autoSpaceDN w:val="0"/>
        <w:autoSpaceDE w:val="0"/>
        <w:widowControl/>
        <w:spacing w:line="276" w:lineRule="auto" w:before="0" w:after="200"/>
        <w:ind w:left="158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recommended length of Section 5.0C is two pages </w:t>
      </w:r>
      <w:r>
        <w:rPr>
          <w:rFonts w:ascii="Arial" w:hAnsi="Arial" w:eastAsia="Lora"/>
          <w:b w:val="0"/>
          <w:i w:val="0"/>
          <w:color w:val="333333"/>
          <w:sz w:val="18"/>
        </w:rPr>
        <w:t>(maximum five) for each study or source.</w:t>
      </w:r>
    </w:p>
    <w:p>
      <w:pPr>
        <w:autoSpaceDN w:val="0"/>
        <w:autoSpaceDE w:val="0"/>
        <w:widowControl/>
        <w:spacing w:line="276" w:lineRule="auto" w:before="0" w:after="200"/>
        <w:ind w:left="158" w:right="672" w:firstLine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5.0C should consist of all other types of evidence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studies that do not fit in Section 3.0C that support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unapproved use in a clear and concise format. Examples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clinical practice guidelines, HTAs and systematic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reviews, compendia, modeling, and pharmacoeconomic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pharmacoequity studies. Although the indication has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been FDA approved, AMCP acknowledges that some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these data may be available (e.g., National Comprehensive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Cancer Network [NCCN] may include recommendations </w:t>
      </w:r>
      <w:r>
        <w:rPr>
          <w:rFonts w:ascii="Arial" w:hAnsi="Arial" w:eastAsia="Lora"/>
          <w:b w:val="0"/>
          <w:i w:val="0"/>
          <w:color w:val="333333"/>
          <w:sz w:val="18"/>
        </w:rPr>
        <w:t>based on the product being approved in the U.S.).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2" w:space="0"/>
            <w:col w:w="591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48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Similar to Section 3.0C, evidence reported in this section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include the following relevancy criteria: FDA-approved </w:t>
      </w:r>
      <w:r>
        <w:rPr>
          <w:rFonts w:ascii="Arial" w:hAnsi="Arial" w:eastAsia="Lora"/>
          <w:b w:val="0"/>
          <w:i w:val="0"/>
          <w:color w:val="333333"/>
          <w:sz w:val="18"/>
        </w:rPr>
        <w:t>indications and unapproved uses; published and unpub-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lished studies and data; any study regardless of study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design; study results regardless of positive, negative, or null </w:t>
      </w:r>
      <w:r>
        <w:rPr>
          <w:rFonts w:ascii="Arial" w:hAnsi="Arial" w:eastAsia="Lora"/>
          <w:b w:val="0"/>
          <w:i w:val="0"/>
          <w:color w:val="333333"/>
          <w:sz w:val="18"/>
        </w:rPr>
        <w:t>findings; and studies inside and outside of the U.S.</w:t>
      </w:r>
    </w:p>
    <w:p>
      <w:pPr>
        <w:autoSpaceDN w:val="0"/>
        <w:tabs>
          <w:tab w:pos="141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5.1C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CLINICAL PRACTICE GUIDELINES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Identify important clinical practice guidelines that have </w:t>
      </w:r>
      <w:r>
        <w:rPr>
          <w:rFonts w:ascii="Arial" w:hAnsi="Arial" w:eastAsia="Lora"/>
          <w:b w:val="0"/>
          <w:i w:val="0"/>
          <w:color w:val="333333"/>
          <w:sz w:val="18"/>
        </w:rPr>
        <w:t>been developed and published by medical societies, gov-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ernment agencies, and other national or international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organizations that are relevant to the unapproved use.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may also include position statements, consensus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statements, clinical pathways, and other similarly termed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guidance that are evidence-based and provide specific </w:t>
      </w:r>
      <w:r>
        <w:rPr>
          <w:rFonts w:ascii="Arial" w:hAnsi="Arial" w:eastAsia="Lora"/>
          <w:b w:val="0"/>
          <w:i w:val="0"/>
          <w:color w:val="333333"/>
          <w:sz w:val="18"/>
        </w:rPr>
        <w:t>clinical recommendations. Focus on guideline recommen-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dations specific to the unapproved use, its comparators,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disease state, and how the unapproved use is anticipated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included in or influenced by the guidelines. Summarize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from clinical practice guidelines briefly and, if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feasible, provide a copy of the full guidelines on request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provide links to the original guidelines. The manufacturer </w:t>
      </w:r>
      <w:r>
        <w:rPr>
          <w:rFonts w:ascii="Arial" w:hAnsi="Arial" w:eastAsia="Lora"/>
          <w:b w:val="0"/>
          <w:i w:val="0"/>
          <w:color w:val="333333"/>
          <w:sz w:val="18"/>
        </w:rPr>
        <w:t>should describe how it included or excluded clinical prac-</w:t>
      </w:r>
      <w:r>
        <w:rPr>
          <w:rFonts w:ascii="Arial" w:hAnsi="Arial" w:eastAsia="Lora"/>
          <w:b w:val="0"/>
          <w:i w:val="0"/>
          <w:color w:val="333333"/>
          <w:sz w:val="18"/>
        </w:rPr>
        <w:t>tice guidelines in this section.</w:t>
      </w:r>
    </w:p>
    <w:p>
      <w:pPr>
        <w:autoSpaceDN w:val="0"/>
        <w:tabs>
          <w:tab w:pos="141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5.2C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HTAS AND SYSTEMATIC REVIEWS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Summarize relevant HTAs, systematic reviews, and evi-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dence frameworks (also known as value frameworks)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available. Examples include Cochrane Collaboration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systematic reviews, formal systematic reviews published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peer-reviewed journals, evidence reviews by AHRQ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PCORI, reports from ICER, and HTAs from recognized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public or private organizations, including international </w:t>
      </w:r>
      <w:r>
        <w:rPr>
          <w:rFonts w:ascii="Arial" w:hAnsi="Arial" w:eastAsia="Lora"/>
          <w:b w:val="0"/>
          <w:i w:val="0"/>
          <w:color w:val="333333"/>
          <w:sz w:val="18"/>
        </w:rPr>
        <w:t>bodies such as NICE and CADTH. Summarize the informa-</w:t>
      </w:r>
      <w:r>
        <w:rPr>
          <w:rFonts w:ascii="Arial" w:hAnsi="Arial" w:eastAsia="Lora"/>
          <w:b w:val="0"/>
          <w:i w:val="0"/>
          <w:color w:val="333333"/>
          <w:sz w:val="18"/>
        </w:rPr>
        <w:t>tion that is relevant to the unapproved use.</w:t>
      </w:r>
    </w:p>
    <w:p>
      <w:pPr>
        <w:autoSpaceDN w:val="0"/>
        <w:tabs>
          <w:tab w:pos="141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5.3C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COMPENDIA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Summarize important information found in compendia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are officially recognized by the Secretary of Health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Human Services that list the product. Since many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compendia publications are available only by subscription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are protected by copyrights, companies may not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able to provide PDF documents or reprints of the relevant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content, even if requested by HCDMs. Each manufacturer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determine its own process for handling requests for </w:t>
      </w:r>
      <w:r>
        <w:rPr>
          <w:rFonts w:ascii="Arial" w:hAnsi="Arial" w:eastAsia="Lora"/>
          <w:b w:val="0"/>
          <w:i w:val="0"/>
          <w:color w:val="333333"/>
          <w:sz w:val="18"/>
        </w:rPr>
        <w:t>reprints or copies of compendia information.</w:t>
      </w:r>
    </w:p>
    <w:p>
      <w:pPr>
        <w:autoSpaceDN w:val="0"/>
        <w:tabs>
          <w:tab w:pos="141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5.4C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OTHER ECONOMIC OR OUTCOMES EVIDENCE </w:t>
      </w:r>
      <w:r>
        <w:rPr>
          <w:rFonts w:ascii="Arial" w:hAnsi="Arial" w:eastAsia="Lora"/>
          <w:b w:val="0"/>
          <w:i w:val="0"/>
          <w:color w:val="333333"/>
          <w:sz w:val="18"/>
        </w:rPr>
        <w:t>Include published studies that result in economic evi-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dence or other outcomes that do not fit in Section 3.0C,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example, pharmacoeconomic, modeling, health care 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utilization, pharmacoequity, productivity studies, and real-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world evidence. Conduct and reporting of studies in this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section should follow accepted practice as evidenced by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published methodology and reporting guidelines from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reputable professional societies or government agencies. 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5.5C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EFFECT ON EQUITY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Phase III RCTs and cost-effectiveness analyses typically do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not address barriers to the equitable use of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the unapproved use. Such barriers may include, but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not limited to, access to specialists, health disparities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social barriers, stigma, and the patient’s ability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afford and utilize a medication. While health equity data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new interventions may initially be very limited, equity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considerations often have implications for value assessment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should be discussed. 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5.6C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EFFECT ON QUALITY MEASURES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is to accommodate information and research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where the unapproved use of the product has a potential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demonstrated effect on quality measures that may not fit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into any other sections as described by the AMCP Format. If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 information exists, this section is not applicable. 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5.7C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OTHER EVIDENCE OR INFORMATION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section is to accommodate other important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relevant evidence or information that may not fit into any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other sections as described by the AMCP Format. Examples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may include, but are not limited to, in vitro analytical tests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animal studies that demonstrate pharmacokinetics for </w:t>
      </w:r>
      <w:r>
        <w:rPr>
          <w:rFonts w:ascii="Arial" w:hAnsi="Arial" w:eastAsia="Lora"/>
          <w:b w:val="0"/>
          <w:i w:val="0"/>
          <w:color w:val="333333"/>
          <w:sz w:val="18"/>
        </w:rPr>
        <w:t>biosimilar products; other ancillary evidence that demon-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strates the uniqueness, benefits, or value of the product;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information regarding effects on patients’ families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caregivers. If no information exists, this section is not </w:t>
      </w:r>
      <w:r>
        <w:rPr>
          <w:rFonts w:ascii="Arial" w:hAnsi="Arial" w:eastAsia="Lora"/>
          <w:b w:val="0"/>
          <w:i w:val="0"/>
          <w:color w:val="333333"/>
          <w:sz w:val="18"/>
        </w:rPr>
        <w:t>applicable.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32"/>
        </w:rPr>
        <w:t>6.0C DOSSIER APPENDICES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following information is valuable to HCDMs and should </w:t>
      </w:r>
      <w:r>
        <w:rPr>
          <w:rFonts w:ascii="Arial" w:hAnsi="Arial" w:eastAsia="Lora"/>
          <w:b w:val="0"/>
          <w:i w:val="0"/>
          <w:color w:val="333333"/>
          <w:sz w:val="18"/>
        </w:rPr>
        <w:t>be included in Section 6.0C, when possible.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6.1C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REFERENCES CONTAINED IN DOSSIERS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citations for all known published clinical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studies in the bibliography section. Reprints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relevant published studies should be available on request,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where possible, links should be provided to original </w:t>
      </w:r>
      <w:r>
        <w:rPr>
          <w:rFonts w:ascii="Arial" w:hAnsi="Arial" w:eastAsia="Lora"/>
          <w:b w:val="0"/>
          <w:i w:val="0"/>
          <w:color w:val="333333"/>
          <w:sz w:val="18"/>
        </w:rPr>
        <w:t>sources if they are free.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158" w:right="2448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6.2C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ECONOMIC MODELS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Include economic models.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49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6.3C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PRODUCT PRESCRIBING INFORMATION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the FDA-approved PI and instructions for use for </w:t>
      </w:r>
      <w:r>
        <w:rPr>
          <w:rFonts w:ascii="Arial" w:hAnsi="Arial" w:eastAsia="Lora"/>
          <w:b w:val="0"/>
          <w:i w:val="0"/>
          <w:color w:val="333333"/>
          <w:sz w:val="18"/>
        </w:rPr>
        <w:t>the approved uses of the product.</w:t>
      </w: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6.4C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PATIENT INFORMATION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any patient information, such as patient PIs and </w:t>
      </w:r>
      <w:r>
        <w:rPr>
          <w:rFonts w:ascii="Arial" w:hAnsi="Arial" w:eastAsia="Lora"/>
          <w:b w:val="0"/>
          <w:i w:val="0"/>
          <w:color w:val="333333"/>
          <w:sz w:val="18"/>
        </w:rPr>
        <w:t>medication guides, for the approved uses of the product.</w:t>
      </w: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6.5C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 xml:space="preserve">MATERIAL SAFETY DATA SHEET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 or link to a Material Safety Data Sheet for the </w:t>
      </w:r>
      <w:r>
        <w:rPr>
          <w:rFonts w:ascii="Arial" w:hAnsi="Arial" w:eastAsia="Lora"/>
          <w:b w:val="0"/>
          <w:i w:val="0"/>
          <w:color w:val="333333"/>
          <w:sz w:val="18"/>
        </w:rPr>
        <w:t>product.</w:t>
      </w:r>
    </w:p>
    <w:p>
      <w:pPr>
        <w:autoSpaceDN w:val="0"/>
        <w:tabs>
          <w:tab w:pos="720" w:val="left"/>
        </w:tabs>
        <w:autoSpaceDE w:val="0"/>
        <w:widowControl/>
        <w:spacing w:line="276" w:lineRule="auto" w:before="0" w:after="200"/>
        <w:ind w:left="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6.6C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>APPENDICES SPECIFIC TO DTX PRODUCTS</w:t>
      </w:r>
    </w:p>
    <w:p>
      <w:pPr>
        <w:autoSpaceDN w:val="0"/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Privacy and data security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related to privacy and security is required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included in an AMCP dossier. Although the intended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audience of the dossier is HCDMs who may lack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expertise needed to thoroughly evaluate the privacy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data security specifications for DTx products, a thorough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evaluation of privacy and data security is required since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is essential to a comprehensive evaluation. Moreover,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review of privacy and safety may be performed prior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 evaluation of the clinical evidence by a P&amp;T committee </w:t>
      </w:r>
      <w:r>
        <w:rPr>
          <w:rFonts w:ascii="Arial" w:hAnsi="Arial" w:eastAsia="Lora"/>
          <w:b w:val="0"/>
          <w:i w:val="0"/>
          <w:color w:val="333333"/>
          <w:sz w:val="18"/>
        </w:rPr>
        <w:t>or body. If needed, HCDMs may seek additional exper-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tise from data information technology/security experts,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establish a DTx subcommittee, or have a separate group,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such as an innovation center, assist with DTx evaluation.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DTx manufacturers may work directly with HCDMs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integrate and implement DTx. Manufacturers may also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provide relevant links to related information (i.e., privacy </w:t>
      </w:r>
      <w:r>
        <w:rPr>
          <w:rFonts w:ascii="Arial" w:hAnsi="Arial" w:eastAsia="Lora"/>
          <w:b w:val="0"/>
          <w:i w:val="0"/>
          <w:color w:val="333333"/>
          <w:sz w:val="18"/>
        </w:rPr>
        <w:t>policies, terms of service).</w:t>
      </w:r>
    </w:p>
    <w:p>
      <w:pPr>
        <w:autoSpaceDN w:val="0"/>
        <w:tabs>
          <w:tab w:pos="360" w:val="left"/>
        </w:tabs>
        <w:autoSpaceDE w:val="0"/>
        <w:widowControl/>
        <w:spacing w:line="276" w:lineRule="auto" w:before="0" w:after="200"/>
        <w:ind w:left="180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Items to be addressed in a privacy and data security </w:t>
      </w:r>
      <w:r>
        <w:rPr>
          <w:rFonts w:ascii="Arial" w:hAnsi="Arial" w:eastAsia="Lora"/>
          <w:b w:val="0"/>
          <w:i w:val="0"/>
          <w:color w:val="333333"/>
          <w:sz w:val="18"/>
        </w:rPr>
        <w:t>appendix include the following: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Certifications (e.g., SOC 2, HITRUST, PCI DSS, ITIL, ISO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27001, CIPP)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Data encryption: software supports SSL encryption</w:t>
      </w:r>
      <w:r>
        <w:rPr>
          <w:rFonts w:ascii="Arial" w:hAnsi="Arial" w:eastAsia="Lora"/>
          <w:b w:val="0"/>
          <w:i w:val="0"/>
          <w:color w:val="333333"/>
          <w:sz w:val="18"/>
        </w:rPr>
        <w:t>• Antivirus software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Data protection security measures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Security information and event management solu-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 (SIEM), web application firewalls (WAF), SECOPS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monitoring, managed security providers (MSSPs), secu-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rity orchestration automation and response platforms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(SOAR)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Data backup and recovery solutions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Details on where data are stored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Processes for secure disposal of information technol-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ogy equipment and media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Intrusion detection systems (IDS) or intrusion preven-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tion systems (IPS) used.</w:t>
      </w:r>
    </w:p>
    <w:p>
      <w:pPr>
        <w:autoSpaceDN w:val="0"/>
        <w:autoSpaceDE w:val="0"/>
        <w:widowControl/>
        <w:spacing w:line="276" w:lineRule="auto" w:before="0" w:after="200"/>
        <w:ind w:left="180" w:right="216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Parental restrictions for minors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Data integrity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33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46" w:right="2592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Cybersecurity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Data privacy processes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Multifactor authentication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Ransomware protection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• Other hack prevention methods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Engagement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may specify how they define engagement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an optional appendix. Due to the wide variety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DTx products available, measures for engagement, user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satisfaction, and active users have not been standardized.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Furthermore, standard measures used for traditional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products, such as adherence and persistence, may 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apply to DTx products. If engagement measures were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used in clinical trials or real-world evidence, they may be </w:t>
      </w:r>
      <w:r>
        <w:rPr>
          <w:rFonts w:ascii="Arial" w:hAnsi="Arial" w:eastAsia="Lora"/>
          <w:b w:val="0"/>
          <w:i w:val="0"/>
          <w:color w:val="333333"/>
          <w:sz w:val="18"/>
        </w:rPr>
        <w:t>addressed in Section 3.0C or Section 5.0C.</w:t>
      </w:r>
    </w:p>
    <w:p>
      <w:pPr>
        <w:autoSpaceDN w:val="0"/>
        <w:autoSpaceDE w:val="0"/>
        <w:widowControl/>
        <w:spacing w:line="276" w:lineRule="auto" w:before="0" w:after="200"/>
        <w:ind w:left="246" w:right="576" w:firstLine="0"/>
        <w:jc w:val="left"/>
      </w:pPr>
      <w:r>
        <w:rPr>
          <w:rFonts w:ascii="Arial" w:hAnsi="Arial" w:eastAsia="Asap"/>
          <w:b w:val="0"/>
          <w:i w:val="0"/>
          <w:color w:val="333333"/>
          <w:sz w:val="18"/>
        </w:rPr>
        <w:t xml:space="preserve">Screenshots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Screenshots of the patient-facing or clinician-facing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application may be included in the dossier as an optional </w:t>
      </w:r>
      <w:r>
        <w:rPr>
          <w:rFonts w:ascii="Arial" w:hAnsi="Arial" w:eastAsia="Lora"/>
          <w:b w:val="0"/>
          <w:i w:val="0"/>
          <w:color w:val="333333"/>
          <w:sz w:val="18"/>
        </w:rPr>
        <w:t>appendix. If included, the version number of the applica-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must be stated. Links to external websites intended </w:t>
      </w:r>
      <w:r>
        <w:rPr>
          <w:rFonts w:ascii="Arial" w:hAnsi="Arial" w:eastAsia="Lora"/>
          <w:b w:val="0"/>
          <w:i w:val="0"/>
          <w:color w:val="333333"/>
          <w:sz w:val="18"/>
        </w:rPr>
        <w:t>for health care professionals may also be included.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334" w:space="0"/>
            <w:col w:w="582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50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698" w:right="2448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 xml:space="preserve">Appendix A  Pre-Approval Information </w:t>
      </w:r>
      <w:r>
        <w:rPr>
          <w:rFonts w:ascii="Arial" w:hAnsi="Arial" w:eastAsia="Asap"/>
          <w:b w:val="0"/>
          <w:i w:val="0"/>
          <w:color w:val="333333"/>
          <w:sz w:val="48"/>
        </w:rPr>
        <w:t>Exchange Guidance</w:t>
      </w: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AMCP has a well-established history of supporting appropri-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ate PIE to provide opportunities for critical, early scientific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dialogue regarding new treatments and new indications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existing treatments. As early as 2016 with the publication </w:t>
      </w:r>
      <w:r>
        <w:rPr>
          <w:rFonts w:ascii="Arial" w:hAnsi="Arial" w:eastAsia="Lora"/>
          <w:b w:val="0"/>
          <w:i w:val="0"/>
          <w:color w:val="333333"/>
          <w:sz w:val="18"/>
        </w:rPr>
        <w:t>of the AMCP Format Version 4.0,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75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the AMCP Format has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addressed this need. More recently, the AMCP Format </w:t>
      </w:r>
      <w:r>
        <w:rPr>
          <w:rFonts w:ascii="Arial" w:hAnsi="Arial" w:eastAsia="Lora"/>
          <w:b w:val="0"/>
          <w:i w:val="0"/>
          <w:color w:val="333333"/>
          <w:sz w:val="18"/>
        </w:rPr>
        <w:t>Version 4.1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10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provided detailed guidance for unapproved </w:t>
      </w:r>
      <w:r>
        <w:rPr>
          <w:rFonts w:ascii="Arial" w:hAnsi="Arial" w:eastAsia="Lora"/>
          <w:b w:val="0"/>
          <w:i w:val="0"/>
          <w:color w:val="333333"/>
          <w:sz w:val="18"/>
        </w:rPr>
        <w:t>products and unapproved uses.</w:t>
      </w:r>
    </w:p>
    <w:p>
      <w:pPr>
        <w:autoSpaceDN w:val="0"/>
        <w:tabs>
          <w:tab w:pos="878" w:val="left"/>
        </w:tabs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Today, many manufacturers have pursued PIE with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HCDMs, using the AMCP Format, as well as other means </w:t>
      </w:r>
      <w:r>
        <w:rPr>
          <w:rFonts w:ascii="Arial" w:hAnsi="Arial" w:eastAsia="Lora"/>
          <w:b w:val="0"/>
          <w:i w:val="0"/>
          <w:color w:val="333333"/>
          <w:sz w:val="18"/>
        </w:rPr>
        <w:t>such as with the use of PIE communication tools.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76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These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tools support useful bi-directional communication. Two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external milestones have provided additional support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pre-approval dialogue between manufacturers and HCDMs. </w:t>
      </w:r>
      <w:r>
        <w:rPr>
          <w:rFonts w:ascii="Arial" w:hAnsi="Arial" w:eastAsia="Lora"/>
          <w:b w:val="0"/>
          <w:i w:val="0"/>
          <w:color w:val="333333"/>
          <w:sz w:val="18"/>
        </w:rPr>
        <w:t>First, in 2018, the FDA published guidance on appropri-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ate communications between manufacturers and payers, </w:t>
      </w:r>
      <w:r>
        <w:rPr>
          <w:rFonts w:ascii="Arial" w:hAnsi="Arial" w:eastAsia="Lora"/>
          <w:b w:val="0"/>
          <w:i w:val="0"/>
          <w:color w:val="333333"/>
          <w:sz w:val="18"/>
        </w:rPr>
        <w:t>including PIE.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3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Second, the PIE Act was passed in December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2022, amending the Federal Food, Drug, and Cosmetic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Act to provide explicit legal protection for manufacturers </w:t>
      </w:r>
      <w:r>
        <w:rPr>
          <w:rFonts w:ascii="Arial" w:hAnsi="Arial" w:eastAsia="Lora"/>
          <w:b w:val="0"/>
          <w:i w:val="0"/>
          <w:color w:val="333333"/>
          <w:sz w:val="18"/>
        </w:rPr>
        <w:t>conveying certain information about products in develop-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 to HCDMs, including unapproved uses of approved </w:t>
      </w:r>
      <w:r>
        <w:rPr>
          <w:rFonts w:ascii="Arial" w:hAnsi="Arial" w:eastAsia="Lora"/>
          <w:b w:val="0"/>
          <w:i w:val="0"/>
          <w:color w:val="333333"/>
          <w:sz w:val="18"/>
        </w:rPr>
        <w:t>products.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 xml:space="preserve">4,77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AMCP applauds the passage of the PIE Act and rec-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ognizes the important balance of maintaining flexibility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manufacturer communications with HCDM needs. </w:t>
      </w:r>
      <w:r>
        <w:rPr>
          <w:rFonts w:ascii="Arial" w:hAnsi="Arial" w:eastAsia="Lora"/>
          <w:b w:val="0"/>
          <w:i w:val="0"/>
          <w:color w:val="333333"/>
          <w:sz w:val="18"/>
        </w:rPr>
        <w:t>Notwithstanding the vehicle for pre-approval communica-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tions, AMCP urges manufacturers to keep HCDM priorities </w:t>
      </w:r>
      <w:r>
        <w:rPr>
          <w:rFonts w:ascii="Arial" w:hAnsi="Arial" w:eastAsia="Lora"/>
          <w:b w:val="0"/>
          <w:i w:val="0"/>
          <w:color w:val="333333"/>
          <w:sz w:val="18"/>
        </w:rPr>
        <w:t>in mind and provide accurate, balanced, scientific informa-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that is transparent in its disclosure of limitations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uncertainties. This will help enable payer decision-making, </w:t>
      </w:r>
      <w:r>
        <w:rPr>
          <w:rFonts w:ascii="Arial" w:hAnsi="Arial" w:eastAsia="Lora"/>
          <w:b w:val="0"/>
          <w:i w:val="0"/>
          <w:color w:val="333333"/>
          <w:sz w:val="18"/>
        </w:rPr>
        <w:t>ultimately expediting patient access to new, needed medi-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cations.  While the AMCP Format is a more holistic approach </w:t>
      </w:r>
      <w:r>
        <w:rPr>
          <w:rFonts w:ascii="Arial" w:hAnsi="Arial" w:eastAsia="Lora"/>
          <w:b w:val="0"/>
          <w:i w:val="0"/>
          <w:color w:val="333333"/>
          <w:sz w:val="18"/>
        </w:rPr>
        <w:t>to conveying pre-approval product information, AMCP sup-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ports the use of PIE communication tools as an alternative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aligns with the goals of the PIE Act. 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Given the importance of PIE to HCDMs in carrying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out their responsibilities regarding budget forecasting,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formulary decision-making, and facilitating patient access, </w:t>
      </w:r>
      <w:r>
        <w:rPr>
          <w:rFonts w:ascii="Arial" w:hAnsi="Arial" w:eastAsia="Lora"/>
          <w:b w:val="0"/>
          <w:i w:val="0"/>
          <w:color w:val="333333"/>
          <w:sz w:val="18"/>
        </w:rPr>
        <w:t>manufacturers should prioritize early, meaningful com-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munications about products expected to have significant </w:t>
      </w:r>
      <w:r>
        <w:rPr>
          <w:rFonts w:ascii="Arial" w:hAnsi="Arial" w:eastAsia="Lora"/>
          <w:b w:val="0"/>
          <w:i w:val="0"/>
          <w:color w:val="333333"/>
          <w:sz w:val="18"/>
        </w:rPr>
        <w:t>impact on organizational budgets.  This may include prod-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ucts targeting a clinical area that previously did not have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treatment options, chronic disease states with increasing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prevalence, and products with novel mechanisms of action.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Because products in development will differ in terms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their budget impact to HCDMs, communication timelines 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tabs>
          <w:tab w:pos="336" w:val="left"/>
          <w:tab w:pos="516" w:val="left"/>
          <w:tab w:pos="696" w:val="left"/>
        </w:tabs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and content should be tailored to reflect those impacts.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are encouraged to proactively engage with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HCDMs in a timely fashion to support critical planning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processes. The communication timeline could vary from 6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12 months prior to anticipated FDA approval, depending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product characteristics and potential budget impact.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included in PIE should include the following: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Information from ongoing and completed trials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Unmet need/epidemiology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Inclusion and exclusion criteria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Study design and interventions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Primary and secondary endpoints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Known results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Important timeline information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Anticipated FDA submissions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Expected approval and launch dates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Information relevant to patient access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REMS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Limited or restricted distribution plans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>Anticipated limitations on pharmacies or administra-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sites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ppleSymbols"/>
          <w:b w:val="0"/>
          <w:i w:val="0"/>
          <w:color w:val="333333"/>
          <w:sz w:val="18"/>
        </w:rPr>
        <w:t>⚬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Unusual monitoring or administration requirements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(e.g., first-dose monitoring, novel observation proce-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dures, prolonged administration times)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 encourages a continuing dialogue between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and HCDMs as new information becomes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available.  These interactions should be viewed holistically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regard to conveying the previously identified PIE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concepts, and manufacturers should ensure that follow-up </w:t>
      </w:r>
      <w:r>
        <w:rPr>
          <w:rFonts w:ascii="Arial" w:hAnsi="Arial" w:eastAsia="Lora"/>
          <w:b w:val="0"/>
          <w:i w:val="0"/>
          <w:color w:val="333333"/>
          <w:sz w:val="18"/>
        </w:rPr>
        <w:t>interactions with HCDMs are efficient in updating informa-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previously provided. </w:t>
      </w:r>
    </w:p>
    <w:p>
      <w:pPr>
        <w:autoSpaceDN w:val="0"/>
        <w:autoSpaceDE w:val="0"/>
        <w:widowControl/>
        <w:spacing w:line="276" w:lineRule="auto" w:before="0" w:after="200"/>
        <w:ind w:left="156" w:right="0" w:firstLine="18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Manufacturers should be mindful of prior communica-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 with HCDMs and provide meaningful, timely updates </w:t>
      </w:r>
      <w:r>
        <w:rPr>
          <w:rFonts w:ascii="Arial" w:hAnsi="Arial" w:eastAsia="Lora"/>
          <w:b w:val="0"/>
          <w:i w:val="0"/>
          <w:color w:val="333333"/>
          <w:sz w:val="18"/>
        </w:rPr>
        <w:t>as appropriate.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42.0" w:type="dxa"/>
      </w:tblPr>
      <w:tblGrid>
        <w:gridCol w:w="4871"/>
        <w:gridCol w:w="4871"/>
      </w:tblGrid>
      <w:tr>
        <w:trPr>
          <w:trHeight w:hRule="exact" w:val="38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51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>Appendix B  Additional Terms and Definitions</w:t>
      </w:r>
    </w:p>
    <w:p>
      <w:pPr>
        <w:spacing w:line="276" w:lineRule="auto" w:after="200" w:before="0"/>
        <w:sectPr>
          <w:pgSz w:w="11880" w:h="15660"/>
          <w:pgMar w:top="360" w:right="0" w:bottom="266" w:left="6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2" w:right="156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Biosimilar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 biosimilar is a biological product that “is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highly similar to the reference product notwithstanding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minor differences in clinically inactive components”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has “no clinically meaningful differences between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biological product and the reference product in terms of </w:t>
      </w:r>
      <w:r>
        <w:rPr>
          <w:rFonts w:ascii="Arial" w:hAnsi="Arial" w:eastAsia="Lora"/>
          <w:b w:val="0"/>
          <w:i w:val="0"/>
          <w:color w:val="333333"/>
          <w:sz w:val="18"/>
        </w:rPr>
        <w:t>the safety, purity, and potency of the product.”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15</w:t>
      </w:r>
    </w:p>
    <w:p>
      <w:pPr>
        <w:autoSpaceDN w:val="0"/>
        <w:autoSpaceDE w:val="0"/>
        <w:widowControl/>
        <w:spacing w:line="276" w:lineRule="auto" w:before="0" w:after="200"/>
        <w:ind w:left="22" w:right="156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Budget Impact Models: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A budget impact model estimates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expected changes in the expenditure of a health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care system after the adoption of a new intervention in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payer-relevant time frame. Budget impact models provide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means of synthesizing available knowledge to estimate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likely financial consequences of adopting an intervention, </w:t>
      </w:r>
      <w:r>
        <w:rPr>
          <w:rFonts w:ascii="Arial" w:hAnsi="Arial" w:eastAsia="Lora"/>
          <w:b w:val="0"/>
          <w:i w:val="0"/>
          <w:color w:val="333333"/>
          <w:sz w:val="18"/>
        </w:rPr>
        <w:t>typically from a payer perspective.</w:t>
      </w:r>
    </w:p>
    <w:p>
      <w:pPr>
        <w:autoSpaceDN w:val="0"/>
        <w:autoSpaceDE w:val="0"/>
        <w:widowControl/>
        <w:spacing w:line="276" w:lineRule="auto" w:before="0" w:after="200"/>
        <w:ind w:left="22" w:right="156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Care Pathways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Care pathways have been used widely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health care, and while definitions vary, care pathways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generally characterized as a method of patient care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management that is based on clinical practice guidelines,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 the objectives of improving quality of care, reducing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variation in clinical practice, and improving the allocation </w:t>
      </w:r>
      <w:r>
        <w:rPr>
          <w:rFonts w:ascii="Arial" w:hAnsi="Arial" w:eastAsia="Lora"/>
          <w:b w:val="0"/>
          <w:i w:val="0"/>
          <w:color w:val="333333"/>
          <w:sz w:val="18"/>
        </w:rPr>
        <w:t>of health care resources.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78</w:t>
      </w:r>
    </w:p>
    <w:p>
      <w:pPr>
        <w:autoSpaceDN w:val="0"/>
        <w:autoSpaceDE w:val="0"/>
        <w:widowControl/>
        <w:spacing w:line="276" w:lineRule="auto" w:before="0" w:after="200"/>
        <w:ind w:left="22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Comparative Effectiveness Research (CER)</w:t>
      </w:r>
      <w:r>
        <w:rPr>
          <w:rFonts w:ascii="Arial" w:hAnsi="Arial" w:eastAsia="Lora"/>
          <w:b w:val="0"/>
          <w:i w:val="0"/>
          <w:color w:val="333333"/>
          <w:sz w:val="18"/>
        </w:rPr>
        <w:t>: The genera-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and synthesis of evidence that compares the benefits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harms of alternative methods to prevent, diagnose,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treat, and monitor a clinical condition or to improve the </w:t>
      </w:r>
      <w:r>
        <w:rPr>
          <w:rFonts w:ascii="Arial" w:hAnsi="Arial" w:eastAsia="Lora"/>
          <w:b w:val="0"/>
          <w:i w:val="0"/>
          <w:color w:val="333333"/>
          <w:sz w:val="18"/>
        </w:rPr>
        <w:t>delivery of care. The purpose of CER is to assist consum-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ers, clinicians, purchasers, and policymakers with making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informed decisions that will improve health care at both the </w:t>
      </w:r>
      <w:r>
        <w:rPr>
          <w:rFonts w:ascii="Arial" w:hAnsi="Arial" w:eastAsia="Lora"/>
          <w:b w:val="0"/>
          <w:i w:val="0"/>
          <w:color w:val="333333"/>
          <w:sz w:val="18"/>
        </w:rPr>
        <w:t>individual and  population levels.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79</w:t>
      </w:r>
    </w:p>
    <w:p>
      <w:pPr>
        <w:autoSpaceDN w:val="0"/>
        <w:autoSpaceDE w:val="0"/>
        <w:widowControl/>
        <w:spacing w:line="276" w:lineRule="auto" w:before="0" w:after="200"/>
        <w:ind w:left="22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Companion Diagnostic Test (CDT)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CDTs have been defined </w:t>
      </w:r>
      <w:r>
        <w:rPr>
          <w:rFonts w:ascii="Arial" w:hAnsi="Arial" w:eastAsia="Lora"/>
          <w:b w:val="0"/>
          <w:i w:val="0"/>
          <w:color w:val="333333"/>
          <w:sz w:val="18"/>
        </w:rPr>
        <w:t>in various ways.</w:t>
      </w:r>
    </w:p>
    <w:p>
      <w:pPr>
        <w:autoSpaceDN w:val="0"/>
        <w:tabs>
          <w:tab w:pos="202" w:val="left"/>
          <w:tab w:pos="382" w:val="left"/>
        </w:tabs>
        <w:autoSpaceDE w:val="0"/>
        <w:widowControl/>
        <w:spacing w:line="276" w:lineRule="auto" w:before="0" w:after="200"/>
        <w:ind w:left="22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FDA describes a CDT as one that provides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essential for the safe and effective use of a corresponding </w:t>
      </w:r>
      <w:r>
        <w:rPr>
          <w:rFonts w:ascii="Arial" w:hAnsi="Arial" w:eastAsia="Lora"/>
          <w:b w:val="0"/>
          <w:i w:val="0"/>
          <w:color w:val="333333"/>
          <w:sz w:val="18"/>
        </w:rPr>
        <w:t>therapeutic product.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24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More generally, a CDT is defined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test that provides information that improves the safety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effectiveness of a pharmaceutical or biologic. CDTs can be </w:t>
      </w:r>
      <w:r>
        <w:rPr>
          <w:rFonts w:ascii="Arial" w:hAnsi="Arial" w:eastAsia="Lora"/>
          <w:b w:val="0"/>
          <w:i w:val="0"/>
          <w:color w:val="333333"/>
          <w:sz w:val="18"/>
        </w:rPr>
        <w:t>used to: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Identify patients who are most likely to benefit from 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particular therapeutic product.</w:t>
      </w:r>
    </w:p>
    <w:p>
      <w:pPr>
        <w:autoSpaceDN w:val="0"/>
        <w:autoSpaceDE w:val="0"/>
        <w:widowControl/>
        <w:spacing w:line="276" w:lineRule="auto" w:before="0" w:after="200"/>
        <w:ind w:left="382" w:right="156" w:hanging="18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Identify patients likely to be at an increased risk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serious adverse reactions because of treatment with a </w:t>
      </w:r>
      <w:r>
        <w:rPr>
          <w:rFonts w:ascii="Arial" w:hAnsi="Arial" w:eastAsia="Lora"/>
          <w:b w:val="0"/>
          <w:i w:val="0"/>
          <w:color w:val="333333"/>
          <w:sz w:val="18"/>
        </w:rPr>
        <w:t>therapeutic product.</w:t>
      </w:r>
    </w:p>
    <w:p>
      <w:pPr>
        <w:autoSpaceDN w:val="0"/>
        <w:tabs>
          <w:tab w:pos="202" w:val="left"/>
          <w:tab w:pos="382" w:val="left"/>
        </w:tabs>
        <w:autoSpaceDE w:val="0"/>
        <w:widowControl/>
        <w:spacing w:line="276" w:lineRule="auto" w:before="0" w:after="200"/>
        <w:ind w:left="22" w:right="144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Monitor patient response to treatment for the purpose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of adjusting the treatment (e.g., schedule, dose, discon-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tinuation) to achieve improved safety or effectiveness.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CDTs (both in vitro diagnostic and medical imaging) may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assess the presence of molecular biomarkers including the </w:t>
      </w:r>
      <w:r>
        <w:rPr>
          <w:rFonts w:ascii="Arial" w:hAnsi="Arial" w:eastAsia="Lora"/>
          <w:b w:val="0"/>
          <w:i w:val="0"/>
          <w:color w:val="333333"/>
          <w:sz w:val="18"/>
        </w:rPr>
        <w:t>following forms: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698" w:header="720" w:footer="720" w:gutter="0"/>
          <w:cols w:num="2" w:equalWidth="0">
            <w:col w:w="5266" w:space="0"/>
            <w:col w:w="5916" w:space="0"/>
          </w:cols>
          <w:docGrid w:linePitch="360"/>
        </w:sectPr>
      </w:pP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Genomic/epigenomic (deoxyribonucleic acid-based)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biomarkers.</w:t>
      </w:r>
    </w:p>
    <w:p>
      <w:pPr>
        <w:autoSpaceDN w:val="0"/>
        <w:autoSpaceDE w:val="0"/>
        <w:widowControl/>
        <w:spacing w:line="276" w:lineRule="auto" w:before="0" w:after="200"/>
        <w:ind w:left="336" w:right="86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Transcriptomic (ribonucleic acid-based) biomarkers.</w:t>
      </w:r>
      <w:r>
        <w:rPr>
          <w:rFonts w:ascii="Arial" w:hAnsi="Arial" w:eastAsia="Lora"/>
          <w:b w:val="0"/>
          <w:i w:val="0"/>
          <w:color w:val="333333"/>
          <w:sz w:val="18"/>
        </w:rPr>
        <w:t>• Proteomic (protein-based) biomarkers.</w:t>
      </w:r>
    </w:p>
    <w:p>
      <w:pPr>
        <w:autoSpaceDN w:val="0"/>
        <w:autoSpaceDE w:val="0"/>
        <w:widowControl/>
        <w:spacing w:line="276" w:lineRule="auto" w:before="0" w:after="200"/>
        <w:ind w:left="33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• Metabolomic (metabolite-based) biomarkers.</w:t>
      </w:r>
    </w:p>
    <w:p>
      <w:pPr>
        <w:autoSpaceDN w:val="0"/>
        <w:autoSpaceDE w:val="0"/>
        <w:widowControl/>
        <w:spacing w:line="276" w:lineRule="auto" w:before="0" w:after="200"/>
        <w:ind w:left="156" w:right="672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Cost-benefit Analysis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An analytical technique derived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from economic theory that enumerates and compares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net costs of a health care intervention with the benefits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arise because of applying that intervention. For this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technique, both the net costs and the benefits of the health </w:t>
      </w:r>
      <w:r>
        <w:rPr>
          <w:rFonts w:ascii="Arial" w:hAnsi="Arial" w:eastAsia="Lora"/>
          <w:b w:val="0"/>
          <w:i w:val="0"/>
          <w:color w:val="333333"/>
          <w:sz w:val="18"/>
        </w:rPr>
        <w:t>intervention are expressed in monetary units.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156" w:right="672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Cost-consequence Analysis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An analytical technique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compares the health intervention of interest to one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more relevant alternatives, listing the cost components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various outcomes of each intervention separately. This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type of economic analysis does not indicate the relative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importance of the components listed and leaves it to the </w:t>
      </w:r>
      <w:r>
        <w:rPr>
          <w:rFonts w:ascii="Arial" w:hAnsi="Arial" w:eastAsia="Lora"/>
          <w:b w:val="0"/>
          <w:i w:val="0"/>
          <w:color w:val="333333"/>
          <w:sz w:val="18"/>
        </w:rPr>
        <w:t>decision-maker to form their own view.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144" w:right="576" w:firstLine="0"/>
        <w:jc w:val="center"/>
      </w:pPr>
      <w:r>
        <w:rPr>
          <w:rFonts w:ascii="Arial" w:hAnsi="Arial" w:eastAsia="Lora"/>
          <w:b/>
          <w:i w:val="0"/>
          <w:color w:val="333333"/>
          <w:sz w:val="18"/>
        </w:rPr>
        <w:t>Cost-effectiveness Analysis</w:t>
      </w:r>
      <w:r>
        <w:rPr>
          <w:rFonts w:ascii="Arial" w:hAnsi="Arial" w:eastAsia="Lora"/>
          <w:b w:val="0"/>
          <w:i w:val="0"/>
          <w:color w:val="333333"/>
          <w:sz w:val="18"/>
        </w:rPr>
        <w:t>: A systematic method of com-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paring two or more alternative programs by measuring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costs and consequences of each. A distinguishing feature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cost-effectiveness analysis is that the consequences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(health outcomes) of all programs to be compared must be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measured in the same common units—natural units related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the clinical objective of the programs (e.g., symptom-free </w:t>
      </w:r>
      <w:r>
        <w:rPr>
          <w:rFonts w:ascii="Arial" w:hAnsi="Arial" w:eastAsia="Lora"/>
          <w:b w:val="0"/>
          <w:i w:val="0"/>
          <w:color w:val="333333"/>
          <w:sz w:val="18"/>
        </w:rPr>
        <w:t>days gained, cases prevented, quality of life-years gained).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156" w:right="672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Cost-minimization Analysis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 type of pharmacoeconomic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analysis comparing two alternative therapies only in terms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costs because their outcomes (effectiveness and safety) </w:t>
      </w:r>
      <w:r>
        <w:rPr>
          <w:rFonts w:ascii="Arial" w:hAnsi="Arial" w:eastAsia="Lora"/>
          <w:b w:val="0"/>
          <w:i w:val="0"/>
          <w:color w:val="333333"/>
          <w:sz w:val="18"/>
        </w:rPr>
        <w:t>are found to be or expected to be identical.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156" w:right="672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Cost-utility Analysis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 specific type of cost-effectiveness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analysis that compares two or more alternative choices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terms of both their costs and outcomes, where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outcomes are measures of utility or preference, often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quality-adjusted life-years gained. Cost-utility analysis has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been considered the standard methodology for evaluating </w:t>
      </w:r>
      <w:r>
        <w:rPr>
          <w:rFonts w:ascii="Arial" w:hAnsi="Arial" w:eastAsia="Lora"/>
          <w:b w:val="0"/>
          <w:i w:val="0"/>
          <w:color w:val="333333"/>
          <w:sz w:val="18"/>
        </w:rPr>
        <w:t>the cost-effectiveness of health care choices.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Decision Analysis</w:t>
      </w:r>
      <w:r>
        <w:rPr>
          <w:rFonts w:ascii="Arial" w:hAnsi="Arial" w:eastAsia="Lora"/>
          <w:b w:val="0"/>
          <w:i w:val="0"/>
          <w:color w:val="333333"/>
          <w:sz w:val="18"/>
        </w:rPr>
        <w:t>: A quantitative approach to decision-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making under conditions of uncertainty in which all relevant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elements of the decision—alternative actions, chance events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(along with their probabilities of occurrence), and final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consequences—are stated explicitly in a model. Multiple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types of data can be incorporated from a variety of sources.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This model typically takes the form of a decision tree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 influence diagram and permits the decision-maker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systematically determine the relative value of alternative </w:t>
      </w:r>
      <w:r>
        <w:rPr>
          <w:rFonts w:ascii="Arial" w:hAnsi="Arial" w:eastAsia="Lora"/>
          <w:b w:val="0"/>
          <w:i w:val="0"/>
          <w:color w:val="333333"/>
          <w:sz w:val="18"/>
        </w:rPr>
        <w:t>courses of action.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698" w:header="720" w:footer="720" w:gutter="0"/>
          <w:cols w:num="2" w:equalWidth="0">
            <w:col w:w="5266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52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156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Decision Tree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 schematic diagram depicting the logical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structure of a choice under conditions of uncertainty,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including all relevant alternative decisions available to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decision-maker as well as the values and probabilities of all </w:t>
      </w:r>
      <w:r>
        <w:rPr>
          <w:rFonts w:ascii="Arial" w:hAnsi="Arial" w:eastAsia="Lora"/>
          <w:b w:val="0"/>
          <w:i w:val="0"/>
          <w:color w:val="333333"/>
          <w:sz w:val="18"/>
        </w:rPr>
        <w:t>relevant downstream consequences.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698" w:right="156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Digital Therapeutics: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Health software intended to treat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alleviate a disease, disorder, condition, or injury by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generating and delivering a medical intervention that has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demonstrable positive therapeutic impact on a patient’s </w:t>
      </w:r>
      <w:r>
        <w:rPr>
          <w:rFonts w:ascii="Arial" w:hAnsi="Arial" w:eastAsia="Lora"/>
          <w:b w:val="0"/>
          <w:i w:val="0"/>
          <w:color w:val="333333"/>
          <w:sz w:val="18"/>
        </w:rPr>
        <w:t>health.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54,81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Effectiveness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The actual effects of treatment by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under “real life” conditions (e.g., patients not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always remembering to take their doses, physicians often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prescribing doses less than the lowest FDA recommended </w:t>
      </w:r>
      <w:r>
        <w:rPr>
          <w:rFonts w:ascii="Arial" w:hAnsi="Arial" w:eastAsia="Lora"/>
          <w:b w:val="0"/>
          <w:i w:val="0"/>
          <w:color w:val="333333"/>
          <w:sz w:val="18"/>
        </w:rPr>
        <w:t>dose, side effects not all controlled). Head-to-head effec-</w:t>
      </w:r>
      <w:r>
        <w:rPr>
          <w:rFonts w:ascii="Arial" w:hAnsi="Arial" w:eastAsia="Lora"/>
          <w:b w:val="0"/>
          <w:i w:val="0"/>
          <w:color w:val="333333"/>
          <w:sz w:val="18"/>
        </w:rPr>
        <w:t>tiveness studies with similar products are preferable.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Efficacy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The </w:t>
      </w:r>
      <w:r>
        <w:rPr>
          <w:rFonts w:ascii="Arial" w:hAnsi="Arial" w:eastAsia="Lora"/>
          <w:b w:val="0"/>
          <w:i/>
          <w:color w:val="333333"/>
          <w:sz w:val="18"/>
        </w:rPr>
        <w:t>potential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effects of treatment by the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under optimal circumstances (e.g., patients all taking their </w:t>
      </w:r>
      <w:r>
        <w:rPr>
          <w:rFonts w:ascii="Arial" w:hAnsi="Arial" w:eastAsia="Lora"/>
          <w:b w:val="0"/>
          <w:i w:val="0"/>
          <w:color w:val="333333"/>
          <w:sz w:val="18"/>
        </w:rPr>
        <w:t>doses at the right times, physicians prescribing FDA-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recommended doses, side effects appropriately monitored).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Efficacy studies are typically the foundation of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submissions to the FDA. Studies that compare the efficacy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therapeutic alternatives, rather than to placebo, are </w:t>
      </w:r>
      <w:r>
        <w:rPr>
          <w:rFonts w:ascii="Arial" w:hAnsi="Arial" w:eastAsia="Lora"/>
          <w:b w:val="0"/>
          <w:i w:val="0"/>
          <w:color w:val="333333"/>
          <w:sz w:val="18"/>
        </w:rPr>
        <w:t>preferable.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Evidence-based Medicine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An approach to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decision-making in which the decision-maker is aware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all the relevant evidence and its strengths and weaknesses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is then able to apply that knowledge to decisions.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Evidence-based medicine, therefore, consists of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expertise and patient preferences combined with critical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appraisal of clinical research, with the goal of providing </w:t>
      </w:r>
      <w:r>
        <w:rPr>
          <w:rFonts w:ascii="Arial" w:hAnsi="Arial" w:eastAsia="Lora"/>
          <w:b w:val="0"/>
          <w:i w:val="0"/>
          <w:color w:val="333333"/>
          <w:sz w:val="18"/>
        </w:rPr>
        <w:t>optimal individual patient care. Optimal care thus consid-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ers patient outcomes and the relative efficiencies among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competing alternatives, as demonstrated in the medical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literature. This approach to patient care demands that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decision-maker’s expertise and the appraisal of the clinical </w:t>
      </w:r>
      <w:r>
        <w:rPr>
          <w:rFonts w:ascii="Arial" w:hAnsi="Arial" w:eastAsia="Lora"/>
          <w:b w:val="0"/>
          <w:i w:val="0"/>
          <w:color w:val="333333"/>
          <w:sz w:val="18"/>
        </w:rPr>
        <w:t>evidence base are up to date.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82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Evidence-based Medicine—Alternative Definition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conscientious, explicit, and judicious use of current best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evidence in making decisions about the care of individual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patients. The practice of evidence- based medicine means </w:t>
      </w:r>
      <w:r>
        <w:rPr>
          <w:rFonts w:ascii="Arial" w:hAnsi="Arial" w:eastAsia="Lora"/>
          <w:b w:val="0"/>
          <w:i w:val="0"/>
          <w:color w:val="333333"/>
          <w:sz w:val="18"/>
        </w:rPr>
        <w:t>integrating individual clinical expertise with the best avail-</w:t>
      </w:r>
      <w:r>
        <w:rPr>
          <w:rFonts w:ascii="Arial" w:hAnsi="Arial" w:eastAsia="Lora"/>
          <w:b w:val="0"/>
          <w:i w:val="0"/>
          <w:color w:val="333333"/>
          <w:sz w:val="18"/>
        </w:rPr>
        <w:t>able external clinical evidence from systematic research.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Formulary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 periodically updated list of medications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related products and therapies that includes information </w:t>
      </w:r>
      <w:r>
        <w:rPr>
          <w:rFonts w:ascii="Arial" w:hAnsi="Arial" w:eastAsia="Lora"/>
          <w:b w:val="0"/>
          <w:i w:val="0"/>
          <w:color w:val="333333"/>
          <w:sz w:val="18"/>
        </w:rPr>
        <w:t>representing the clinical judgment of physicians, pharma-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cists, and other experts in the diagnosis and treatment of </w:t>
      </w:r>
      <w:r>
        <w:rPr>
          <w:rFonts w:ascii="Arial" w:hAnsi="Arial" w:eastAsia="Lora"/>
          <w:b w:val="0"/>
          <w:i w:val="0"/>
          <w:color w:val="333333"/>
          <w:sz w:val="18"/>
        </w:rPr>
        <w:t>disease and promotion of health.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20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Formulary System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An ongoing process whereby a health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care system, through its physicians, pharmacists, and other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health care professionals, identifies and establishes policies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use of drugs and related products and therapies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the most medically appropriate and cost-effective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best serve the health interests of the patient populations it </w:t>
      </w:r>
      <w:r>
        <w:rPr>
          <w:rFonts w:ascii="Arial" w:hAnsi="Arial" w:eastAsia="Lora"/>
          <w:b w:val="0"/>
          <w:i w:val="0"/>
          <w:color w:val="333333"/>
          <w:sz w:val="18"/>
        </w:rPr>
        <w:t>represents.</w:t>
      </w:r>
    </w:p>
    <w:p>
      <w:pPr>
        <w:autoSpaceDN w:val="0"/>
        <w:autoSpaceDE w:val="0"/>
        <w:widowControl/>
        <w:spacing w:line="276" w:lineRule="auto" w:before="0" w:after="200"/>
        <w:ind w:left="156" w:right="20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Health Economics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 discipline that analyzes the economic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aspects of health and health care and that usually focuses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costs (inputs) and the consequences (outputs)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health care interventions using methods and theories from </w:t>
      </w:r>
      <w:r>
        <w:rPr>
          <w:rFonts w:ascii="Arial" w:hAnsi="Arial" w:eastAsia="Lora"/>
          <w:b w:val="0"/>
          <w:i w:val="0"/>
          <w:color w:val="333333"/>
          <w:sz w:val="18"/>
        </w:rPr>
        <w:t>economics and medicine.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Health-related Quality of Life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 broad theoretical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construct developed to explain and organize measures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concerned with the evaluation of health status, attitudes, </w:t>
      </w:r>
      <w:r>
        <w:rPr>
          <w:rFonts w:ascii="Arial" w:hAnsi="Arial" w:eastAsia="Lora"/>
          <w:b w:val="0"/>
          <w:i w:val="0"/>
          <w:color w:val="333333"/>
          <w:sz w:val="18"/>
        </w:rPr>
        <w:t>values, perceived levels of satisfaction, and general well-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being with respect to either specific health conditions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life from the individual’s perspective. (See Patient-reported </w:t>
      </w:r>
      <w:r>
        <w:rPr>
          <w:rFonts w:ascii="Arial" w:hAnsi="Arial" w:eastAsia="Lora"/>
          <w:b w:val="0"/>
          <w:i w:val="0"/>
          <w:color w:val="333333"/>
          <w:sz w:val="18"/>
        </w:rPr>
        <w:t>Outcomes.)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Incremental Cost-effectiveness Ratio (ICER)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ICER is a </w:t>
      </w:r>
      <w:r>
        <w:rPr>
          <w:rFonts w:ascii="Arial" w:hAnsi="Arial" w:eastAsia="Lora"/>
          <w:b w:val="0"/>
          <w:i w:val="0"/>
          <w:color w:val="333333"/>
          <w:sz w:val="18"/>
        </w:rPr>
        <w:t>common metric used to evaluate results of cost-effective-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ness and cost-utility analyses. ICER is the difference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costs divided by the difference in outcomes between two </w:t>
      </w:r>
      <w:r>
        <w:rPr>
          <w:rFonts w:ascii="Arial" w:hAnsi="Arial" w:eastAsia="Lora"/>
          <w:b w:val="0"/>
          <w:i w:val="0"/>
          <w:color w:val="333333"/>
          <w:sz w:val="18"/>
        </w:rPr>
        <w:t>comparators.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Interchangeable Biosimilar</w:t>
      </w:r>
      <w:r>
        <w:rPr>
          <w:rFonts w:ascii="Arial" w:hAnsi="Arial" w:eastAsia="Lora"/>
          <w:b w:val="0"/>
          <w:i w:val="0"/>
          <w:color w:val="333333"/>
          <w:sz w:val="18"/>
        </w:rPr>
        <w:t>: The standard for “interchange-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ability” includes (1) biosimilarity to the reference product,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(2) demonstration that the product “can be expected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produce the same clinical result as the reference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any given patient,” and (3) proof that the risk in terms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safety or diminishing efficacy of alternating between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biosimilar and reference product is not greater than the risk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continuous use of the reference product. Interchangeable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biosimilars may be substituted for the reference product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without prescriber intervention, though differences in state </w:t>
      </w:r>
      <w:r>
        <w:rPr>
          <w:rFonts w:ascii="Arial" w:hAnsi="Arial" w:eastAsia="Lora"/>
          <w:b w:val="0"/>
          <w:i w:val="0"/>
          <w:color w:val="333333"/>
          <w:sz w:val="18"/>
        </w:rPr>
        <w:t>laws limit the generalizability of automatic substitution.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15</w:t>
      </w:r>
    </w:p>
    <w:p>
      <w:pPr>
        <w:autoSpaceDN w:val="0"/>
        <w:autoSpaceDE w:val="0"/>
        <w:widowControl/>
        <w:spacing w:line="276" w:lineRule="auto" w:before="0" w:after="200"/>
        <w:ind w:left="156" w:right="20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Markov Model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 complex health economics treatment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 that describes the natural history of particular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diseases, with or without treatment. To capture all critical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events, Markov models can categorize health status with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higher level of detail and divide the model’s time perspective </w:t>
      </w:r>
      <w:r>
        <w:rPr>
          <w:rFonts w:ascii="Arial" w:hAnsi="Arial" w:eastAsia="Lora"/>
          <w:b w:val="0"/>
          <w:i w:val="0"/>
          <w:color w:val="333333"/>
          <w:sz w:val="18"/>
        </w:rPr>
        <w:t>into finer intervals than is possible with decision trees.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156" w:right="20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Model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In the context of health care evaluation, a model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 analytic methodology that accounts for events over time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across populations, that is based on data drawn from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primary and secondary sources, and whose purpose is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estimate the effects of an intervention on valued health </w:t>
      </w:r>
      <w:r>
        <w:rPr>
          <w:rFonts w:ascii="Arial" w:hAnsi="Arial" w:eastAsia="Lora"/>
          <w:b w:val="0"/>
          <w:i w:val="0"/>
          <w:color w:val="333333"/>
          <w:sz w:val="18"/>
        </w:rPr>
        <w:t>consequences and costs.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83</w:t>
      </w: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Modeling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The development of a simplified representation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a system (e.g., population). A particular model may be 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20.0" w:type="dxa"/>
      </w:tblPr>
      <w:tblGrid>
        <w:gridCol w:w="4860"/>
        <w:gridCol w:w="4860"/>
      </w:tblGrid>
      <w:tr>
        <w:trPr>
          <w:trHeight w:hRule="exact" w:val="36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53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analytical, visual, or both. In pharmacoeconomics specifi-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cally, or health economics in general, analytical models can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 used to pose and answer questions about interventions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that cannot be directly answered by clinical trials because </w:t>
      </w:r>
      <w:r>
        <w:rPr>
          <w:rFonts w:ascii="Arial" w:hAnsi="Arial" w:eastAsia="Lora"/>
          <w:b w:val="0"/>
          <w:i w:val="0"/>
          <w:color w:val="333333"/>
          <w:sz w:val="18"/>
        </w:rPr>
        <w:t>of time and financial constraints.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Outcomes Research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The scientific discipline that evaluates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effect of health care interventions on patient-related,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if not patient-specific, clinical, humanistic, and economic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outcomes. Outcomes research is generally based on the </w:t>
      </w:r>
      <w:r>
        <w:rPr>
          <w:rFonts w:ascii="Arial" w:hAnsi="Arial" w:eastAsia="Lora"/>
          <w:b w:val="0"/>
          <w:i w:val="0"/>
          <w:color w:val="333333"/>
          <w:sz w:val="18"/>
        </w:rPr>
        <w:t>conceptual framework that evaluation of treatment alter-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natives involves the simultaneous assessment of multiple </w:t>
      </w:r>
      <w:r>
        <w:rPr>
          <w:rFonts w:ascii="Arial" w:hAnsi="Arial" w:eastAsia="Lora"/>
          <w:b w:val="0"/>
          <w:i w:val="0"/>
          <w:color w:val="333333"/>
          <w:sz w:val="18"/>
        </w:rPr>
        <w:t>types of outcomes that are disease related.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0" w:right="144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Patient-reported Outcomes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An umbrella term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includes outcome data reported directly by the patient. It is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one source of data that may be used to describe a patient’s </w:t>
      </w:r>
      <w:r>
        <w:rPr>
          <w:rFonts w:ascii="Arial" w:hAnsi="Arial" w:eastAsia="Lora"/>
          <w:b w:val="0"/>
          <w:i w:val="0"/>
          <w:color w:val="333333"/>
          <w:sz w:val="18"/>
        </w:rPr>
        <w:t>condition and response to treatment. It includes such out-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comes as global impressions, functional status, well-being,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symptoms, health-related quality of life, satisfaction with </w:t>
      </w:r>
      <w:r>
        <w:rPr>
          <w:rFonts w:ascii="Arial" w:hAnsi="Arial" w:eastAsia="Lora"/>
          <w:b w:val="0"/>
          <w:i w:val="0"/>
          <w:color w:val="333333"/>
          <w:sz w:val="18"/>
        </w:rPr>
        <w:t>treatment, and treatment adherence.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0" w:right="156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Pharmacoeconomics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The scientific discipline that assesses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overall value of pharmaceutical health care products,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services, and programs. Of necessity, it addresses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clinical, humanistic, and economic aspects of health care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interventions in the prevention, diagnosis, treatment,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management of disease. Pharmacoeconomics thus provides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critical to the optimal allocation of health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care resources. The field encompasses experts in health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economics, risk analysis, technology assessment, clinical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evaluation, epidemiology, decision analysis, and health </w:t>
      </w:r>
      <w:r>
        <w:rPr>
          <w:rFonts w:ascii="Arial" w:hAnsi="Arial" w:eastAsia="Lora"/>
          <w:b w:val="0"/>
          <w:i w:val="0"/>
          <w:color w:val="333333"/>
          <w:sz w:val="18"/>
        </w:rPr>
        <w:t>services research.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0" w:right="156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Pharmacoequity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Ensuring that all individuals, regardless </w:t>
      </w:r>
      <w:r>
        <w:rPr>
          <w:rFonts w:ascii="Arial" w:hAnsi="Arial" w:eastAsia="Lora"/>
          <w:b w:val="0"/>
          <w:i w:val="0"/>
          <w:color w:val="333333"/>
          <w:sz w:val="18"/>
        </w:rPr>
        <w:t>of race and ethnicity,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socioeconomic status, or availability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resources, have access to the highest-quality medical </w:t>
      </w:r>
      <w:r>
        <w:rPr>
          <w:rFonts w:ascii="Arial" w:hAnsi="Arial" w:eastAsia="Lora"/>
          <w:b w:val="0"/>
          <w:i w:val="0"/>
          <w:color w:val="333333"/>
          <w:sz w:val="18"/>
        </w:rPr>
        <w:t>therapy required to manage their health needs.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84,85</w:t>
      </w:r>
    </w:p>
    <w:p>
      <w:pPr>
        <w:autoSpaceDN w:val="0"/>
        <w:autoSpaceDE w:val="0"/>
        <w:widowControl/>
        <w:spacing w:line="276" w:lineRule="auto" w:before="0" w:after="200"/>
        <w:ind w:left="0" w:right="156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Prescription Digital Therapeutics (PDTs)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Product, device,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internet application, or other technology that (1) is cleared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approved under section 510(k), 513(f)(2), or 515 of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Federal Food, Drug, and Cosmetic Act; (2) has a cleared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approved indication for the prevention, management,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treatment of a medical disease, condition, or disorder;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(3) primarily uses software to achieve its intended result;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(4) is a device that is exempt from section 502(f)(1)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Federal Food, Drug, and Cosmetic Act under section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801.109 of title 21 of the Code of Federal Regulations (or any </w:t>
      </w:r>
      <w:r>
        <w:rPr>
          <w:rFonts w:ascii="Arial" w:hAnsi="Arial" w:eastAsia="Lora"/>
          <w:b w:val="0"/>
          <w:i w:val="0"/>
          <w:color w:val="333333"/>
          <w:sz w:val="18"/>
        </w:rPr>
        <w:t>successor regulation).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86,87</w:t>
      </w:r>
    </w:p>
    <w:p>
      <w:pPr>
        <w:autoSpaceDN w:val="0"/>
        <w:autoSpaceDE w:val="0"/>
        <w:widowControl/>
        <w:spacing w:line="276" w:lineRule="auto" w:before="0" w:after="200"/>
        <w:ind w:left="0" w:right="156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Quality-adjusted Life-year (QALY)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 universal health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outcome measure applicable to all individuals and all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diseases, thereby enabling comparisons across diseases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across programs. A QALY combines, in a single measure,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gains or losses in both quantity of life (mortality) and quality </w:t>
      </w:r>
      <w:r>
        <w:rPr>
          <w:rFonts w:ascii="Arial" w:hAnsi="Arial" w:eastAsia="Lora"/>
          <w:b w:val="0"/>
          <w:i w:val="0"/>
          <w:color w:val="333333"/>
          <w:sz w:val="18"/>
        </w:rPr>
        <w:t>of life (morbidity).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72</w:t>
      </w:r>
    </w:p>
    <w:p>
      <w:pPr>
        <w:autoSpaceDN w:val="0"/>
        <w:autoSpaceDE w:val="0"/>
        <w:widowControl/>
        <w:spacing w:line="276" w:lineRule="auto" w:before="0" w:after="200"/>
        <w:ind w:left="156" w:right="672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Real-world Data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Data relating to patient health status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and/or the delivery of health care routinely collected from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variety of sources. Examples of real-world data include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data derived from electronic health records, medical claims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data, data from product or disease registries, and data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gathered from other sources (such as DHTs) that can inform </w:t>
      </w:r>
      <w:r>
        <w:rPr>
          <w:rFonts w:ascii="Arial" w:hAnsi="Arial" w:eastAsia="Lora"/>
          <w:b w:val="0"/>
          <w:i w:val="0"/>
          <w:color w:val="333333"/>
          <w:sz w:val="18"/>
        </w:rPr>
        <w:t>on health status.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88</w:t>
      </w:r>
    </w:p>
    <w:p>
      <w:pPr>
        <w:autoSpaceDN w:val="0"/>
        <w:autoSpaceDE w:val="0"/>
        <w:widowControl/>
        <w:spacing w:line="276" w:lineRule="auto" w:before="0" w:after="200"/>
        <w:ind w:left="156" w:right="672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Real-world Evidence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The clinical evidence about the usage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potential benefits or risks of a medical product derived </w:t>
      </w:r>
      <w:r>
        <w:rPr>
          <w:rFonts w:ascii="Arial" w:hAnsi="Arial" w:eastAsia="Lora"/>
          <w:b w:val="0"/>
          <w:i w:val="0"/>
          <w:color w:val="333333"/>
          <w:sz w:val="18"/>
        </w:rPr>
        <w:t>from analysis of real-world data.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88</w:t>
      </w:r>
    </w:p>
    <w:p>
      <w:pPr>
        <w:autoSpaceDN w:val="0"/>
        <w:tabs>
          <w:tab w:pos="336" w:val="left"/>
          <w:tab w:pos="516" w:val="left"/>
        </w:tabs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Rule of Rescue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 term applied to the ethical imperative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 save individual lives regardless of the cost if rescue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measures are available. Regarding the distribution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health care services, the rule of rescue supplements rather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than substitutes for the evidence-based consideration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comparative cost-effectiveness. For example, Australia’s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Pharmaceutical Benefits Advisory Committee considers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rule of  rescue a relevant factor when the cost-effectiveness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>level is unacceptable, along with the following: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• No alternative pharmacological or nonpharmacological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intervention exists to treat patients with the identified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condition.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The defined condition must be severe, progressive,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expected to lead to premature death.</w:t>
      </w:r>
    </w:p>
    <w:p>
      <w:pPr>
        <w:autoSpaceDN w:val="0"/>
        <w:tabs>
          <w:tab w:pos="516" w:val="left"/>
        </w:tabs>
        <w:autoSpaceDE w:val="0"/>
        <w:widowControl/>
        <w:spacing w:line="276" w:lineRule="auto" w:before="0" w:after="200"/>
        <w:ind w:left="33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• The defined condition applies to only a very small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number of patients.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89</w:t>
      </w:r>
    </w:p>
    <w:p>
      <w:pPr>
        <w:autoSpaceDN w:val="0"/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Sensitivity Analysis</w:t>
      </w:r>
      <w:r>
        <w:rPr>
          <w:rFonts w:ascii="Arial" w:hAnsi="Arial" w:eastAsia="Lora"/>
          <w:b w:val="0"/>
          <w:i w:val="0"/>
          <w:color w:val="333333"/>
          <w:sz w:val="18"/>
        </w:rPr>
        <w:t>: A way to analyze the effect of uncer-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tainty in an economic analysis or a decision (see Decision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Analysis and Modeling). The simplest form of sensitivity </w:t>
      </w:r>
      <w:r>
        <w:rPr>
          <w:rFonts w:ascii="Arial" w:hAnsi="Arial" w:eastAsia="Lora"/>
          <w:b w:val="0"/>
          <w:i w:val="0"/>
          <w:color w:val="333333"/>
          <w:sz w:val="18"/>
        </w:rPr>
        <w:t>analysis is a one-way analysis where the value of one vari-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able is changed while keeping the other variables constant, </w:t>
      </w:r>
      <w:r>
        <w:rPr>
          <w:rFonts w:ascii="Arial" w:hAnsi="Arial" w:eastAsia="Lora"/>
          <w:b w:val="0"/>
          <w:i w:val="0"/>
          <w:color w:val="333333"/>
          <w:sz w:val="18"/>
        </w:rPr>
        <w:t>and the effect on results is evaluated.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autoSpaceDN w:val="0"/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Lora"/>
          <w:b/>
          <w:i w:val="0"/>
          <w:color w:val="333333"/>
          <w:sz w:val="18"/>
        </w:rPr>
        <w:t>Specialty Pharmaceuticals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There is no generally accepted </w:t>
      </w:r>
      <w:r>
        <w:rPr>
          <w:rFonts w:ascii="Arial" w:hAnsi="Arial" w:eastAsia="Lora"/>
          <w:b w:val="0"/>
          <w:i w:val="0"/>
          <w:color w:val="333333"/>
          <w:sz w:val="18"/>
        </w:rPr>
        <w:t>definition of specialty pharmaceuticals; however, for pur-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poses of the AMCP Format, a product may be considered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specialty pharmaceutical if it requires a difficult 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unusual process of delivery to the patient (preparation,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handling, storage, inventory, distribution, REMS programs,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data collection, or administration) or patient management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before or following administration (monitoring, disease, or </w:t>
      </w:r>
      <w:r>
        <w:rPr>
          <w:rFonts w:ascii="Arial" w:hAnsi="Arial" w:eastAsia="Lora"/>
          <w:b w:val="0"/>
          <w:i w:val="0"/>
          <w:color w:val="333333"/>
          <w:sz w:val="18"/>
        </w:rPr>
        <w:t>therapeutic support systems).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90</w:t>
      </w:r>
    </w:p>
    <w:p>
      <w:pPr>
        <w:autoSpaceDN w:val="0"/>
        <w:autoSpaceDE w:val="0"/>
        <w:widowControl/>
        <w:spacing w:line="276" w:lineRule="auto" w:before="0" w:after="200"/>
        <w:ind w:left="156" w:right="672" w:firstLine="0"/>
        <w:jc w:val="both"/>
      </w:pPr>
      <w:r>
        <w:rPr>
          <w:rFonts w:ascii="Arial" w:hAnsi="Arial" w:eastAsia="Lora"/>
          <w:b/>
          <w:i w:val="0"/>
          <w:color w:val="333333"/>
          <w:sz w:val="18"/>
        </w:rPr>
        <w:t>Tornado Diagram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: A set of one-way sensitivity analyses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displayed in a single graph, with the most critical variable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terms of effect at the top of the graph and the rest ranked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according to their effect thereafter, hence, the “tornado” or </w:t>
      </w:r>
      <w:r>
        <w:rPr>
          <w:rFonts w:ascii="Arial" w:hAnsi="Arial" w:eastAsia="Lora"/>
          <w:b w:val="0"/>
          <w:i w:val="0"/>
          <w:color w:val="333333"/>
          <w:sz w:val="18"/>
        </w:rPr>
        <w:t>funnel appearance of the graph.</w:t>
      </w:r>
      <w:r>
        <w:rPr>
          <w:color w:val="333333"/>
          <w:w w:val="104.94000434875488"/>
          <w:rFonts w:ascii="Arial" w:hAnsi="Arial" w:eastAsia="Lora"/>
          <w:b w:val="0"/>
          <w:i w:val="0"/>
          <w:sz w:val="10"/>
        </w:rPr>
        <w:t>80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20" w:header="720" w:footer="720" w:gutter="0"/>
          <w:cols w:num="2" w:equalWidth="0">
            <w:col w:w="524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62"/>
        <w:gridCol w:w="3262"/>
        <w:gridCol w:w="3262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54</w:t>
            </w:r>
          </w:p>
        </w:tc>
        <w:tc>
          <w:tcPr>
            <w:tcW w:type="dxa" w:w="83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  <w:tr>
        <w:trPr>
          <w:trHeight w:hRule="exact" w:val="1498"/>
        </w:trPr>
        <w:tc>
          <w:tcPr>
            <w:tcW w:type="dxa" w:w="3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2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48"/>
              </w:rPr>
              <w:t xml:space="preserve">Appendix C </w:t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0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48"/>
              </w:rPr>
              <w:t xml:space="preserve">Sample Unsolicited </w:t>
            </w:r>
          </w:p>
        </w:tc>
      </w:tr>
      <w:tr>
        <w:trPr>
          <w:trHeight w:hRule="exact" w:val="650"/>
        </w:trPr>
        <w:tc>
          <w:tcPr>
            <w:tcW w:type="dxa" w:w="9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720" w:right="0" w:firstLine="0"/>
              <w:jc w:val="left"/>
            </w:pPr>
            <w:r>
              <w:rPr>
                <w:rFonts w:ascii="Arial" w:hAnsi="Arial" w:eastAsia="Asap"/>
                <w:b w:val="0"/>
                <w:i w:val="0"/>
                <w:color w:val="333333"/>
                <w:sz w:val="48"/>
              </w:rPr>
              <w:t>Request Letter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[Date]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Medical Information/Medical Communications Department [Name of Company]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[Address]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[City, State, Zip Code]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Dear [Name]:</w:t>
      </w:r>
    </w:p>
    <w:p>
      <w:pPr>
        <w:autoSpaceDN w:val="0"/>
        <w:autoSpaceDE w:val="0"/>
        <w:widowControl/>
        <w:spacing w:line="276" w:lineRule="auto" w:before="0" w:after="200"/>
        <w:ind w:left="698" w:right="20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[Organization name] has adopted the AMCP Format for Formulary Submissions detailing the process and evidentiary needs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the provision of clinical and economic information to support formulary consideration. Please consider this letter as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 unsolicited request for an AMCP Format Product Dossier for your product [Name of Product or Products here]. Per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 Format, the dossier should contain all available medical, economic, and other scientific information (including any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unpublished or off-label study data that are to be considered by our organization) and pharmacoeconomic modeling on all </w:t>
      </w:r>
      <w:r>
        <w:rPr>
          <w:rFonts w:ascii="Arial" w:hAnsi="Arial" w:eastAsia="Lora"/>
          <w:b w:val="0"/>
          <w:i w:val="0"/>
          <w:color w:val="333333"/>
          <w:sz w:val="18"/>
        </w:rPr>
        <w:t>comparator products that we consider for formulary inclusion or as part of therapeutic class reviews.</w:t>
      </w:r>
    </w:p>
    <w:p>
      <w:pPr>
        <w:autoSpaceDN w:val="0"/>
        <w:autoSpaceDE w:val="0"/>
        <w:widowControl/>
        <w:spacing w:line="276" w:lineRule="auto" w:before="0" w:after="200"/>
        <w:ind w:left="698" w:right="20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In addition, we request that you provide, for a period of 6 months, any new published or unpublished information on labeled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unlabeled uses that is specific to the information requested herein that may serve to further inform our decisions on the </w:t>
      </w:r>
      <w:r>
        <w:rPr>
          <w:rFonts w:ascii="Arial" w:hAnsi="Arial" w:eastAsia="Lora"/>
          <w:b w:val="0"/>
          <w:i w:val="0"/>
          <w:color w:val="333333"/>
          <w:sz w:val="18"/>
        </w:rPr>
        <w:t>use of this product.</w:t>
      </w:r>
    </w:p>
    <w:p>
      <w:pPr>
        <w:autoSpaceDN w:val="0"/>
        <w:autoSpaceDE w:val="0"/>
        <w:widowControl/>
        <w:spacing w:line="276" w:lineRule="auto" w:before="0" w:after="200"/>
        <w:ind w:left="698" w:right="20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We consider this unsolicited request to represent the desired information to accompany a formulary submission.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should submit a complete dossier well before they expect the product to be considered for formulary review.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Our goal is to enable the [Organization Name] Pharmacy and Therapeutics Committee to make optimal evidence-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value-based decisions when selecting preferred treatment options. The AMCP Format describes a standardized template for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manufacturers to construct and submit a formulary dossier. The dossier is designed to make the product evaluation process </w:t>
      </w:r>
      <w:r>
        <w:rPr>
          <w:rFonts w:ascii="Arial" w:hAnsi="Arial" w:eastAsia="Lora"/>
          <w:b w:val="0"/>
          <w:i w:val="0"/>
          <w:color w:val="333333"/>
          <w:sz w:val="18"/>
        </w:rPr>
        <w:t>in formulary development more complete, evidence-based, and rational.</w:t>
      </w:r>
    </w:p>
    <w:p>
      <w:pPr>
        <w:autoSpaceDN w:val="0"/>
        <w:autoSpaceDE w:val="0"/>
        <w:widowControl/>
        <w:spacing w:line="276" w:lineRule="auto" w:before="0" w:after="200"/>
        <w:ind w:left="698" w:right="20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By submitting this request, we recognize that confidential information may be provided. We also recognize the need to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respect and honor commercial-in-confidence information and may be willing to sign necessary confidentiality agreements </w:t>
      </w:r>
      <w:r>
        <w:rPr>
          <w:rFonts w:ascii="Arial" w:hAnsi="Arial" w:eastAsia="Lora"/>
          <w:b w:val="0"/>
          <w:i w:val="0"/>
          <w:color w:val="333333"/>
          <w:sz w:val="18"/>
        </w:rPr>
        <w:t>under agreed circumstances.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If you require additional information, please call [XXXX]. 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Sincerely,</w:t>
      </w:r>
    </w:p>
    <w:p>
      <w:pPr>
        <w:spacing w:line="276" w:lineRule="auto" w:after="200" w:before="0"/>
        <w:sectPr>
          <w:pgSz w:w="11880" w:h="15660"/>
          <w:pgMar w:top="360" w:right="65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30.0" w:type="dxa"/>
      </w:tblPr>
      <w:tblGrid>
        <w:gridCol w:w="4865"/>
        <w:gridCol w:w="4865"/>
      </w:tblGrid>
      <w:tr>
        <w:trPr>
          <w:trHeight w:hRule="exact" w:val="38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55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10" w:right="5904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 xml:space="preserve">Appendix D Formulary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 w:val="0"/>
          <w:i w:val="0"/>
          <w:color w:val="333333"/>
          <w:sz w:val="48"/>
        </w:rPr>
        <w:t>Monograph Template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3243"/>
        <w:gridCol w:w="3243"/>
        <w:gridCol w:w="3243"/>
      </w:tblGrid>
      <w:tr>
        <w:trPr>
          <w:trHeight w:hRule="exact" w:val="790"/>
        </w:trPr>
        <w:tc>
          <w:tcPr>
            <w:tcW w:type="dxa" w:w="5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0" w:right="216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 xml:space="preserve">INDIVIDUAL PRODUCT REVIEW </w:t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Generic Name: [Name]</w:t>
            </w:r>
          </w:p>
        </w:tc>
        <w:tc>
          <w:tcPr>
            <w:tcW w:type="dxa" w:w="5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88" w:right="432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Authorship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References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30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>ABBREVIATIONS USED IN THIS MONOGRAPH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300" w:right="288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 xml:space="preserve">EXECUTIVE SUMMARY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Lora"/>
                <w:b/>
                <w:i/>
                <w:color w:val="333333"/>
                <w:sz w:val="18"/>
              </w:rPr>
              <w:t xml:space="preserve">Summary of Key Questions/Issues and Results of </w:t>
            </w:r>
            <w:r>
              <w:rPr>
                <w:rFonts w:ascii="Arial" w:hAnsi="Arial" w:eastAsia="Lora"/>
                <w:b/>
                <w:i/>
                <w:color w:val="333333"/>
                <w:sz w:val="18"/>
              </w:rPr>
              <w:t>Investigation</w:t>
            </w:r>
          </w:p>
        </w:tc>
      </w:tr>
      <w:tr>
        <w:trPr>
          <w:trHeight w:hRule="exact" w:val="400"/>
        </w:trPr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0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Brand Name: 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60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[Name]</w:t>
            </w:r>
          </w:p>
        </w:tc>
        <w:tc>
          <w:tcPr>
            <w:tcW w:type="dxa" w:w="3243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0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Company: 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880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[Text]</w:t>
            </w:r>
          </w:p>
        </w:tc>
        <w:tc>
          <w:tcPr>
            <w:tcW w:type="dxa" w:w="3243"/>
            <w:vMerge/>
            <w:tcBorders/>
          </w:tcPr>
          <w:p/>
        </w:tc>
      </w:tr>
      <w:tr>
        <w:trPr>
          <w:trHeight w:hRule="exact" w:val="1096"/>
        </w:trPr>
        <w:tc>
          <w:tcPr>
            <w:tcW w:type="dxa" w:w="5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0" w:right="144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Date of Review: [Month/Year] Reason for Review: [Text] </w:t>
            </w: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>TABLE OF CONTENTS</w:t>
            </w:r>
          </w:p>
        </w:tc>
        <w:tc>
          <w:tcPr>
            <w:tcW w:type="dxa" w:w="324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71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Executive Summary </w:t>
      </w:r>
    </w:p>
    <w:p>
      <w:pPr>
        <w:autoSpaceDN w:val="0"/>
        <w:autoSpaceDE w:val="0"/>
        <w:widowControl/>
        <w:spacing w:line="276" w:lineRule="auto" w:before="0" w:after="200"/>
        <w:ind w:left="1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Recommendations </w:t>
      </w:r>
    </w:p>
    <w:p>
      <w:pPr>
        <w:autoSpaceDN w:val="0"/>
        <w:autoSpaceDE w:val="0"/>
        <w:widowControl/>
        <w:spacing w:line="276" w:lineRule="auto" w:before="0" w:after="200"/>
        <w:ind w:left="1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Key Questions/Issues:</w:t>
      </w:r>
    </w:p>
    <w:p>
      <w:pPr>
        <w:autoSpaceDN w:val="0"/>
        <w:autoSpaceDE w:val="0"/>
        <w:widowControl/>
        <w:spacing w:line="276" w:lineRule="auto" w:before="0" w:after="200"/>
        <w:ind w:left="190" w:right="86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Issue 1: Efficacy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Issue 2: Comparative Effectiveness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Issue 3: Safety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Issue 4: Value Proposition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Issue 5: Cost-effective Patient Subgroups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10" w:header="720" w:footer="720" w:gutter="0"/>
          <w:cols w:num="2" w:equalWidth="0">
            <w:col w:w="4546" w:space="0"/>
            <w:col w:w="6624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864" w:right="680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[Text. The answers to key questions should be no more than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 paragraph of modest length. If no evidence was found to </w:t>
      </w:r>
      <w:r>
        <w:rPr>
          <w:rFonts w:ascii="Arial" w:hAnsi="Arial" w:eastAsia="Lora"/>
          <w:b w:val="0"/>
          <w:i w:val="0"/>
          <w:color w:val="333333"/>
          <w:sz w:val="18"/>
        </w:rPr>
        <w:t>answer a particular question, state “No evidence found.”]</w:t>
      </w:r>
    </w:p>
    <w:p>
      <w:pPr>
        <w:autoSpaceDN w:val="0"/>
        <w:autoSpaceDE w:val="0"/>
        <w:widowControl/>
        <w:spacing w:line="276" w:lineRule="auto" w:before="0" w:after="200"/>
        <w:ind w:left="864" w:right="0" w:firstLine="0"/>
        <w:jc w:val="left"/>
      </w:pPr>
      <w:r>
        <w:rPr>
          <w:rFonts w:ascii="Arial" w:hAnsi="Arial" w:eastAsia="Lora"/>
          <w:b/>
          <w:i/>
          <w:color w:val="333333"/>
          <w:sz w:val="18"/>
        </w:rPr>
        <w:t>Issue 1: What is the evidence of efficacy from clinical trials?</w:t>
      </w:r>
    </w:p>
    <w:p>
      <w:pPr>
        <w:autoSpaceDN w:val="0"/>
        <w:autoSpaceDE w:val="0"/>
        <w:widowControl/>
        <w:spacing w:line="276" w:lineRule="auto" w:before="0" w:after="200"/>
        <w:ind w:left="864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[Text]</w:t>
      </w:r>
    </w:p>
    <w:p>
      <w:pPr>
        <w:autoSpaceDN w:val="0"/>
        <w:autoSpaceDE w:val="0"/>
        <w:widowControl/>
        <w:spacing w:line="276" w:lineRule="auto" w:before="0" w:after="200"/>
        <w:ind w:left="864" w:right="576" w:firstLine="0"/>
        <w:jc w:val="left"/>
      </w:pPr>
      <w:r>
        <w:rPr>
          <w:rFonts w:ascii="Arial" w:hAnsi="Arial" w:eastAsia="Lora"/>
          <w:b/>
          <w:i/>
          <w:color w:val="333333"/>
          <w:sz w:val="18"/>
        </w:rPr>
        <w:t xml:space="preserve">Issue 2: Is there sufficient evidence to assess real-world </w:t>
      </w:r>
      <w:r>
        <w:rPr>
          <w:rFonts w:ascii="Arial" w:hAnsi="Arial" w:eastAsia="Lora"/>
          <w:b/>
          <w:i/>
          <w:color w:val="333333"/>
          <w:sz w:val="18"/>
        </w:rPr>
        <w:t>comparative effectiveness?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10" w:header="720" w:footer="720" w:gutter="0"/>
          <w:cols w:num="2" w:equalWidth="0">
            <w:col w:w="4546" w:space="0"/>
            <w:col w:w="6624" w:space="0"/>
          </w:cols>
          <w:docGrid w:linePitch="360"/>
        </w:sectPr>
      </w:pPr>
    </w:p>
    <w:p>
      <w:pPr>
        <w:autoSpaceDN w:val="0"/>
        <w:tabs>
          <w:tab w:pos="5410" w:val="left"/>
        </w:tabs>
        <w:autoSpaceDE w:val="0"/>
        <w:widowControl/>
        <w:spacing w:line="276" w:lineRule="auto" w:before="0" w:after="200"/>
        <w:ind w:left="1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Tables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[Text]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10" w:header="720" w:footer="720" w:gutter="0"/>
          <w:cols/>
          <w:docGrid w:linePitch="360"/>
        </w:sectPr>
      </w:pPr>
    </w:p>
    <w:p>
      <w:pPr>
        <w:autoSpaceDN w:val="0"/>
        <w:tabs>
          <w:tab w:pos="190" w:val="left"/>
        </w:tabs>
        <w:autoSpaceDE w:val="0"/>
        <w:widowControl/>
        <w:spacing w:line="276" w:lineRule="auto" w:before="0" w:after="200"/>
        <w:ind w:left="10" w:right="72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 Evidence Summary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Validation of Instruments Used in Studies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Cost-effectiveness Evidence Summary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Disease Background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Treatment Alternatives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Background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10" w:header="720" w:footer="720" w:gutter="0"/>
          <w:cols w:num="2" w:equalWidth="0">
            <w:col w:w="4594" w:space="0"/>
            <w:col w:w="657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816" w:right="0" w:firstLine="0"/>
        <w:jc w:val="left"/>
      </w:pPr>
      <w:r>
        <w:rPr>
          <w:rFonts w:ascii="Arial" w:hAnsi="Arial" w:eastAsia="Lora"/>
          <w:b w:val="0"/>
          <w:i/>
          <w:color w:val="333333"/>
          <w:sz w:val="18"/>
        </w:rPr>
        <w:t>I</w:t>
      </w:r>
      <w:r>
        <w:rPr>
          <w:rFonts w:ascii="Arial" w:hAnsi="Arial" w:eastAsia="Lora"/>
          <w:b/>
          <w:i/>
          <w:color w:val="333333"/>
          <w:sz w:val="18"/>
        </w:rPr>
        <w:t>ssue 3: What is the evidence of safety?</w:t>
      </w:r>
    </w:p>
    <w:p>
      <w:pPr>
        <w:autoSpaceDN w:val="0"/>
        <w:autoSpaceDE w:val="0"/>
        <w:widowControl/>
        <w:spacing w:line="276" w:lineRule="auto" w:before="0" w:after="200"/>
        <w:ind w:left="816" w:right="1008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[Text]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/>
          <w:i/>
          <w:color w:val="333333"/>
          <w:sz w:val="18"/>
        </w:rPr>
        <w:t>Issue 4: What is the value proposition for this product?</w:t>
      </w:r>
    </w:p>
    <w:p>
      <w:pPr>
        <w:autoSpaceDN w:val="0"/>
        <w:autoSpaceDE w:val="0"/>
        <w:widowControl/>
        <w:spacing w:line="276" w:lineRule="auto" w:before="0" w:after="200"/>
        <w:ind w:left="81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[Text]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/>
          <w:i/>
          <w:color w:val="333333"/>
          <w:sz w:val="18"/>
        </w:rPr>
        <w:t xml:space="preserve">Issue 5: Are there identifiable patient subgroups in which </w:t>
      </w:r>
      <w:r>
        <w:rPr>
          <w:rFonts w:ascii="Arial" w:hAnsi="Arial" w:eastAsia="Lora"/>
          <w:b/>
          <w:i/>
          <w:color w:val="333333"/>
          <w:sz w:val="18"/>
        </w:rPr>
        <w:t>this treatment will be most cost-effective?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10" w:header="720" w:footer="720" w:gutter="0"/>
          <w:cols w:num="2" w:equalWidth="0">
            <w:col w:w="4594" w:space="0"/>
            <w:col w:w="6576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4865"/>
        <w:gridCol w:w="4865"/>
      </w:tblGrid>
      <w:tr>
        <w:trPr>
          <w:trHeight w:hRule="exact" w:val="374"/>
        </w:trPr>
        <w:tc>
          <w:tcPr>
            <w:tcW w:type="dxa" w:w="3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0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Review Methodology </w:t>
            </w:r>
          </w:p>
        </w:tc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2614" w:firstLine="0"/>
              <w:jc w:val="righ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[Text]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9730"/>
      </w:tblGrid>
      <w:tr>
        <w:trPr>
          <w:trHeight w:hRule="exact" w:val="2140"/>
        </w:trPr>
        <w:tc>
          <w:tcPr>
            <w:tcW w:type="dxa" w:w="10420"/>
            <w:tcBorders>
              <w:start w:sz="16.0" w:val="single" w:color="#13377C"/>
              <w:top w:sz="16.0" w:val="single" w:color="#13377C"/>
              <w:end w:sz="16.0" w:val="single" w:color="#13377C"/>
              <w:bottom w:sz="16.0" w:val="single" w:color="#1337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86" w:right="288" w:firstLine="0"/>
              <w:jc w:val="left"/>
            </w:pPr>
            <w:r>
              <w:rPr>
                <w:color w:val="333333"/>
                <w:w w:val="98.6630630493164"/>
                <w:rFonts w:ascii="Arial" w:hAnsi="Arial" w:eastAsia="Asap"/>
                <w:b/>
                <w:i w:val="0"/>
                <w:sz w:val="25"/>
              </w:rPr>
              <w:t xml:space="preserve">RECOMMENDATIONS TO THE COMMITTEE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Lora"/>
                <w:b w:val="0"/>
                <w:i/>
                <w:color w:val="333333"/>
                <w:sz w:val="20"/>
              </w:rPr>
              <w:t xml:space="preserve">[Findings, key issues, and conclusions summarized as one or two short paragraphs that explain the logic </w:t>
            </w:r>
            <w:r>
              <w:rPr>
                <w:rFonts w:ascii="Arial" w:hAnsi="Arial" w:eastAsia="Lora"/>
                <w:b w:val="0"/>
                <w:i/>
                <w:color w:val="333333"/>
                <w:sz w:val="20"/>
              </w:rPr>
              <w:t xml:space="preserve">leading to the recommendations.]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Lora"/>
                <w:b w:val="0"/>
                <w:i w:val="0"/>
                <w:color w:val="333333"/>
                <w:sz w:val="19"/>
              </w:rPr>
              <w:t>Therefore, the following Pharmacy and Therapeutics Committee action is recommended:</w:t>
            </w:r>
          </w:p>
        </w:tc>
      </w:tr>
    </w:tbl>
    <w:p>
      <w:pPr>
        <w:spacing w:line="276" w:lineRule="auto" w:after="200" w:before="0"/>
        <w:sectPr>
          <w:type w:val="continuous"/>
          <w:pgSz w:w="11880" w:h="15660"/>
          <w:pgMar w:top="360" w:right="0" w:bottom="266" w:left="71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56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KEY QUESTIONS AND ISSUES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I</w:t>
      </w:r>
      <w:r>
        <w:rPr>
          <w:rFonts w:ascii="Arial" w:hAnsi="Arial" w:eastAsia="Lora"/>
          <w:b/>
          <w:i/>
          <w:color w:val="333333"/>
          <w:sz w:val="18"/>
        </w:rPr>
        <w:t>ssue 1: What is the evidence of efficacy from clinical trials?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[Narrative summary of evidence for efficacy.]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/>
          <w:color w:val="333333"/>
          <w:sz w:val="18"/>
        </w:rPr>
        <w:t>I</w:t>
      </w:r>
      <w:r>
        <w:rPr>
          <w:rFonts w:ascii="Arial" w:hAnsi="Arial" w:eastAsia="Lora"/>
          <w:b/>
          <w:i/>
          <w:color w:val="333333"/>
          <w:sz w:val="18"/>
        </w:rPr>
        <w:t xml:space="preserve">ssue 2: Is there sufficient evidence to assess real-world </w:t>
      </w:r>
      <w:r>
        <w:rPr>
          <w:rFonts w:ascii="Arial" w:hAnsi="Arial" w:eastAsia="Lora"/>
          <w:b/>
          <w:i/>
          <w:color w:val="333333"/>
          <w:sz w:val="18"/>
        </w:rPr>
        <w:t>comparative effectiveness?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Incremental Cost-effectiveness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[Discussion of cost-effectiveness analyses.]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Asap"/>
          <w:b/>
          <w:i w:val="0"/>
          <w:color w:val="333333"/>
          <w:sz w:val="18"/>
        </w:rPr>
        <w:t xml:space="preserve">Summary of Incremental Cost-effectiveness Ratios Found by </w:t>
      </w:r>
      <w:r>
        <w:rPr>
          <w:rFonts w:ascii="Arial" w:hAnsi="Arial" w:eastAsia="Asap"/>
          <w:b/>
          <w:i w:val="0"/>
          <w:color w:val="333333"/>
          <w:sz w:val="18"/>
        </w:rPr>
        <w:t xml:space="preserve">Studies Included in this Review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[Text or table to summarize study findings.]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1395"/>
        <w:gridCol w:w="1395"/>
        <w:gridCol w:w="1395"/>
        <w:gridCol w:w="1395"/>
        <w:gridCol w:w="1395"/>
        <w:gridCol w:w="1395"/>
        <w:gridCol w:w="1395"/>
      </w:tblGrid>
      <w:tr>
        <w:trPr>
          <w:trHeight w:hRule="exact" w:val="236"/>
        </w:trPr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64" w:firstLine="0"/>
              <w:jc w:val="righ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[Narrative 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summary 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of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evidence </w:t>
            </w:r>
          </w:p>
        </w:tc>
        <w:tc>
          <w:tcPr>
            <w:tcW w:type="dxa" w:w="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for </w:t>
            </w:r>
          </w:p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comparative </w:t>
            </w:r>
          </w:p>
        </w:tc>
        <w:tc>
          <w:tcPr>
            <w:tcW w:type="dxa" w:w="5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58" w:right="0" w:firstLine="0"/>
              <w:jc w:val="left"/>
            </w:pPr>
            <w:r>
              <w:rPr>
                <w:rFonts w:ascii="Arial" w:hAnsi="Arial" w:eastAsia="Lora"/>
                <w:b/>
                <w:i/>
                <w:color w:val="333333"/>
                <w:sz w:val="18"/>
              </w:rPr>
              <w:t xml:space="preserve">Issue 5: Are there identifiable patient subgroups in which </w:t>
            </w:r>
          </w:p>
        </w:tc>
      </w:tr>
      <w:tr>
        <w:trPr>
          <w:trHeight w:hRule="exact" w:val="80"/>
        </w:trPr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5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58" w:right="0" w:firstLine="0"/>
              <w:jc w:val="left"/>
            </w:pPr>
            <w:r>
              <w:rPr>
                <w:rFonts w:ascii="Arial" w:hAnsi="Arial" w:eastAsia="Lora"/>
                <w:b/>
                <w:i/>
                <w:color w:val="333333"/>
                <w:sz w:val="18"/>
              </w:rPr>
              <w:t>this treatment will be most cost effective?</w:t>
            </w:r>
          </w:p>
        </w:tc>
      </w:tr>
      <w:tr>
        <w:trPr>
          <w:trHeight w:hRule="exact" w:val="226"/>
        </w:trPr>
        <w:tc>
          <w:tcPr>
            <w:tcW w:type="dxa" w:w="2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358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effectiveness.]</w:t>
            </w:r>
          </w:p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  <w:tc>
          <w:tcPr>
            <w:tcW w:type="dxa" w:w="139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/>
          <w:i/>
          <w:color w:val="333333"/>
          <w:sz w:val="18"/>
        </w:rPr>
        <w:t>Issue 3: What is the evidence of safety?</w:t>
      </w:r>
    </w:p>
    <w:p>
      <w:pPr>
        <w:autoSpaceDN w:val="0"/>
        <w:autoSpaceDE w:val="0"/>
        <w:widowControl/>
        <w:spacing w:line="276" w:lineRule="auto" w:before="0" w:after="200"/>
        <w:ind w:left="698" w:right="288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[Narrative summary of evidence for safety.]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/>
          <w:i/>
          <w:color w:val="333333"/>
          <w:sz w:val="18"/>
        </w:rPr>
        <w:t>Issue 4: What is the value proposition for this product?</w:t>
      </w:r>
    </w:p>
    <w:p>
      <w:pPr>
        <w:autoSpaceDN w:val="0"/>
        <w:autoSpaceDE w:val="0"/>
        <w:widowControl/>
        <w:spacing w:line="276" w:lineRule="auto" w:before="0" w:after="200"/>
        <w:ind w:left="698" w:right="2592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 xml:space="preserve">Summary of Product Value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[Text summary statement.]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730" w:space="0"/>
            <w:col w:w="547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368" w:right="20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[Discussion of patient subgroups and the evidence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would indicate an improved incremental cost-effectiveness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ratio for these subpopulations. Include a description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relevant biomarkers or other companion diagnostics that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would be used to identify these target populations,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feasibility of using these markers in routine clinical </w:t>
      </w:r>
      <w:r>
        <w:rPr>
          <w:rFonts w:ascii="Arial" w:hAnsi="Arial" w:eastAsia="Lora"/>
          <w:b w:val="0"/>
          <w:i w:val="0"/>
          <w:color w:val="333333"/>
          <w:sz w:val="18"/>
        </w:rPr>
        <w:t>practice.]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730" w:space="0"/>
            <w:col w:w="5475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42.0" w:type="dxa"/>
      </w:tblPr>
      <w:tblGrid>
        <w:gridCol w:w="9766"/>
      </w:tblGrid>
      <w:tr>
        <w:trPr>
          <w:trHeight w:hRule="exact" w:val="370"/>
        </w:trPr>
        <w:tc>
          <w:tcPr>
            <w:tcW w:type="dxa" w:w="10342"/>
            <w:tcBorders>
              <w:top w:sz="3.5999999046325684" w:val="single" w:color="#474B5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46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20"/>
              </w:rPr>
              <w:t>TABLES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CLINICAL EVIDENCE SUMMARY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1221"/>
        <w:gridCol w:w="1221"/>
        <w:gridCol w:w="1221"/>
        <w:gridCol w:w="1221"/>
        <w:gridCol w:w="1221"/>
        <w:gridCol w:w="1221"/>
        <w:gridCol w:w="1221"/>
        <w:gridCol w:w="1221"/>
      </w:tblGrid>
      <w:tr>
        <w:trPr>
          <w:trHeight w:hRule="exact" w:val="804"/>
        </w:trPr>
        <w:tc>
          <w:tcPr>
            <w:tcW w:type="dxa" w:w="1606"/>
            <w:tcBorders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44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Ref. and Evidence </w:t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Grade</w:t>
            </w:r>
          </w:p>
        </w:tc>
        <w:tc>
          <w:tcPr>
            <w:tcW w:type="dxa" w:w="1486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Drug Regimens</w:t>
            </w:r>
          </w:p>
        </w:tc>
        <w:tc>
          <w:tcPr>
            <w:tcW w:type="dxa" w:w="462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n</w:t>
            </w:r>
          </w:p>
        </w:tc>
        <w:tc>
          <w:tcPr>
            <w:tcW w:type="dxa" w:w="804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Time</w:t>
            </w:r>
          </w:p>
        </w:tc>
        <w:tc>
          <w:tcPr>
            <w:tcW w:type="dxa" w:w="1874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Demographics</w:t>
            </w:r>
          </w:p>
        </w:tc>
        <w:tc>
          <w:tcPr>
            <w:tcW w:type="dxa" w:w="1380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Design*</w:t>
            </w:r>
          </w:p>
        </w:tc>
        <w:tc>
          <w:tcPr>
            <w:tcW w:type="dxa" w:w="1370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44" w:right="144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Endpoints/ </w:t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Results/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Comments</w:t>
            </w:r>
          </w:p>
        </w:tc>
        <w:tc>
          <w:tcPr>
            <w:tcW w:type="dxa" w:w="1446"/>
            <w:tcBorders>
              <w:start w:sz="4.0" w:val="single" w:color="#FFFFFF"/>
              <w:top w:sz="16.0" w:val="single" w:color="#474B55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Number Needed </w:t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to Treat</w:t>
            </w:r>
          </w:p>
        </w:tc>
      </w:tr>
      <w:tr>
        <w:trPr>
          <w:trHeight w:hRule="exact" w:val="362"/>
        </w:trPr>
        <w:tc>
          <w:tcPr>
            <w:tcW w:type="dxa" w:w="1606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8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2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80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87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80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70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46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720"/>
        </w:trPr>
        <w:tc>
          <w:tcPr>
            <w:tcW w:type="dxa" w:w="160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8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2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80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87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8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7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4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720"/>
        </w:trPr>
        <w:tc>
          <w:tcPr>
            <w:tcW w:type="dxa" w:w="160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8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2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80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87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8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7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4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720"/>
        </w:trPr>
        <w:tc>
          <w:tcPr>
            <w:tcW w:type="dxa" w:w="160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8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2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80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87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8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7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4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720"/>
        </w:trPr>
        <w:tc>
          <w:tcPr>
            <w:tcW w:type="dxa" w:w="160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8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2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80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87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8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7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4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720"/>
        </w:trPr>
        <w:tc>
          <w:tcPr>
            <w:tcW w:type="dxa" w:w="160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8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2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80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874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8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70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46"/>
            <w:tcBorders>
              <w:top w:sz="4.0" w:val="single" w:color="#C6C8C7"/>
              <w:bottom w:sz="4.0" w:val="single" w:color="#C6C8C7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58"/>
        </w:trPr>
        <w:tc>
          <w:tcPr>
            <w:tcW w:type="dxa" w:w="1606"/>
            <w:tcBorders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86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2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804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874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80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370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446"/>
            <w:tcBorders>
              <w:start w:sz="4.0" w:val="single" w:color="#C6C8C7"/>
              <w:top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738" w:right="0" w:firstLine="0"/>
        <w:jc w:val="left"/>
      </w:pPr>
      <w:r>
        <w:rPr>
          <w:rFonts w:ascii="Arial" w:hAnsi="Arial" w:eastAsia="Asap"/>
          <w:b w:val="0"/>
          <w:i/>
          <w:color w:val="333333"/>
          <w:sz w:val="15"/>
        </w:rPr>
        <w:t>AC = active control; CCS = case-control study; DB = double-blind; PC = placebo control; PCS = prospective cohort study; PG = parallel group; MA = meta-</w:t>
      </w:r>
      <w:r>
        <w:rPr>
          <w:rFonts w:ascii="Arial" w:hAnsi="Arial" w:eastAsia="Asap"/>
          <w:b w:val="0"/>
          <w:i/>
          <w:color w:val="333333"/>
          <w:sz w:val="15"/>
        </w:rPr>
        <w:t>analysis; MC = multicenter; RCS = retrospective cohort study; RCT = randomized controlled trial; XO = crossover.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40.0" w:type="dxa"/>
      </w:tblPr>
      <w:tblGrid>
        <w:gridCol w:w="4870"/>
        <w:gridCol w:w="4870"/>
      </w:tblGrid>
      <w:tr>
        <w:trPr>
          <w:trHeight w:hRule="exact" w:val="38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57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2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VALIDATION OF INSTRUMENTS USED IN STUDIES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.0000000000000284" w:type="dxa"/>
      </w:tblPr>
      <w:tblGrid>
        <w:gridCol w:w="1623"/>
        <w:gridCol w:w="1623"/>
        <w:gridCol w:w="1623"/>
        <w:gridCol w:w="1623"/>
        <w:gridCol w:w="1623"/>
        <w:gridCol w:w="1623"/>
      </w:tblGrid>
      <w:tr>
        <w:trPr>
          <w:trHeight w:hRule="exact" w:val="584"/>
        </w:trPr>
        <w:tc>
          <w:tcPr>
            <w:tcW w:type="dxa" w:w="1492"/>
            <w:tcBorders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288" w:right="288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Name of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Instrument</w:t>
            </w:r>
          </w:p>
        </w:tc>
        <w:tc>
          <w:tcPr>
            <w:tcW w:type="dxa" w:w="1524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Abbreviation</w:t>
            </w:r>
          </w:p>
        </w:tc>
        <w:tc>
          <w:tcPr>
            <w:tcW w:type="dxa" w:w="2246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Description</w:t>
            </w:r>
          </w:p>
        </w:tc>
        <w:tc>
          <w:tcPr>
            <w:tcW w:type="dxa" w:w="1208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44" w:right="144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Numerical </w:t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Scale</w:t>
            </w:r>
          </w:p>
        </w:tc>
        <w:tc>
          <w:tcPr>
            <w:tcW w:type="dxa" w:w="1718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44" w:right="144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Interpretation of </w:t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Values</w:t>
            </w:r>
          </w:p>
        </w:tc>
        <w:tc>
          <w:tcPr>
            <w:tcW w:type="dxa" w:w="2280"/>
            <w:tcBorders>
              <w:start w:sz="4.0" w:val="single" w:color="#FFFFFF"/>
              <w:top w:sz="16.0" w:val="single" w:color="#474B55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MCID*</w:t>
            </w:r>
          </w:p>
        </w:tc>
      </w:tr>
      <w:tr>
        <w:trPr>
          <w:trHeight w:hRule="exact" w:val="362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58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2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58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2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492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58"/>
        </w:trPr>
        <w:tc>
          <w:tcPr>
            <w:tcW w:type="dxa" w:w="1492"/>
            <w:tcBorders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524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46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08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18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2280"/>
            <w:tcBorders>
              <w:start w:sz="4.0" w:val="single" w:color="#C6C8C7"/>
              <w:top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40" w:right="0" w:firstLine="0"/>
        <w:jc w:val="left"/>
      </w:pPr>
      <w:r>
        <w:rPr>
          <w:rFonts w:ascii="Arial" w:hAnsi="Arial" w:eastAsia="Asap"/>
          <w:b w:val="0"/>
          <w:i/>
          <w:color w:val="333333"/>
          <w:sz w:val="15"/>
        </w:rPr>
        <w:t>MCID = minimal clinically important difference.</w:t>
      </w:r>
    </w:p>
    <w:p>
      <w:pPr>
        <w:autoSpaceDN w:val="0"/>
        <w:autoSpaceDE w:val="0"/>
        <w:widowControl/>
        <w:spacing w:line="276" w:lineRule="auto" w:before="0" w:after="200"/>
        <w:ind w:left="40" w:right="682" w:firstLine="0"/>
        <w:jc w:val="both"/>
      </w:pPr>
      <w:r>
        <w:rPr>
          <w:rFonts w:ascii="Arial" w:hAnsi="Arial" w:eastAsia="Asap"/>
          <w:b w:val="0"/>
          <w:i/>
          <w:color w:val="333333"/>
          <w:sz w:val="15"/>
        </w:rPr>
        <w:t xml:space="preserve">*MCID is usually determined by the originator or owner of the instrument. This number represents a threshold below which a numerical difference is </w:t>
      </w:r>
      <w:r>
        <w:rPr>
          <w:rFonts w:ascii="Arial" w:hAnsi="Arial" w:eastAsia="Asap"/>
          <w:b w:val="0"/>
          <w:i/>
          <w:color w:val="333333"/>
          <w:sz w:val="15"/>
        </w:rPr>
        <w:t xml:space="preserve">not considered to be clinically meaningful, even if statistically significant. Differences less than this amount are usually excluded from discussions of </w:t>
      </w:r>
      <w:r>
        <w:rPr>
          <w:rFonts w:ascii="Arial" w:hAnsi="Arial" w:eastAsia="Asap"/>
          <w:b w:val="0"/>
          <w:i/>
          <w:color w:val="333333"/>
          <w:sz w:val="15"/>
        </w:rPr>
        <w:t>incremental clinical effect.</w:t>
      </w:r>
    </w:p>
    <w:p>
      <w:pPr>
        <w:autoSpaceDN w:val="0"/>
        <w:autoSpaceDE w:val="0"/>
        <w:widowControl/>
        <w:spacing w:line="276" w:lineRule="auto" w:before="0" w:after="200"/>
        <w:ind w:left="20" w:right="360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COST-EFFECTIVENESS EVIDENCE SUMMARY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(Table format may be modified as needed to better fit the economic study methodology.)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48"/>
        <w:gridCol w:w="1948"/>
        <w:gridCol w:w="1948"/>
        <w:gridCol w:w="1948"/>
        <w:gridCol w:w="1948"/>
      </w:tblGrid>
      <w:tr>
        <w:trPr>
          <w:trHeight w:hRule="exact" w:val="1024"/>
        </w:trPr>
        <w:tc>
          <w:tcPr>
            <w:tcW w:type="dxa" w:w="1154"/>
            <w:tcBorders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44" w:right="144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Ref. and </w:t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Sponsor</w:t>
            </w:r>
          </w:p>
        </w:tc>
        <w:tc>
          <w:tcPr>
            <w:tcW w:type="dxa" w:w="1748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44" w:right="144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Study Design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and Treatments </w:t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Compared</w:t>
            </w:r>
          </w:p>
        </w:tc>
        <w:tc>
          <w:tcPr>
            <w:tcW w:type="dxa" w:w="1708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44" w:right="144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Time Horizon and </w:t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Demographics</w:t>
            </w:r>
          </w:p>
        </w:tc>
        <w:tc>
          <w:tcPr>
            <w:tcW w:type="dxa" w:w="1246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Model Inputs </w:t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 xml:space="preserve">and Data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Sources</w:t>
            </w:r>
          </w:p>
        </w:tc>
        <w:tc>
          <w:tcPr>
            <w:tcW w:type="dxa" w:w="4614"/>
            <w:tcBorders>
              <w:start w:sz="4.0" w:val="single" w:color="#FFFFFF"/>
              <w:top w:sz="16.0" w:val="single" w:color="#474B55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Results: Base Case, Sensitivity Analysis, and Limitations</w:t>
            </w:r>
          </w:p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4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14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4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14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4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14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4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14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4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14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4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14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4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14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4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08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46"/>
            <w:tcBorders>
              <w:start w:sz="4.0" w:val="single" w:color="#C6C8C7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14"/>
            <w:tcBorders>
              <w:start w:sz="4.0" w:val="single" w:color="#C6C8C7"/>
              <w:top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0"/>
        </w:trPr>
        <w:tc>
          <w:tcPr>
            <w:tcW w:type="dxa" w:w="1154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4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08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4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14"/>
            <w:tcBorders>
              <w:start w:sz="4.0" w:val="single" w:color="#FFFFFF"/>
              <w:top w:sz="4.0" w:val="single" w:color="#13377C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362"/>
        </w:trPr>
        <w:tc>
          <w:tcPr>
            <w:tcW w:type="dxa" w:w="1154"/>
            <w:tcBorders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48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708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1246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4614"/>
            <w:tcBorders>
              <w:start w:sz="4.0" w:val="single" w:color="#C6C8C7"/>
              <w:top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30" w:right="0" w:firstLine="0"/>
        <w:jc w:val="left"/>
      </w:pPr>
      <w:r>
        <w:rPr>
          <w:rFonts w:ascii="Arial" w:hAnsi="Arial" w:eastAsia="Asap"/>
          <w:b w:val="0"/>
          <w:i/>
          <w:color w:val="333333"/>
          <w:sz w:val="15"/>
        </w:rPr>
        <w:t>LYS = life-years saved; QALY = quality-adjusted life-year; QHES = Quality of Health Economic Studies; QOL = quality of life.</w:t>
      </w:r>
    </w:p>
    <w:p>
      <w:pPr>
        <w:spacing w:line="276" w:lineRule="auto" w:after="200" w:before="0"/>
        <w:sectPr>
          <w:pgSz w:w="11880" w:h="15660"/>
          <w:pgMar w:top="360" w:right="0" w:bottom="266" w:left="7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58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DISEASE BACKGROUND</w:t>
      </w:r>
    </w:p>
    <w:p>
      <w:pPr>
        <w:autoSpaceDN w:val="0"/>
        <w:autoSpaceDE w:val="0"/>
        <w:widowControl/>
        <w:spacing w:line="276" w:lineRule="auto" w:before="0" w:after="200"/>
        <w:ind w:left="698" w:right="3168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DISEASE DESCRIPTION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[Text]</w:t>
      </w:r>
    </w:p>
    <w:p>
      <w:pPr>
        <w:autoSpaceDN w:val="0"/>
        <w:autoSpaceDE w:val="0"/>
        <w:widowControl/>
        <w:spacing w:line="276" w:lineRule="auto" w:before="0" w:after="200"/>
        <w:ind w:left="698" w:right="360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DISEASE BURDEN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[Text]</w:t>
      </w:r>
    </w:p>
    <w:p>
      <w:pPr>
        <w:autoSpaceDN w:val="0"/>
        <w:autoSpaceDE w:val="0"/>
        <w:widowControl/>
        <w:spacing w:line="276" w:lineRule="auto" w:before="0" w:after="200"/>
        <w:ind w:left="698" w:right="345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PATHOPHYSIOLOGY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[Text]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>T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REATMENT ALTERNATIVES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[Discussion of other existing pharmacologic alternatives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nonpharmacologic treatments that could be used in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place of the drug being reviewed. If there are no existing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treatment modalities, indicate “best supportive care” etc. 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and delete the next two subsections.]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18"/>
        </w:rPr>
        <w:t>ADVERSE EVENT PROFILE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[Brief text summary of known side effects and general tol-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erability from the PI or other available sources. If clinically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important, include a brief table of side effects from the PI,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listing only side effects with incidence rates significantly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different from placebo. This section is for discussion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routine side effects. Major safety issues should be discussed </w:t>
      </w:r>
      <w:r>
        <w:rPr>
          <w:rFonts w:ascii="Arial" w:hAnsi="Arial" w:eastAsia="Lora"/>
          <w:b w:val="0"/>
          <w:i w:val="0"/>
          <w:color w:val="333333"/>
          <w:sz w:val="18"/>
        </w:rPr>
        <w:t>under Issue 3 above.]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DRUG INTERACTIONS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[List these from the PI. Include a table if appropriate.]</w:t>
      </w:r>
    </w:p>
    <w:p>
      <w:pPr>
        <w:autoSpaceDN w:val="0"/>
        <w:autoSpaceDE w:val="0"/>
        <w:widowControl/>
        <w:spacing w:line="276" w:lineRule="auto" w:before="0" w:after="200"/>
        <w:ind w:left="15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REVIEW METHODOLOGY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0" w:space="0"/>
            <w:col w:w="5265" w:space="0"/>
          </w:cols>
          <w:docGrid w:linePitch="360"/>
        </w:sectPr>
      </w:pPr>
    </w:p>
    <w:p>
      <w:pPr>
        <w:autoSpaceDN w:val="0"/>
        <w:tabs>
          <w:tab w:pos="6098" w:val="left"/>
        </w:tabs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Preferred Existing Therapy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DATABASES SEARCHED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698" w:right="156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[Discuss current treatment standards. If there is a “gold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standard” treatment that is endorsed by practice guidelines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or specialty society opinion statements, reference these </w:t>
      </w:r>
      <w:r>
        <w:rPr>
          <w:rFonts w:ascii="Arial" w:hAnsi="Arial" w:eastAsia="Lora"/>
          <w:b w:val="0"/>
          <w:i w:val="0"/>
          <w:color w:val="333333"/>
          <w:sz w:val="18"/>
        </w:rPr>
        <w:t>authorities.]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Other Therapeutic Alternatives</w:t>
      </w:r>
    </w:p>
    <w:p>
      <w:pPr>
        <w:autoSpaceDN w:val="0"/>
        <w:autoSpaceDE w:val="0"/>
        <w:widowControl/>
        <w:spacing w:line="276" w:lineRule="auto" w:before="0" w:after="200"/>
        <w:ind w:left="698" w:right="156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[Discuss other generally accepted treatment options,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including “watchful waiting” or “best supportive care” if </w:t>
      </w:r>
      <w:r>
        <w:rPr>
          <w:rFonts w:ascii="Arial" w:hAnsi="Arial" w:eastAsia="Lora"/>
          <w:b w:val="0"/>
          <w:i w:val="0"/>
          <w:color w:val="333333"/>
          <w:sz w:val="18"/>
        </w:rPr>
        <w:t>these are considered appropriate.]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PRODUCT BACKGROUND</w:t>
      </w:r>
    </w:p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PHARMACOLOGY</w:t>
      </w:r>
    </w:p>
    <w:p>
      <w:pPr>
        <w:autoSpaceDN w:val="0"/>
        <w:autoSpaceDE w:val="0"/>
        <w:widowControl/>
        <w:spacing w:line="276" w:lineRule="auto" w:before="0" w:after="200"/>
        <w:ind w:left="698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[Brief description of mechanism. If it is a novel mechanism, </w:t>
      </w:r>
      <w:r>
        <w:rPr>
          <w:rFonts w:ascii="Arial" w:hAnsi="Arial" w:eastAsia="Lora"/>
          <w:b w:val="0"/>
          <w:i w:val="0"/>
          <w:color w:val="333333"/>
          <w:sz w:val="18"/>
        </w:rPr>
        <w:t>a longer description may be appropriate.]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1008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Medline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Embase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Cochrane Central Register of Controlled Trials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ClinicalTrials.gov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Other [Name]</w:t>
      </w:r>
    </w:p>
    <w:p>
      <w:pPr>
        <w:autoSpaceDN w:val="0"/>
        <w:autoSpaceDE w:val="0"/>
        <w:widowControl/>
        <w:spacing w:line="276" w:lineRule="auto" w:before="0" w:after="200"/>
        <w:ind w:left="156" w:right="144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SECONDARY SOURCES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Cochrane Database of Systematic Reviews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BCBSA TEC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NICE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Other [Name]</w:t>
      </w:r>
    </w:p>
    <w:p>
      <w:pPr>
        <w:autoSpaceDN w:val="0"/>
        <w:autoSpaceDE w:val="0"/>
        <w:widowControl/>
        <w:spacing w:line="276" w:lineRule="auto" w:before="0" w:after="200"/>
        <w:ind w:left="156" w:right="3168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SEARCH STRATEGY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[Text]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INCLUSION CRITERIA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[Text]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tabs>
          <w:tab w:pos="6098" w:val="left"/>
        </w:tabs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PHARMACODYNAMICS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>SEARCH RESULTS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1953"/>
        <w:gridCol w:w="1953"/>
        <w:gridCol w:w="1953"/>
        <w:gridCol w:w="1953"/>
        <w:gridCol w:w="1953"/>
      </w:tblGrid>
      <w:tr>
        <w:trPr>
          <w:trHeight w:hRule="exact" w:val="238"/>
        </w:trPr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14" w:firstLine="0"/>
              <w:jc w:val="righ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[Text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summary </w:t>
            </w:r>
          </w:p>
        </w:tc>
        <w:tc>
          <w:tcPr>
            <w:tcW w:type="dxa" w:w="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of 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relevant </w:t>
            </w:r>
          </w:p>
        </w:tc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pharmacodynamic </w:t>
            </w:r>
          </w:p>
        </w:tc>
      </w:tr>
      <w:tr>
        <w:trPr>
          <w:trHeight w:hRule="exact" w:val="312"/>
        </w:trPr>
        <w:tc>
          <w:tcPr>
            <w:tcW w:type="dxa" w:w="2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358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considerations]</w:t>
            </w:r>
          </w:p>
        </w:tc>
        <w:tc>
          <w:tcPr>
            <w:tcW w:type="dxa" w:w="1953"/>
            <w:vMerge/>
            <w:tcBorders/>
          </w:tcPr>
          <w:p/>
        </w:tc>
        <w:tc>
          <w:tcPr>
            <w:tcW w:type="dxa" w:w="1953"/>
            <w:vMerge/>
            <w:tcBorders/>
          </w:tcPr>
          <w:p/>
        </w:tc>
        <w:tc>
          <w:tcPr>
            <w:tcW w:type="dxa" w:w="195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6" w:lineRule="auto" w:before="0" w:after="200"/>
        <w:ind w:left="69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PHARMACOKINETICS</w:t>
      </w:r>
    </w:p>
    <w:p>
      <w:pPr>
        <w:autoSpaceDN w:val="0"/>
        <w:autoSpaceDE w:val="0"/>
        <w:widowControl/>
        <w:spacing w:line="276" w:lineRule="auto" w:before="0" w:after="200"/>
        <w:ind w:left="698" w:right="156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[Text summary, if kinetics will factor significantly into the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decision, including, but not limited to, absorption changes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when administered (e.g., with food and medications),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bioavailability, time to peak concentration, overall drug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exposure, metabolism and clearance, multiple dosing, and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elimination in patients with hepatic or renal impairment or </w:t>
      </w:r>
      <w:r>
        <w:rPr>
          <w:rFonts w:ascii="Arial" w:hAnsi="Arial" w:eastAsia="Lora"/>
          <w:b w:val="0"/>
          <w:i w:val="0"/>
          <w:color w:val="333333"/>
          <w:sz w:val="18"/>
        </w:rPr>
        <w:t>who are taking interacting drugs).]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Study Type</w:t>
      </w:r>
    </w:p>
    <w:p>
      <w:pPr>
        <w:autoSpaceDN w:val="0"/>
        <w:autoSpaceDE w:val="0"/>
        <w:widowControl/>
        <w:spacing w:line="276" w:lineRule="auto" w:before="0" w:after="200"/>
        <w:ind w:left="156" w:right="86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Randomized controlled trials (RCT)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Meta-analyses of RCTs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Systematic reviews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Randomized pragmatic trials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Prospective cohort studies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Retrospective cohort or case-control studies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Economic modeling studies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Case series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RCT abstracts, not peer-reviewed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Other abstracts, posters, etc. not peer-reviewed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5942" w:space="0"/>
            <w:col w:w="5263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40.0" w:type="dxa"/>
      </w:tblPr>
      <w:tblGrid>
        <w:gridCol w:w="4870"/>
        <w:gridCol w:w="4870"/>
      </w:tblGrid>
      <w:tr>
        <w:trPr>
          <w:trHeight w:hRule="exact" w:val="382"/>
        </w:trPr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59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4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>STUDIES/ARTICLES EXCLUDED FROM EVIDENCE SYNTHESIS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870"/>
        <w:gridCol w:w="4870"/>
      </w:tblGrid>
      <w:tr>
        <w:trPr>
          <w:trHeight w:hRule="exact" w:val="386"/>
        </w:trPr>
        <w:tc>
          <w:tcPr>
            <w:tcW w:type="dxa" w:w="5216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Study/Article Excluded</w:t>
            </w:r>
          </w:p>
        </w:tc>
        <w:tc>
          <w:tcPr>
            <w:tcW w:type="dxa" w:w="5216"/>
            <w:tcBorders>
              <w:start w:sz="4.0" w:val="single" w:color="#FFFFFF"/>
              <w:top w:sz="16.0" w:val="single" w:color="#474B55"/>
              <w:end w:sz="4.0" w:val="single" w:color="#FFFFFF"/>
              <w:bottom w:sz="4.0" w:val="single" w:color="#13377C"/>
            </w:tcBorders>
            <w:shd w:fill="c6c8c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color w:val="333333"/>
                <w:w w:val="102.46950387954712"/>
                <w:rFonts w:ascii="Arial" w:hAnsi="Arial" w:eastAsia="Asap"/>
                <w:b/>
                <w:i w:val="0"/>
                <w:sz w:val="16"/>
              </w:rPr>
              <w:t>Reason for Exclusion</w:t>
            </w:r>
          </w:p>
        </w:tc>
      </w:tr>
      <w:tr>
        <w:trPr>
          <w:trHeight w:hRule="exact" w:val="402"/>
        </w:trPr>
        <w:tc>
          <w:tcPr>
            <w:tcW w:type="dxa" w:w="5216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521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400"/>
        </w:trPr>
        <w:tc>
          <w:tcPr>
            <w:tcW w:type="dxa" w:w="5216"/>
            <w:tcBorders>
              <w:start w:sz="4.0" w:val="single" w:color="#81858D"/>
              <w:top w:sz="4.0" w:val="single" w:color="#C6C8C7"/>
              <w:end w:sz="4.0" w:val="single" w:color="#C6C8C7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5216"/>
            <w:tcBorders>
              <w:start w:sz="4.0" w:val="single" w:color="#C6C8C7"/>
              <w:top w:sz="4.0" w:val="single" w:color="#C6C8C7"/>
              <w:end w:sz="4.0" w:val="single" w:color="#81858D"/>
              <w:bottom w:sz="4.0" w:val="single" w:color="#13377C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402"/>
        </w:trPr>
        <w:tc>
          <w:tcPr>
            <w:tcW w:type="dxa" w:w="5216"/>
            <w:tcBorders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5216"/>
            <w:tcBorders>
              <w:start w:sz="4.0" w:val="single" w:color="#FFFFFF"/>
              <w:top w:sz="4.0" w:val="single" w:color="#13377C"/>
              <w:end w:sz="4.0" w:val="single" w:color="#FFFFFF"/>
              <w:bottom w:sz="4.0" w:val="single" w:color="#C6C8C7"/>
            </w:tcBorders>
            <w:shd w:fill="eaeaf2"/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  <w:tr>
        <w:trPr>
          <w:trHeight w:hRule="exact" w:val="400"/>
        </w:trPr>
        <w:tc>
          <w:tcPr>
            <w:tcW w:type="dxa" w:w="5216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  <w:tc>
          <w:tcPr>
            <w:tcW w:type="dxa" w:w="5216"/>
            <w:tcBorders>
              <w:start w:sz="4.0" w:val="single" w:color="#C6C8C7"/>
              <w:top w:sz="4.0" w:val="single" w:color="#C6C8C7"/>
              <w:end w:sz="4.0" w:val="single" w:color="#C6C8C7"/>
              <w:bottom w:sz="16.0" w:val="single" w:color="#474B55"/>
            </w:tcBorders>
            <w:tcMar>
              <w:start w:w="0" w:type="dxa"/>
              <w:end w:w="0" w:type="dxa"/>
            </w:tcMar>
          </w:tcPr>
          <w:p>
            <w:pPr>
              <w:spacing w:line="276" w:lineRule="auto" w:after="80" w:before="0"/>
            </w:pPr>
          </w:p>
        </w:tc>
      </w:tr>
    </w:tbl>
    <w:p>
      <w:pPr>
        <w:autoSpaceDN w:val="0"/>
        <w:tabs>
          <w:tab w:pos="5420" w:val="left"/>
        </w:tabs>
        <w:autoSpaceDE w:val="0"/>
        <w:widowControl/>
        <w:spacing w:line="276" w:lineRule="auto" w:before="0" w:after="200"/>
        <w:ind w:left="20" w:right="0" w:firstLine="0"/>
        <w:jc w:val="left"/>
      </w:pPr>
      <w:r>
        <w:rPr>
          <w:rFonts w:ascii="Arial" w:hAnsi="Arial" w:eastAsia="Asap"/>
          <w:b/>
          <w:i w:val="0"/>
          <w:color w:val="333333"/>
          <w:sz w:val="20"/>
        </w:rPr>
        <w:t xml:space="preserve">AUTHORSHIP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Asap"/>
          <w:b/>
          <w:i w:val="0"/>
          <w:color w:val="333333"/>
          <w:sz w:val="20"/>
        </w:rPr>
        <w:t>REFERENCES</w:t>
      </w:r>
    </w:p>
    <w:p>
      <w:pPr>
        <w:spacing w:line="276" w:lineRule="auto" w:after="200" w:before="0"/>
        <w:sectPr>
          <w:pgSz w:w="11880" w:h="15660"/>
          <w:pgMar w:top="360" w:right="0" w:bottom="266" w:left="7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20" w:right="144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Review prepared by: [author’s names, degrees, and </w:t>
      </w:r>
      <w:r>
        <w:rPr>
          <w:rFonts w:ascii="Arial" w:hAnsi="Arial" w:eastAsia="Lora"/>
          <w:b w:val="0"/>
          <w:i w:val="0"/>
          <w:color w:val="333333"/>
          <w:sz w:val="18"/>
        </w:rPr>
        <w:t>organization].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56" w:right="576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Include references, cited appropriately based on the orga-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nization’s preferred style [e.g., American Psychological </w:t>
      </w:r>
      <w:r>
        <w:rPr>
          <w:rFonts w:ascii="Arial" w:hAnsi="Arial" w:eastAsia="Lora"/>
          <w:b w:val="0"/>
          <w:i w:val="0"/>
          <w:color w:val="333333"/>
          <w:sz w:val="18"/>
        </w:rPr>
        <w:t>Association (APA), Modern Language Association (MLA)].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700" w:header="720" w:footer="720" w:gutter="0"/>
          <w:cols w:num="2" w:equalWidth="0">
            <w:col w:w="5264" w:space="0"/>
            <w:col w:w="5916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60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720" w:right="0" w:firstLine="0"/>
        <w:jc w:val="left"/>
      </w:pPr>
      <w:r>
        <w:rPr>
          <w:rFonts w:ascii="Arial" w:hAnsi="Arial" w:eastAsia="Asap"/>
          <w:b w:val="0"/>
          <w:i w:val="0"/>
          <w:color w:val="333333"/>
          <w:sz w:val="48"/>
        </w:rPr>
        <w:t>References</w:t>
      </w: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238" w:right="288" w:hanging="27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1. Neumann PJ, Cohen JT. Measuring the value of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prescription drugs. </w:t>
      </w:r>
      <w:r>
        <w:rPr>
          <w:rFonts w:ascii="Arial" w:hAnsi="Arial" w:eastAsia="Lora"/>
          <w:b w:val="0"/>
          <w:i/>
          <w:color w:val="333333"/>
          <w:sz w:val="18"/>
        </w:rPr>
        <w:t>N Engl J Med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. 2015;373(27):2595-7. </w:t>
      </w:r>
    </w:p>
    <w:p>
      <w:pPr>
        <w:autoSpaceDN w:val="0"/>
        <w:tabs>
          <w:tab w:pos="1238" w:val="left"/>
        </w:tabs>
        <w:autoSpaceDE w:val="0"/>
        <w:widowControl/>
        <w:spacing w:line="276" w:lineRule="auto" w:before="0" w:after="200"/>
        <w:ind w:left="968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doi: 10.1056/NEJMp1512009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2. Bach PB. New math on drug cost-effectiveness. N Engl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 Med. 2015;373(19):1797-9. doi: 10.1056/NEJMp1512750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3. U.S. Food &amp; Drug Administration. Drug and device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manufacturer communications with payors, formu-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lary committees, and similar entities — questions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answers. Guidance for industry and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2" w:history="1">
          <w:r>
            <w:rPr>
              <w:rStyle w:val="Hyperlink"/>
            </w:rPr>
            <w:t xml:space="preserve"> review staff. June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2" w:history="1">
          <w:r>
            <w:rPr>
              <w:rStyle w:val="Hyperlink"/>
            </w:rPr>
            <w:t>2018. Accessed January 23, 2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024. 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2" w:history="1">
          <w:r>
            <w:rPr>
              <w:rStyle w:val="Hyperlink"/>
            </w:rPr>
            <w:t>https://www.fda.</w:t>
          </w:r>
        </w:hyperlink>
      </w:r>
    </w:p>
    <w:p>
      <w:pPr>
        <w:autoSpaceDN w:val="0"/>
        <w:tabs>
          <w:tab w:pos="1238" w:val="left"/>
          <w:tab w:pos="2126" w:val="left"/>
          <w:tab w:pos="2584" w:val="left"/>
          <w:tab w:pos="3254" w:val="left"/>
        </w:tabs>
        <w:autoSpaceDE w:val="0"/>
        <w:widowControl/>
        <w:spacing w:line="276" w:lineRule="auto" w:before="0" w:after="200"/>
        <w:ind w:left="968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2" w:history="1">
          <w:r>
            <w:rPr>
              <w:rStyle w:val="Hyperlink"/>
            </w:rPr>
            <w:t xml:space="preserve">gov/media/133620/download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4.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2" w:history="1">
          <w:r>
            <w:rPr>
              <w:rStyle w:val="Hyperlink"/>
            </w:rPr>
            <w:t>Consolidated Appropriation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 Act of 2023, HR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2617, 117th Cong (2021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3" w:history="1">
          <w:r>
            <w:rPr>
              <w:rStyle w:val="Hyperlink"/>
            </w:rPr>
            <w:t>-2022), Sec. 3630. Accessed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3" w:history="1">
          <w:r>
            <w:rPr>
              <w:rStyle w:val="Hyperlink"/>
            </w:rPr>
            <w:t xml:space="preserve">January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3" w:history="1">
          <w:r>
            <w:rPr>
              <w:rStyle w:val="Hyperlink"/>
            </w:rPr>
            <w:t xml:space="preserve">23,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3" w:history="1">
          <w:r>
            <w:rPr>
              <w:rStyle w:val="Hyperlink"/>
            </w:rPr>
            <w:t xml:space="preserve">2024. 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3" w:history="1">
          <w:r>
            <w:rPr>
              <w:rStyle w:val="Hyperlink"/>
            </w:rPr>
            <w:t>https://www.co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3" w:history="1">
          <w:r>
            <w:rPr>
              <w:rStyle w:val="Hyperlink"/>
            </w:rPr>
            <w:t xml:space="preserve">ngress.gov/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3" w:history="1">
          <w:r>
            <w:rPr>
              <w:rStyle w:val="Hyperlink"/>
            </w:rPr>
            <w:t>bill/117th-congress/hou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3" w:history="1">
          <w:r>
            <w:rPr>
              <w:rStyle w:val="Hyperlink"/>
            </w:rPr>
            <w:t xml:space="preserve">se-bill/2617/text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5.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3" w:history="1">
          <w:r>
            <w:rPr>
              <w:rStyle w:val="Hyperlink"/>
            </w:rPr>
            <w:t>Inflation Reduction Act of 2022, HR 53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4" w:history="1">
          <w:r>
            <w:rPr>
              <w:rStyle w:val="Hyperlink"/>
            </w:rPr>
            <w:t>76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4" w:history="1">
          <w:r>
            <w:rPr>
              <w:rStyle w:val="Hyperlink"/>
            </w:rPr>
            <w:t>, 117th Cong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(2021-2022). Accessed January 23, 2024. 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4" w:history="1">
          <w:r>
            <w:rPr>
              <w:rStyle w:val="Hyperlink"/>
            </w:rPr>
            <w:t>https://www.</w:t>
          </w:r>
        </w:hyperlink>
      </w:r>
    </w:p>
    <w:p>
      <w:pPr>
        <w:autoSpaceDN w:val="0"/>
        <w:tabs>
          <w:tab w:pos="1238" w:val="left"/>
        </w:tabs>
        <w:autoSpaceDE w:val="0"/>
        <w:widowControl/>
        <w:spacing w:line="276" w:lineRule="auto" w:before="0" w:after="200"/>
        <w:ind w:left="968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4" w:history="1">
          <w:r>
            <w:rPr>
              <w:rStyle w:val="Hyperlink"/>
            </w:rPr>
            <w:t>cong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4" w:history="1">
          <w:r>
            <w:rPr>
              <w:rStyle w:val="Hyperlink"/>
            </w:rPr>
            <w:t>ress.gov/bill/117th-congress/hou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4" w:history="1">
          <w:r>
            <w:rPr>
              <w:rStyle w:val="Hyperlink"/>
            </w:rPr>
            <w:t xml:space="preserve">se-bill/5376/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4" w:history="1">
          <w:r>
            <w:rPr>
              <w:rStyle w:val="Hyperlink"/>
            </w:rPr>
            <w:t xml:space="preserve">text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4" w:history="1">
          <w:r>
            <w:rPr>
              <w:rStyle w:val="Hyperlink"/>
            </w:rPr>
            <w:t>Coal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ition Working Group (AMCP, AOCHP, American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Medical Association, American Society of Health-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System Pharmacists, Department of Veterans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Affairs, National Business Coalition on Health, US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Pharmacopeia). Principles of a sound drug formulary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5" w:history="1">
          <w:r>
            <w:rPr>
              <w:rStyle w:val="Hyperlink"/>
            </w:rPr>
            <w:t>system. October 2000. Accessed January 23, 2024.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tabs>
          <w:tab w:pos="1238" w:val="left"/>
        </w:tabs>
        <w:autoSpaceDE w:val="0"/>
        <w:widowControl/>
        <w:spacing w:line="276" w:lineRule="auto" w:before="0" w:after="200"/>
        <w:ind w:left="968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5" w:history="1">
          <w:r>
            <w:rPr>
              <w:rStyle w:val="Hyperlink"/>
            </w:rPr>
            <w:t>https://www.amcp.org/sites/default/files/2019-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5" w:history="1">
          <w:r>
            <w:rPr>
              <w:rStyle w:val="Hyperlink"/>
            </w:rPr>
            <w:t>03/Principles%20of%20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5" w:history="1">
          <w:r>
            <w:rPr>
              <w:rStyle w:val="Hyperlink"/>
            </w:rPr>
            <w:t xml:space="preserve">a%20Sound%20Drug%20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5" w:history="1">
          <w:r>
            <w:rPr>
              <w:rStyle w:val="Hyperlink"/>
            </w:rPr>
            <w:t xml:space="preserve">Formulary%20System.pdf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7.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5" w:history="1">
          <w:r>
            <w:rPr>
              <w:rStyle w:val="Hyperlink"/>
            </w:rPr>
            <w:t xml:space="preserve">Tyler LS, Cole SW, May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JR, et al. ASHP guidelines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on the pharmacy and therapeutics committee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formulary system. Am J Health Syst Pharm. </w:t>
      </w:r>
    </w:p>
    <w:p>
      <w:pPr>
        <w:autoSpaceDN w:val="0"/>
        <w:tabs>
          <w:tab w:pos="1238" w:val="left"/>
        </w:tabs>
        <w:autoSpaceDE w:val="0"/>
        <w:widowControl/>
        <w:spacing w:line="276" w:lineRule="auto" w:before="0" w:after="200"/>
        <w:ind w:left="968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2008;65(13):1272-83. doi: 10.2146/ajhp080086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8. Schiff GD, Galanter WL, Duhig J, et al. A prescription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improving drug formulary decision making. PLoS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Med. 2012;9(5):1-7. doi: 10.1371/journal.pmed.1001220 </w:t>
      </w:r>
      <w:r>
        <w:rPr>
          <w:rFonts w:ascii="Arial" w:hAnsi="Arial" w:eastAsia="Lora"/>
          <w:b w:val="0"/>
          <w:i w:val="0"/>
          <w:color w:val="333333"/>
          <w:sz w:val="18"/>
        </w:rPr>
        <w:t>9. Cantrell SA. The PIE Act: a case study in the impor-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tance of persistence in policymaking. A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6" w:history="1">
          <w:r>
            <w:rPr>
              <w:rStyle w:val="Hyperlink"/>
            </w:rPr>
            <w:t>MCP. January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6" w:history="1">
          <w:r>
            <w:rPr>
              <w:rStyle w:val="Hyperlink"/>
            </w:rPr>
            <w:t xml:space="preserve">23, 2023. Accessed February 2, 2024. 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6" w:history="1">
          <w:r>
            <w:rPr>
              <w:rStyle w:val="Hyperlink"/>
            </w:rPr>
            <w:t>https://www.</w:t>
          </w:r>
        </w:hyperlink>
      </w:r>
    </w:p>
    <w:p>
      <w:pPr>
        <w:autoSpaceDN w:val="0"/>
        <w:tabs>
          <w:tab w:pos="1238" w:val="left"/>
        </w:tabs>
        <w:autoSpaceDE w:val="0"/>
        <w:widowControl/>
        <w:spacing w:line="276" w:lineRule="auto" w:before="0" w:after="200"/>
        <w:ind w:left="968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6" w:history="1">
          <w:r>
            <w:rPr>
              <w:rStyle w:val="Hyperlink"/>
            </w:rPr>
            <w:t>amcp.org/Resource-Center/blog/p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6" w:history="1">
          <w:r>
            <w:rPr>
              <w:rStyle w:val="Hyperlink"/>
            </w:rPr>
            <w:t>ie-ac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6" w:history="1">
          <w:r>
            <w:rPr>
              <w:rStyle w:val="Hyperlink"/>
            </w:rPr>
            <w:t>t-case-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6" w:history="1">
          <w:r>
            <w:rPr>
              <w:rStyle w:val="Hyperlink"/>
            </w:rPr>
            <w:t xml:space="preserve">study-importance-persistence-policymaking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10.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6" w:history="1">
          <w:r>
            <w:rPr>
              <w:rStyle w:val="Hyperlink"/>
            </w:rPr>
            <w:t>AMCP. AMCP format for formulary subm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issions. </w:t>
      </w:r>
    </w:p>
    <w:p>
      <w:pPr>
        <w:autoSpaceDN w:val="0"/>
        <w:tabs>
          <w:tab w:pos="1238" w:val="left"/>
        </w:tabs>
        <w:autoSpaceDE w:val="0"/>
        <w:widowControl/>
        <w:spacing w:line="276" w:lineRule="auto" w:before="0" w:after="200"/>
        <w:ind w:left="968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Guidance on submission of pre-approval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post-approval clinical and economic information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and evidenc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7" w:history="1">
          <w:r>
            <w:rPr>
              <w:rStyle w:val="Hyperlink"/>
            </w:rPr>
            <w:t>e (version 4.1). 2020. Accessed January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7" w:history="1">
          <w:r>
            <w:rPr>
              <w:rStyle w:val="Hyperlink"/>
            </w:rPr>
            <w:t xml:space="preserve">23, 2024. 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7" w:history="1">
          <w:r>
            <w:rPr>
              <w:rStyle w:val="Hyperlink"/>
            </w:rPr>
            <w:t>https://www.amcp.org/sites/defaul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7" w:history="1">
          <w:r>
            <w:rPr>
              <w:rStyle w:val="Hyperlink"/>
            </w:rPr>
            <w:t xml:space="preserve">t/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7" w:history="1">
          <w:r>
            <w:rPr>
              <w:rStyle w:val="Hyperlink"/>
            </w:rPr>
            <w:t>files/2019-12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7" w:history="1">
          <w:r>
            <w:rPr>
              <w:rStyle w:val="Hyperlink"/>
            </w:rPr>
            <w:t xml:space="preserve">/AMCP_Format%204.1_1219_final.pdf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11.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7" w:history="1">
          <w:r>
            <w:rPr>
              <w:rStyle w:val="Hyperlink"/>
            </w:rPr>
            <w:t>Prescription Drug Advertising (1962). 21 CFR 20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2. </w:t>
      </w:r>
    </w:p>
    <w:p>
      <w:pPr>
        <w:autoSpaceDN w:val="0"/>
        <w:autoSpaceDE w:val="0"/>
        <w:widowControl/>
        <w:spacing w:line="276" w:lineRule="auto" w:before="0" w:after="200"/>
        <w:ind w:left="123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Updated October 17, 2023. Accessed January 23, 2024. 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78" w:space="0"/>
            <w:col w:w="5128" w:space="0"/>
          </w:cols>
          <w:docGrid w:linePitch="360"/>
        </w:sectPr>
      </w:pPr>
    </w:p>
    <w:p>
      <w:pPr>
        <w:autoSpaceDN w:val="0"/>
        <w:tabs>
          <w:tab w:pos="560" w:val="left"/>
          <w:tab w:pos="143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8" w:history="1">
          <w:r>
            <w:rPr>
              <w:rStyle w:val="Hyperlink"/>
            </w:rPr>
            <w:t>https://www.accessdata.fda.gov/scrip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8" w:history="1">
          <w:r>
            <w:rPr>
              <w:rStyle w:val="Hyperlink"/>
            </w:rPr>
            <w:t xml:space="preserve">ts/cdrh/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8" w:history="1">
          <w:r>
            <w:rPr>
              <w:rStyle w:val="Hyperlink"/>
            </w:rPr>
            <w:t xml:space="preserve">cfdocs/cfcfr/CFRSearch.cfm?CFRPart=202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12.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8" w:history="1">
          <w:r>
            <w:rPr>
              <w:rStyle w:val="Hyperlink"/>
            </w:rPr>
            <w:t>Food and Drug Administration Moderni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zation Act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of 1997, 2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9" w:history="1">
          <w:r>
            <w:rPr>
              <w:rStyle w:val="Hyperlink"/>
            </w:rPr>
            <w:t>1 USC §114 (1997). Accessed January 23,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9" w:history="1">
          <w:r>
            <w:rPr>
              <w:rStyle w:val="Hyperlink"/>
            </w:rPr>
            <w:t xml:space="preserve">2024.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9" w:history="1">
          <w:r>
            <w:rPr>
              <w:rStyle w:val="Hyperlink"/>
            </w:rPr>
            <w:t>https: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9" w:history="1">
          <w:r>
            <w:rPr>
              <w:rStyle w:val="Hyperlink"/>
            </w:rPr>
            <w:t xml:space="preserve">//www.govinfo.gov/app/details/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9" w:history="1">
          <w:r>
            <w:rPr>
              <w:rStyle w:val="Hyperlink"/>
            </w:rPr>
            <w:t>PLAW-105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29" w:history="1">
          <w:r>
            <w:rPr>
              <w:rStyle w:val="Hyperlink"/>
            </w:rPr>
            <w:t xml:space="preserve">publ115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13.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29" w:history="1">
          <w:r>
            <w:rPr>
              <w:rStyle w:val="Hyperlink"/>
            </w:rPr>
            <w:t>21st Century Cur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es Act, Pub L No. 114-255, 130 Stat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1033 (2016). Accessed January 23, 2024.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t xml:space="preserve"> https://www.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t xml:space="preserve">govinfo.gov/content/pkg/PLAW-114publ255/html/ </w:t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t xml:space="preserve">PLAW-114publ255.htm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14. U.S. Food &amp; Drug Administration. Responding to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unsolicited requests for off-label information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about prescription drugs and medical devices. </w:t>
      </w:r>
    </w:p>
    <w:p>
      <w:pPr>
        <w:autoSpaceDN w:val="0"/>
        <w:tabs>
          <w:tab w:pos="560" w:val="left"/>
          <w:tab w:pos="1156" w:val="left"/>
          <w:tab w:pos="1972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Draft guidance.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0" w:history="1">
          <w:r>
            <w:rPr>
              <w:rStyle w:val="Hyperlink"/>
            </w:rPr>
            <w:t>December 2011. Accessed January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0" w:history="1">
          <w:r>
            <w:rPr>
              <w:rStyle w:val="Hyperlink"/>
            </w:rPr>
            <w:t xml:space="preserve">23,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0" w:history="1">
          <w:r>
            <w:rPr>
              <w:rStyle w:val="Hyperlink"/>
            </w:rPr>
            <w:t xml:space="preserve">2024.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0" w:history="1">
          <w:r>
            <w:rPr>
              <w:rStyle w:val="Hyperlink"/>
            </w:rPr>
            <w:t>https://www.fda.gov/regulatory-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0" w:history="1">
          <w:r>
            <w:rPr>
              <w:rStyle w:val="Hyperlink"/>
            </w:rPr>
            <w:t>information/se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0" w:history="1">
          <w:r>
            <w:rPr>
              <w:rStyle w:val="Hyperlink"/>
            </w:rPr>
            <w:t xml:space="preserve">arch-fda-guidance-documents/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0" w:history="1">
          <w:r>
            <w:rPr>
              <w:rStyle w:val="Hyperlink"/>
            </w:rPr>
            <w:t>responding-unsolicited-requests-label-informa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0" w:history="1">
          <w:r>
            <w:rPr>
              <w:rStyle w:val="Hyperlink"/>
            </w:rPr>
            <w:t>tion-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0" w:history="1">
          <w:r>
            <w:rPr>
              <w:rStyle w:val="Hyperlink"/>
            </w:rPr>
            <w:t xml:space="preserve">about-prescription-drugs-and-medical-devices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15.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0" w:history="1">
          <w:r>
            <w:rPr>
              <w:rStyle w:val="Hyperlink"/>
            </w:rPr>
            <w:t>U.S. Food &amp; Drug Administration. Ques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answers on biosimilar development and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BPCI Act. Guidance for indu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1" w:history="1">
          <w:r>
            <w:rPr>
              <w:rStyle w:val="Hyperlink"/>
            </w:rPr>
            <w:t>stry. September 2021.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1" w:history="1">
          <w:r>
            <w:rPr>
              <w:rStyle w:val="Hyperlink"/>
            </w:rPr>
            <w:t>Accessed January 23, 2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024. 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1" w:history="1">
          <w:r>
            <w:rPr>
              <w:rStyle w:val="Hyperlink"/>
            </w:rPr>
            <w:t xml:space="preserve">https://www.fda.gov/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1" w:history="1">
          <w:r>
            <w:rPr>
              <w:rStyle w:val="Hyperlink"/>
            </w:rPr>
            <w:t xml:space="preserve">media/119258/download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16.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1" w:history="1">
          <w:r>
            <w:rPr>
              <w:rStyle w:val="Hyperlink"/>
            </w:rPr>
            <w:t>U.S. Food &amp; Drug Adm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inistration. Considerations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 demonstrating interchangeability with a refer-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ence product. Guidance for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2" w:history="1">
          <w:r>
            <w:rPr>
              <w:rStyle w:val="Hyperlink"/>
            </w:rPr>
            <w:t>industry. May 2019.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2" w:history="1">
          <w:r>
            <w:rPr>
              <w:rStyle w:val="Hyperlink"/>
            </w:rPr>
            <w:t>Accessed January 23, 2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024. 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2" w:history="1">
          <w:r>
            <w:rPr>
              <w:rStyle w:val="Hyperlink"/>
            </w:rPr>
            <w:t xml:space="preserve">https://www.fda.gov/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2" w:history="1">
          <w:r>
            <w:rPr>
              <w:rStyle w:val="Hyperlink"/>
            </w:rPr>
            <w:t xml:space="preserve">media/124907/download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17.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2" w:history="1">
          <w:r>
            <w:rPr>
              <w:rStyle w:val="Hyperlink"/>
            </w:rPr>
            <w:t>Biologics Price Competi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and Innovation (BPCI)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Act of 2009. Pub L No. 111-148, Stat 124, §7001-7003. </w:t>
      </w:r>
    </w:p>
    <w:p>
      <w:pPr>
        <w:autoSpaceDN w:val="0"/>
        <w:autoSpaceDE w:val="0"/>
        <w:widowControl/>
        <w:spacing w:line="276" w:lineRule="auto" w:before="0" w:after="200"/>
        <w:ind w:left="56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hyperlink r:id="rId33" w:history="1">
          <w:r>
            <w:rPr>
              <w:rStyle w:val="Hyperlink"/>
            </w:rPr>
            <w:t>Updated March 2023. Accessed January 23, 2024.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3" w:history="1">
          <w:r>
            <w:rPr>
              <w:rStyle w:val="Hyperlink"/>
            </w:rPr>
            <w:t>https://www.cong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3" w:history="1">
          <w:r>
            <w:rPr>
              <w:rStyle w:val="Hyperlink"/>
            </w:rPr>
            <w:t xml:space="preserve">ress.gov/111/plaws/publ148/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3" w:history="1">
          <w:r>
            <w:rPr>
              <w:rStyle w:val="Hyperlink"/>
            </w:rPr>
            <w:t xml:space="preserve">PLAW-111publ148.pdf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18.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3" w:history="1">
          <w:r>
            <w:rPr>
              <w:rStyle w:val="Hyperlink"/>
            </w:rPr>
            <w:t xml:space="preserve">U.S. Food &amp; Drug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>Administration. Scientific con-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siderations in demonstrating biosimilarity to 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reference product. Guidance f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4" w:history="1">
          <w:r>
            <w:rPr>
              <w:rStyle w:val="Hyperlink"/>
            </w:rPr>
            <w:t>or industry. April 2015.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4" w:history="1">
          <w:r>
            <w:rPr>
              <w:rStyle w:val="Hyperlink"/>
            </w:rPr>
            <w:t xml:space="preserve">Accessed January 23,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2024. 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4" w:history="1">
          <w:r>
            <w:rPr>
              <w:rStyle w:val="Hyperlink"/>
            </w:rPr>
            <w:t xml:space="preserve">https://www.fda.gov/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4" w:history="1">
          <w:r>
            <w:rPr>
              <w:rStyle w:val="Hyperlink"/>
            </w:rPr>
            <w:t xml:space="preserve">media/82647/download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19.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4" w:history="1">
          <w:r>
            <w:rPr>
              <w:rStyle w:val="Hyperlink"/>
            </w:rPr>
            <w:t>U.S. Food &amp; Drug Ad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ministration. Development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therapeutic protein biosimilars: comparative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analytical assessment and other quality-related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considerations. Guidance for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5" w:history="1">
          <w:r>
            <w:rPr>
              <w:rStyle w:val="Hyperlink"/>
            </w:rPr>
            <w:t xml:space="preserve"> industry. May 2019.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5" w:history="1">
          <w:r>
            <w:rPr>
              <w:rStyle w:val="Hyperlink"/>
            </w:rPr>
            <w:t>Accessed January 23, 2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024. 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5" w:history="1">
          <w:r>
            <w:rPr>
              <w:rStyle w:val="Hyperlink"/>
            </w:rPr>
            <w:t xml:space="preserve">https://www.fda.gov/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5" w:history="1">
          <w:r>
            <w:rPr>
              <w:rStyle w:val="Hyperlink"/>
            </w:rPr>
            <w:t xml:space="preserve">media/159261/download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20.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5" w:history="1">
          <w:r>
            <w:rPr>
              <w:rStyle w:val="Hyperlink"/>
            </w:rPr>
            <w:t xml:space="preserve"> U.S. Food &amp; Drug Adm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inistration. Nonproprietary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naming of biological products: update. Guidance for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6" w:history="1">
          <w:r>
            <w:rPr>
              <w:rStyle w:val="Hyperlink"/>
            </w:rPr>
            <w:t xml:space="preserve">industry. March 2019. Accessed January 23,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2024. </w:t>
      </w:r>
    </w:p>
    <w:p>
      <w:pPr>
        <w:autoSpaceDN w:val="0"/>
        <w:autoSpaceDE w:val="0"/>
        <w:widowControl/>
        <w:spacing w:line="276" w:lineRule="auto" w:before="0" w:after="200"/>
        <w:ind w:left="0" w:right="0" w:firstLine="0"/>
        <w:jc w:val="center"/>
      </w:pP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6" w:history="1">
          <w:r>
            <w:rPr>
              <w:rStyle w:val="Hyperlink"/>
            </w:rPr>
            <w:t xml:space="preserve">https://www.fda.gov/media/121316/download </w:t>
          </w:r>
        </w:hyperlink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78" w:space="0"/>
            <w:col w:w="512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90.0" w:type="dxa"/>
      </w:tblPr>
      <w:tblGrid>
        <w:gridCol w:w="4725"/>
        <w:gridCol w:w="4725"/>
      </w:tblGrid>
      <w:tr>
        <w:trPr>
          <w:trHeight w:hRule="exact" w:val="362"/>
        </w:trPr>
        <w:tc>
          <w:tcPr>
            <w:tcW w:type="dxa" w:w="57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61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990" w:header="720" w:footer="720" w:gutter="0"/>
          <w:cols/>
          <w:docGrid w:linePitch="360"/>
        </w:sectPr>
      </w:pPr>
    </w:p>
    <w:p>
      <w:pPr>
        <w:autoSpaceDN w:val="0"/>
        <w:tabs>
          <w:tab w:pos="270" w:val="left"/>
          <w:tab w:pos="1278" w:val="left"/>
          <w:tab w:pos="2538" w:val="left"/>
          <w:tab w:pos="3086" w:val="left"/>
          <w:tab w:pos="4258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21. U.S. Food &amp; Drug Administration. Reference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product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exclusivity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biological </w:t>
      </w:r>
      <w:r>
        <w:rPr>
          <w:rFonts w:ascii="Arial" w:hAnsi="Arial" w:eastAsia="Lora"/>
          <w:b w:val="0"/>
          <w:i w:val="0"/>
          <w:color w:val="333333"/>
          <w:sz w:val="18"/>
        </w:rPr>
        <w:t>prod-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ucts filed under Section 351(a) of the PHS Act. </w:t>
      </w:r>
    </w:p>
    <w:p>
      <w:pPr>
        <w:autoSpaceDN w:val="0"/>
        <w:tabs>
          <w:tab w:pos="270" w:val="left"/>
          <w:tab w:pos="866" w:val="left"/>
          <w:tab w:pos="1682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Draft guidance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7" w:history="1">
          <w:r>
            <w:rPr>
              <w:rStyle w:val="Hyperlink"/>
            </w:rPr>
            <w:t>. August 2014. Accessed January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7" w:history="1">
          <w:r>
            <w:rPr>
              <w:rStyle w:val="Hyperlink"/>
            </w:rPr>
            <w:t xml:space="preserve">23,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7" w:history="1">
          <w:r>
            <w:rPr>
              <w:rStyle w:val="Hyperlink"/>
            </w:rPr>
            <w:t xml:space="preserve">2024.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7" w:history="1">
          <w:r>
            <w:rPr>
              <w:rStyle w:val="Hyperlink"/>
            </w:rPr>
            <w:t>https://www.fda.gov/regulatory-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7" w:history="1">
          <w:r>
            <w:rPr>
              <w:rStyle w:val="Hyperlink"/>
            </w:rPr>
            <w:t>information/se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7" w:history="1">
          <w:r>
            <w:rPr>
              <w:rStyle w:val="Hyperlink"/>
            </w:rPr>
            <w:t xml:space="preserve">arch-fda-guidance-documents/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7" w:history="1">
          <w:r>
            <w:rPr>
              <w:rStyle w:val="Hyperlink"/>
            </w:rPr>
            <w:t>reference-product-exclusivity-b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7" w:history="1">
          <w:r>
            <w:rPr>
              <w:rStyle w:val="Hyperlink"/>
            </w:rPr>
            <w:t>iological-products-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7" w:history="1">
          <w:r>
            <w:rPr>
              <w:rStyle w:val="Hyperlink"/>
            </w:rPr>
            <w:t xml:space="preserve">filed-under-section-351a-phs-act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22.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7" w:history="1">
          <w:r>
            <w:rPr>
              <w:rStyle w:val="Hyperlink"/>
            </w:rPr>
            <w:t>U.S. Food &amp; Drug Administrat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>ion. Clinical phar-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macology data to support a demonstration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biosimilarity to a reference product. Guidance for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8" w:history="1">
          <w:r>
            <w:rPr>
              <w:rStyle w:val="Hyperlink"/>
            </w:rPr>
            <w:t xml:space="preserve">industry. December 2016. Accessed January 23,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2024. 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8" w:history="1">
          <w:r>
            <w:rPr>
              <w:rStyle w:val="Hyperlink"/>
            </w:rPr>
            <w:t xml:space="preserve">https://www.fda.gov/media/88622/download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23.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8" w:history="1">
          <w:r>
            <w:rPr>
              <w:rStyle w:val="Hyperlink"/>
            </w:rPr>
            <w:t>U.S. Food &amp; Drug Administration. New and re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vised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draft Q&amp;As on biosimilar development and the BPCI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Act (revision 3): Guidance for industry. Draft guid-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9" w:history="1">
          <w:r>
            <w:rPr>
              <w:rStyle w:val="Hyperlink"/>
            </w:rPr>
            <w:t xml:space="preserve">ance. September 2021. Accessed January 23,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2024. 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39" w:history="1">
          <w:r>
            <w:rPr>
              <w:rStyle w:val="Hyperlink"/>
            </w:rPr>
            <w:t xml:space="preserve">https://www.fda.gov/media/119278/download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24.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39" w:history="1">
          <w:r>
            <w:rPr>
              <w:rStyle w:val="Hyperlink"/>
            </w:rPr>
            <w:t>U.S. Food &amp; Drug Administration. In vitro co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>mpan-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ion diagnostic devices. Guidance for industry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Food and Drug Administration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0" w:history="1">
          <w:r>
            <w:rPr>
              <w:rStyle w:val="Hyperlink"/>
            </w:rPr>
            <w:t xml:space="preserve"> staff. August 6, 2014.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0" w:history="1">
          <w:r>
            <w:rPr>
              <w:rStyle w:val="Hyperlink"/>
            </w:rPr>
            <w:t xml:space="preserve">Accessed January 23,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2024. 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0" w:history="1">
          <w:r>
            <w:rPr>
              <w:rStyle w:val="Hyperlink"/>
            </w:rPr>
            <w:t xml:space="preserve">https://www.fda.gov/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0" w:history="1">
          <w:r>
            <w:rPr>
              <w:rStyle w:val="Hyperlink"/>
            </w:rPr>
            <w:t xml:space="preserve">media/81309/download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25.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0" w:history="1">
          <w:r>
            <w:rPr>
              <w:rStyle w:val="Hyperlink"/>
            </w:rPr>
            <w:t>Canestaro WJ, Pritchar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 DE, Garrison LP, Dubois R,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Veenstra DL. Improving the efficiency and quality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the value assessment process for companion diag-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nostic tests: the Companion test Assessment Tool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(CAT). J Manag Care Spec Pharm. 2015;21(8):700-12. 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doi: 10.18553/jmcp.2015.21.8.700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26. Centers for Disease Control and Prevention. ACCE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model process for evaluating gen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1" w:history="1">
          <w:r>
            <w:rPr>
              <w:rStyle w:val="Hyperlink"/>
            </w:rPr>
            <w:t>etic tests. December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1" w:history="1">
          <w:r>
            <w:rPr>
              <w:rStyle w:val="Hyperlink"/>
            </w:rPr>
            <w:t>2010. Accessed January 30, 2024.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  <w:u w:val="single"/>
        </w:rPr>
        <w:t xml:space="preserve"> 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1" w:history="1">
          <w:r>
            <w:rPr>
              <w:rStyle w:val="Hyperlink"/>
            </w:rPr>
            <w:t>https://archive.cdc.</w:t>
          </w:r>
        </w:hyperlink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1" w:history="1">
          <w:r>
            <w:rPr>
              <w:rStyle w:val="Hyperlink"/>
            </w:rPr>
            <w:t>gov/#/details?url=https: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1" w:history="1">
          <w:r>
            <w:rPr>
              <w:rStyle w:val="Hyperlink"/>
            </w:rPr>
            <w:t>//www.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1" w:history="1">
          <w:r>
            <w:rPr>
              <w:rStyle w:val="Hyperlink"/>
            </w:rPr>
            <w:t xml:space="preserve">cdc.gov/genomics/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1" w:history="1">
          <w:r>
            <w:rPr>
              <w:rStyle w:val="Hyperlink"/>
            </w:rPr>
            <w:t xml:space="preserve">gtesting/acce/index.htm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27.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1" w:history="1">
          <w:r>
            <w:rPr>
              <w:rStyle w:val="Hyperlink"/>
            </w:rPr>
            <w:t xml:space="preserve">Institute of Medicine. </w:t>
          </w:r>
        </w:hyperlink>
      </w:r>
      <w:r>
        <w:rPr>
          <w:rFonts w:ascii="Arial" w:hAnsi="Arial" w:eastAsia="Lora"/>
          <w:b w:val="0"/>
          <w:i/>
          <w:color w:val="333333"/>
          <w:sz w:val="18"/>
        </w:rPr>
        <w:t xml:space="preserve">Generating Evidence for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/>
          <w:color w:val="333333"/>
          <w:sz w:val="18"/>
        </w:rPr>
        <w:t xml:space="preserve">Genomic Diagnostic Test Development: Workshop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/>
          <w:color w:val="333333"/>
          <w:sz w:val="18"/>
        </w:rPr>
        <w:t>Summary</w:t>
      </w:r>
      <w:r>
        <w:rPr>
          <w:rFonts w:ascii="Arial" w:hAnsi="Arial" w:eastAsia="Lora"/>
          <w:b w:val="0"/>
          <w:i w:val="0"/>
          <w:color w:val="333333"/>
          <w:sz w:val="18"/>
        </w:rPr>
        <w:t>. Washington, DC: The Nation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2" w:history="1">
          <w:r>
            <w:rPr>
              <w:rStyle w:val="Hyperlink"/>
            </w:rPr>
            <w:t>al Academies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Press; 2011. Accessed January 23, 2024. 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2" w:history="1">
          <w:r>
            <w:rPr>
              <w:rStyle w:val="Hyperlink"/>
            </w:rPr>
            <w:t>https://www.</w:t>
          </w:r>
        </w:hyperlink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2" w:history="1">
          <w:r>
            <w:rPr>
              <w:rStyle w:val="Hyperlink"/>
            </w:rPr>
            <w:t xml:space="preserve">ncbi.nlm.nih.gov/books/NBK62412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28.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2" w:history="1">
          <w:r>
            <w:rPr>
              <w:rStyle w:val="Hyperlink"/>
            </w:rPr>
            <w:t>Fryback DG, Thornbury JR. The effi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cacy of diagnostic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imaging. Med Decis Making. 1991;11(2):88-94. doi: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10.1177/0272989x9101100203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29. Byron SK, Crabb N, George E, Marlow M, Newland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A. The health technology assessment of compan-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ion diagnostics: experience of NICE. Clin Cancer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Res. 2014;20(6):1469-76. doi: 10.1158/1078-0432.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Ccr-13-1955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30. Veenstra DL, Piper M, Haddow JE, et al. Improving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efficiency and relevance of evidence-based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recommendations in the era of whole-genome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sequencing: an EGAPP methods update. Genet Med.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990" w:header="720" w:footer="720" w:gutter="0"/>
          <w:cols w:num="2" w:equalWidth="0">
            <w:col w:w="5108" w:space="0"/>
            <w:col w:w="5782" w:space="0"/>
          </w:cols>
          <w:docGrid w:linePitch="360"/>
        </w:sectPr>
      </w:pP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2013;15(1):14-24. doi: 10.1038/gim.2012.106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31. Gomez Montero M, El Alili H, Hashim M, et al. How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are companion diagnostics considered in economic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evaluations of oncology treatments? A review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health technology assessments. Pharmacoecon Open. </w:t>
      </w: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2022;6(5):637-46. doi: 10.1007/s41669-022-00350-6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32. Berry DA. Bayesian approaches for comparative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effectiveness research. Clin Trials. 2012;9(1):37-47. </w:t>
      </w: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doi: 10.1177/1740774511417470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33. U.S. Food &amp; Drug Administration. Guidance for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use of Bayesian statistics in medical device clinical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3" w:history="1">
          <w:r>
            <w:rPr>
              <w:rStyle w:val="Hyperlink"/>
            </w:rPr>
            <w:t>trials. February 2010. Accessed January 23, 2024.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tabs>
          <w:tab w:pos="562" w:val="left"/>
          <w:tab w:pos="2964" w:val="left"/>
          <w:tab w:pos="4238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3" w:history="1">
          <w:r>
            <w:rPr>
              <w:rStyle w:val="Hyperlink"/>
            </w:rPr>
            <w:t xml:space="preserve">https://www.fda.gov/regulatory-information/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3" w:history="1">
          <w:r>
            <w:rPr>
              <w:rStyle w:val="Hyperlink"/>
            </w:rPr>
            <w:t>search-fda-guidance-documents/guidance-u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3" w:history="1">
          <w:r>
            <w:rPr>
              <w:rStyle w:val="Hyperlink"/>
            </w:rPr>
            <w:t>se-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3" w:history="1">
          <w:r>
            <w:rPr>
              <w:rStyle w:val="Hyperlink"/>
            </w:rPr>
            <w:t xml:space="preserve">bayesian-statistics-medical-device-clinical-trials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>34.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3" w:history="1">
          <w:r>
            <w:rPr>
              <w:rStyle w:val="Hyperlink"/>
            </w:rPr>
            <w:t xml:space="preserve"> Thorpe KE, Zwarenstein M, Oxman AD, et a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l. 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pragmatic-explanatory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continuum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indicator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summary (PRECIS): a tool to help trial designers. </w:t>
      </w:r>
    </w:p>
    <w:p>
      <w:pPr>
        <w:autoSpaceDN w:val="0"/>
        <w:autoSpaceDE w:val="0"/>
        <w:widowControl/>
        <w:spacing w:line="276" w:lineRule="auto" w:before="0" w:after="200"/>
        <w:ind w:left="562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J Clin Epidemiol. 2009;62(5):464-75. doi: 10.1016/j.</w:t>
      </w: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jclinepi.2008.12.011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35. Tunis SR, Stryer DB, Clancy CM. Practical clinical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trials: increasing the value of clinical research for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decision making in clinical and health policy. JAMA. </w:t>
      </w: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2003;290(12):1624-32. doi: 10.1001/jama.290.12.1624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36. Berger ML, Dreyer N, Anderson F, Towse A, Sedrakyan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A, Normand SL. Prospective observational studies to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assess comparative effectiveness: the ISPOR good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research practices task force report. Value Health. </w:t>
      </w: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2012;15(2):217-30. doi: 10.1016/j.jval.2011.12.010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37. Johnson ML, Crown W, Martin BC, Dormuth CR,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Siebert U. Good research practices for compara-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tive effectiveness research: analytic methods to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improve causal inference from nonrandomized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studies of treatment effects using secondary data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sources: the ISPOR Good Research Practices for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Retrospective Database Analysis Task Force Report-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-Part III. Value Health. 2009;12(8):1062-73. doi: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10.1111/j.1524-4733.2009.00602.x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38. Institute of Medicine. </w:t>
      </w:r>
      <w:r>
        <w:rPr>
          <w:rFonts w:ascii="Arial" w:hAnsi="Arial" w:eastAsia="Lora"/>
          <w:b w:val="0"/>
          <w:i/>
          <w:color w:val="333333"/>
          <w:sz w:val="18"/>
        </w:rPr>
        <w:t xml:space="preserve">Finding What Works in Health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/>
          <w:color w:val="333333"/>
          <w:sz w:val="18"/>
        </w:rPr>
        <w:t>Care: Standards for Systematic Reviews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. Washington,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DC: The National A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4" w:history="1">
          <w:r>
            <w:rPr>
              <w:rStyle w:val="Hyperlink"/>
            </w:rPr>
            <w:t>cademies Press; 2011. Accessed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4" w:history="1">
          <w:r>
            <w:rPr>
              <w:rStyle w:val="Hyperlink"/>
            </w:rPr>
            <w:t>January 23, 2024.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4" w:history="1">
          <w:r>
            <w:rPr>
              <w:rStyle w:val="Hyperlink"/>
            </w:rPr>
            <w:t xml:space="preserve">https://www.ncbi.nlm.nih.gov/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4" w:history="1">
          <w:r>
            <w:rPr>
              <w:rStyle w:val="Hyperlink"/>
            </w:rPr>
            <w:t xml:space="preserve">books/NBK209518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39.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4" w:history="1">
          <w:r>
            <w:rPr>
              <w:rStyle w:val="Hyperlink"/>
            </w:rPr>
            <w:t xml:space="preserve"> Agency for Heal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thcare Research and Quality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(AHRQ). Methods guide for effectiveness and com-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parative effectiveness reviews. AHRQ Publication No. </w:t>
      </w: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10(14)-EH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5" w:history="1">
          <w:r>
            <w:rPr>
              <w:rStyle w:val="Hyperlink"/>
            </w:rPr>
            <w:t>C063-EF. January 2014. Accessed January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5" w:history="1">
          <w:r>
            <w:rPr>
              <w:rStyle w:val="Hyperlink"/>
            </w:rPr>
            <w:t xml:space="preserve">23, 2024. 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5" w:history="1">
          <w:r>
            <w:rPr>
              <w:rStyle w:val="Hyperlink"/>
            </w:rPr>
            <w:t xml:space="preserve">https://effectivehealthcare.ahrq.gov/sites/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5" w:history="1">
          <w:r>
            <w:rPr>
              <w:rStyle w:val="Hyperlink"/>
            </w:rPr>
            <w:t>default/fi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5" w:history="1">
          <w:r>
            <w:rPr>
              <w:rStyle w:val="Hyperlink"/>
            </w:rPr>
            <w:t xml:space="preserve">les/pdf/cer-methods-guide_overview.pdf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>40.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5" w:history="1">
          <w:r>
            <w:rPr>
              <w:rStyle w:val="Hyperlink"/>
            </w:rPr>
            <w:t xml:space="preserve"> McDonagh MS, Jonas DE, Gartlehner G, et al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. </w:t>
      </w:r>
    </w:p>
    <w:p>
      <w:pPr>
        <w:autoSpaceDN w:val="0"/>
        <w:autoSpaceDE w:val="0"/>
        <w:widowControl/>
        <w:spacing w:line="276" w:lineRule="auto" w:before="0" w:after="200"/>
        <w:ind w:left="562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Methods for the Drug Effectiveness Review </w:t>
      </w:r>
    </w:p>
    <w:p>
      <w:pPr>
        <w:spacing w:line="276" w:lineRule="auto" w:after="200" w:before="0"/>
        <w:sectPr>
          <w:type w:val="nextColumn"/>
          <w:pgSz w:w="11880" w:h="15660"/>
          <w:pgMar w:top="360" w:right="0" w:bottom="266" w:left="990" w:header="720" w:footer="720" w:gutter="0"/>
          <w:cols w:num="2" w:equalWidth="0">
            <w:col w:w="5108" w:space="0"/>
            <w:col w:w="5782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3"/>
        <w:gridCol w:w="4883"/>
      </w:tblGrid>
      <w:tr>
        <w:trPr>
          <w:trHeight w:hRule="exact" w:val="36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62</w:t>
            </w:r>
          </w:p>
        </w:tc>
        <w:tc>
          <w:tcPr>
            <w:tcW w:type="dxa" w:w="5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674" w:bottom="266" w:left="0" w:header="720" w:footer="720" w:gutter="0"/>
          <w:cols/>
          <w:docGrid w:linePitch="360"/>
        </w:sectPr>
      </w:pPr>
    </w:p>
    <w:p>
      <w:pPr>
        <w:autoSpaceDN w:val="0"/>
        <w:tabs>
          <w:tab w:pos="1238" w:val="left"/>
        </w:tabs>
        <w:autoSpaceDE w:val="0"/>
        <w:widowControl/>
        <w:spacing w:line="276" w:lineRule="auto" w:before="0" w:after="200"/>
        <w:ind w:left="968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Project. BMC Med Res Methodol. 2012;12:140. doi: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10.1186/1471-2288-12-140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41. Hoaglin DC, Hawkins N, Jansen JP, et al. Conducting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indirect-treatment-comparison and network-meta-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analysis studies: report of the ISPOR Task Force 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Indirect Treatment Comparisons Good Research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Practices: Part 2. Value Health. 2011;14(4):429-37. doi: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10.1016/j.jval.2011.01.011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42. Caro JJ, Briggs AH, Siebert U, Kuntz KM. Modeling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good research practices—overview: a report of the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ISPOR-SMDM Modeling Good Research Practices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Task Force—1. Value Health. 2012;15(6):796-803. doi: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10.1016/j.jval.2012.06.012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43. Chen S, Graff J, Yun S, et al. Online tools to synthesize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real-world evidence of comparative effectiveness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research to enhance formulary decision making. </w:t>
      </w:r>
    </w:p>
    <w:p>
      <w:pPr>
        <w:autoSpaceDN w:val="0"/>
        <w:tabs>
          <w:tab w:pos="1238" w:val="left"/>
        </w:tabs>
        <w:autoSpaceDE w:val="0"/>
        <w:widowControl/>
        <w:spacing w:line="276" w:lineRule="auto" w:before="0" w:after="200"/>
        <w:ind w:left="968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 Manag Care Spec Pharm. 2021;27(1):95-104. doi: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10.18553/jmcp.2021.27.1.095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44. Berger ML, Martin BC, Husereau D, et al. A ques-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tionnaire to assess the relevance and credibility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observational studies to inform health care decision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making: an ISPOR-AMCP-NPC Good Practice Task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Force report. Value Health. 2014;17(2):143-56. doi: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10.1016/j.jval.2013.12.011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45. Jaime Caro J, Eddy DM, Kan H, et al. Questionnaire to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assess relevance and credibility of modeling studies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for informing health care decision making: an ISPOR-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AMCP-NPC Good Practice Task Force report. Value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Health. 2014;17(2):174-82. doi: 10.1016/j.jval.2014.01.003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46. Jansen JP, Trikalinos T, Cappelleri JC, et al. Indirect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treatment comparison/network meta-analysis study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questionnaire to assess relevance and credibility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to inform health care decision making: an ISPOR-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AMCP-NPC Good Practice Task Force report. Value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Health. 2014;17(2):157-73. doi: 10.1016/j.jval.2014.01.004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47. Ollendorf DA, Pearson SD. An integrated evidence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rating to frame comparative effectiveness assess-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ments for decision makers. Med Care. 2010;48(6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Suppl):S145-52. doi: 10.1097/MLR.0b013e3181d9913b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48. Ollendorf DA, Pearson SD. ICER evidence rating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matrix: a user’s guide. February 20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6" w:history="1">
          <w:r>
            <w:rPr>
              <w:rStyle w:val="Hyperlink"/>
            </w:rPr>
            <w:t>16. Updated July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6" w:history="1">
          <w:r>
            <w:rPr>
              <w:rStyle w:val="Hyperlink"/>
            </w:rPr>
            <w:t xml:space="preserve">18, 2017. Accessed January 23, 2024. 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6" w:history="1">
          <w:r>
            <w:rPr>
              <w:rStyle w:val="Hyperlink"/>
            </w:rPr>
            <w:t xml:space="preserve">https://icer.org/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6" w:history="1">
          <w:r>
            <w:rPr>
              <w:rStyle w:val="Hyperlink"/>
            </w:rPr>
            <w:t>wp-content/uploads/2020/10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6" w:history="1">
          <w:r>
            <w:rPr>
              <w:rStyle w:val="Hyperlink"/>
            </w:rPr>
            <w:t>/Rat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6" w:history="1">
          <w:r>
            <w:rPr>
              <w:rStyle w:val="Hyperlink"/>
            </w:rPr>
            <w:t>ing-Matrix-User-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6" w:history="1">
          <w:r>
            <w:rPr>
              <w:rStyle w:val="Hyperlink"/>
            </w:rPr>
            <w:t xml:space="preserve">Guide-UPDATED-06.30.17.pdf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49.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6" w:history="1">
          <w:r>
            <w:rPr>
              <w:rStyle w:val="Hyperlink"/>
            </w:rPr>
            <w:t>Institute for Clinical and Econ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>omic Review. E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7" w:history="1">
          <w:r>
            <w:rPr>
              <w:rStyle w:val="Hyperlink"/>
            </w:rPr>
            <w:t>vidence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7" w:history="1">
          <w:r>
            <w:rPr>
              <w:rStyle w:val="Hyperlink"/>
            </w:rPr>
            <w:t>rating matrix. Accessed Februar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y 2, 2024. </w:t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7" w:history="1">
          <w:r>
            <w:rPr>
              <w:rStyle w:val="Hyperlink"/>
            </w:rPr>
            <w:t xml:space="preserve">https://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7" w:history="1">
          <w:r>
            <w:rPr>
              <w:rStyle w:val="Hyperlink"/>
            </w:rPr>
            <w:t xml:space="preserve">icer.org/evidence-rating-matrix/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50.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7" w:history="1">
          <w:r>
            <w:rPr>
              <w:rStyle w:val="Hyperlink"/>
            </w:rPr>
            <w:t xml:space="preserve"> Guyatt GH, Oxman AD, Vist G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E, et al. GRADE: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an emerging consensus on rating quality of evi-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dence and strength of recommendations. BMJ. </w:t>
      </w:r>
    </w:p>
    <w:p>
      <w:pPr>
        <w:autoSpaceDN w:val="0"/>
        <w:autoSpaceDE w:val="0"/>
        <w:widowControl/>
        <w:spacing w:line="276" w:lineRule="auto" w:before="0" w:after="200"/>
        <w:ind w:left="1238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2008;336(7650):924-6. doi: 10.1136/bmj.39489.470347.</w:t>
      </w:r>
    </w:p>
    <w:p>
      <w:pPr>
        <w:spacing w:line="276" w:lineRule="auto" w:after="200" w:before="0"/>
        <w:sectPr>
          <w:type w:val="continuous"/>
          <w:pgSz w:w="11880" w:h="15660"/>
          <w:pgMar w:top="360" w:right="674" w:bottom="266" w:left="0" w:header="720" w:footer="720" w:gutter="0"/>
          <w:cols w:num="2" w:equalWidth="0">
            <w:col w:w="6078" w:space="0"/>
            <w:col w:w="512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560" w:right="20" w:hanging="27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51. Guyatt GH, Oxman AD, Schünemann HJ, Tugwell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P, Knottnerus A. GRADE guidelines: a new series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articles in the Journal of Clinical Epidemiology. </w:t>
      </w:r>
    </w:p>
    <w:p>
      <w:pPr>
        <w:autoSpaceDN w:val="0"/>
        <w:autoSpaceDE w:val="0"/>
        <w:widowControl/>
        <w:spacing w:line="276" w:lineRule="auto" w:before="0" w:after="200"/>
        <w:ind w:left="56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J Clin Epidemiol. 2011;64(4):380-2. doi: 10.1016/j.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jclinepi.2010.09.011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52. U.S. Preventive Services Task Force. U.S. Preventive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Services Task Force procedure manual. May 2021. </w:t>
      </w:r>
    </w:p>
    <w:p>
      <w:pPr>
        <w:autoSpaceDN w:val="0"/>
        <w:autoSpaceDE w:val="0"/>
        <w:widowControl/>
        <w:spacing w:line="276" w:lineRule="auto" w:before="0" w:after="200"/>
        <w:ind w:left="56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hyperlink r:id="rId48" w:history="1">
          <w:r>
            <w:rPr>
              <w:rStyle w:val="Hyperlink"/>
            </w:rPr>
            <w:t>Updated April 2023. Accessed January 23, 2024.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8" w:history="1">
          <w:r>
            <w:rPr>
              <w:rStyle w:val="Hyperlink"/>
            </w:rPr>
            <w:t xml:space="preserve">https://www.uspreventiveservicestaskforce.org/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8" w:history="1">
          <w:r>
            <w:rPr>
              <w:rStyle w:val="Hyperlink"/>
            </w:rPr>
            <w:t>uspstf/about-us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8" w:history="1">
          <w:r>
            <w:rPr>
              <w:rStyle w:val="Hyperlink"/>
            </w:rPr>
            <w:t xml:space="preserve">pstf/methods-and-processes/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8" w:history="1">
          <w:r>
            <w:rPr>
              <w:rStyle w:val="Hyperlink"/>
            </w:rPr>
            <w:t xml:space="preserve">procedure-manual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53.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8" w:history="1">
          <w:r>
            <w:rPr>
              <w:rStyle w:val="Hyperlink"/>
            </w:rPr>
            <w:t xml:space="preserve"> Berger ML, Sox H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, Willke RJ, et al. Good practices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for real-world data studies of treatment and/or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comparative effectiveness: Recommendations from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the joint ISPOR-ISPE Special Task Force on real-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world evidence in health care decision making. 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Pharmacoepidemiol Drug Saf. 2017;26(9):1033-9. doi: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10.1002/pds.4297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54. Digital Therapeutics Alliance. DTA’s adoption &amp;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interpretation of ISO’s DTx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9" w:history="1">
          <w:r>
            <w:rPr>
              <w:rStyle w:val="Hyperlink"/>
            </w:rPr>
            <w:t xml:space="preserve"> definition. June 2023.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9" w:history="1">
          <w:r>
            <w:rPr>
              <w:rStyle w:val="Hyperlink"/>
            </w:rPr>
            <w:t xml:space="preserve">Accessed January 23, 2024. 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9" w:history="1">
          <w:r>
            <w:rPr>
              <w:rStyle w:val="Hyperlink"/>
            </w:rPr>
            <w:t xml:space="preserve">https://dtxalliance.org/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9" w:history="1">
          <w:r>
            <w:rPr>
              <w:rStyle w:val="Hyperlink"/>
            </w:rPr>
            <w:t>wp-content/u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9" w:history="1">
          <w:r>
            <w:rPr>
              <w:rStyle w:val="Hyperlink"/>
            </w:rPr>
            <w:t>ploads/2023/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9" w:history="1">
          <w:r>
            <w:rPr>
              <w:rStyle w:val="Hyperlink"/>
            </w:rPr>
            <w:t>06/DTA_FS_New-DTx-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49" w:history="1">
          <w:r>
            <w:rPr>
              <w:rStyle w:val="Hyperlink"/>
            </w:rPr>
            <w:t xml:space="preserve">Definition.pdf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55.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49" w:history="1">
          <w:r>
            <w:rPr>
              <w:rStyle w:val="Hyperlink"/>
            </w:rPr>
            <w:t>AMCP Partne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>rship Forum: Digital therapeutics—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what are they and where do they fit in pharmacy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and medical benefits? J Manag Care Spec Pharm. 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2020;26(5):674-81. doi: 10.18553/jmcp.2020.19418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56. AMCP Partnership Forum: The evolving role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digital therapeutics. J Manag Care Spec Pharm. 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2022;28(7):804-10. doi:10.18553/jmcp.2022.22093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57. National Institute for Health and Care Excellence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(NICE). Evidence standards framework for digital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health technologies. Corporate document [ECD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0" w:history="1">
          <w:r>
            <w:rPr>
              <w:rStyle w:val="Hyperlink"/>
            </w:rPr>
            <w:t>7]. December 10, 2018. Accessed January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23, 2024. </w:t>
      </w:r>
    </w:p>
    <w:p>
      <w:pPr>
        <w:autoSpaceDN w:val="0"/>
        <w:tabs>
          <w:tab w:pos="560" w:val="left"/>
          <w:tab w:pos="1066" w:val="left"/>
          <w:tab w:pos="1788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0" w:history="1">
          <w:r>
            <w:rPr>
              <w:rStyle w:val="Hyperlink"/>
            </w:rPr>
            <w:t xml:space="preserve">https://www.nice.org.uk/corporate/ecd7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58.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0" w:history="1">
          <w:r>
            <w:rPr>
              <w:rStyle w:val="Hyperlink"/>
            </w:rPr>
            <w:t xml:space="preserve"> Digital Therapeutics Alliance. Advancing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DTx. DTx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value asses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1" w:history="1">
          <w:r>
            <w:rPr>
              <w:rStyle w:val="Hyperlink"/>
            </w:rPr>
            <w:t>sment &amp; integration. Accessed January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1" w:history="1">
          <w:r>
            <w:rPr>
              <w:rStyle w:val="Hyperlink"/>
            </w:rPr>
            <w:t xml:space="preserve">23, 2024. 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1" w:history="1">
          <w:r>
            <w:rPr>
              <w:rStyle w:val="Hyperlink"/>
            </w:rPr>
            <w:t>https: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1" w:history="1">
          <w:r>
            <w:rPr>
              <w:rStyle w:val="Hyperlink"/>
            </w:rPr>
            <w:t xml:space="preserve">//dtxalliance.org/advancing-dtx/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1" w:history="1">
          <w:r>
            <w:rPr>
              <w:rStyle w:val="Hyperlink"/>
            </w:rPr>
            <w:t>dtx-value-g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1" w:history="1">
          <w:r>
            <w:rPr>
              <w:rStyle w:val="Hyperlink"/>
            </w:rPr>
            <w:t xml:space="preserve">uide/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59.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1" w:history="1">
          <w:r>
            <w:rPr>
              <w:rStyle w:val="Hyperlink"/>
            </w:rPr>
            <w:t>U.S. Food &amp; Drug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Administration. Use of real-world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evidence to support regulatory decision-making for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medical devices. Guidance for industry and Food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Administration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2" w:history="1">
          <w:r>
            <w:rPr>
              <w:rStyle w:val="Hyperlink"/>
            </w:rPr>
            <w:t xml:space="preserve"> staff. August 2017.  Accessed January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2" w:history="1">
          <w:r>
            <w:rPr>
              <w:rStyle w:val="Hyperlink"/>
            </w:rPr>
            <w:t xml:space="preserve">23,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2" w:history="1">
          <w:r>
            <w:rPr>
              <w:rStyle w:val="Hyperlink"/>
            </w:rPr>
            <w:t>2024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. </w:t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2" w:history="1">
          <w:r>
            <w:rPr>
              <w:rStyle w:val="Hyperlink"/>
            </w:rPr>
            <w:t xml:space="preserve">https://www.fda.gov/media/99447/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2" w:history="1">
          <w:r>
            <w:rPr>
              <w:rStyle w:val="Hyperlink"/>
            </w:rPr>
            <w:t xml:space="preserve">download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60.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2" w:history="1">
          <w:r>
            <w:rPr>
              <w:rStyle w:val="Hyperlink"/>
            </w:rPr>
            <w:t xml:space="preserve"> Varadhan R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, Segal JB, Boyd CM, Wu AW, Weiss CO. 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framework for the analysis of heterogeneity of treat-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ment effect in patient-centered outcomes research. </w:t>
      </w:r>
    </w:p>
    <w:p>
      <w:pPr>
        <w:autoSpaceDN w:val="0"/>
        <w:autoSpaceDE w:val="0"/>
        <w:widowControl/>
        <w:spacing w:line="276" w:lineRule="auto" w:before="0" w:after="200"/>
        <w:ind w:left="560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>J Clin Epidemiol. 2013;66(8):818-25. doi: 10.1016/j.</w:t>
      </w:r>
    </w:p>
    <w:p>
      <w:pPr>
        <w:autoSpaceDN w:val="0"/>
        <w:tabs>
          <w:tab w:pos="560" w:val="left"/>
        </w:tabs>
        <w:autoSpaceDE w:val="0"/>
        <w:widowControl/>
        <w:spacing w:line="276" w:lineRule="auto" w:before="0" w:after="200"/>
        <w:ind w:left="290" w:right="0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jclinepi.2013.02.009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61. Malone DC, Hines LE, Graff JS. The good, the bad, and </w:t>
      </w:r>
    </w:p>
    <w:p>
      <w:pPr>
        <w:spacing w:line="276" w:lineRule="auto" w:after="200" w:before="0"/>
        <w:sectPr>
          <w:type w:val="nextColumn"/>
          <w:pgSz w:w="11880" w:h="15660"/>
          <w:pgMar w:top="360" w:right="674" w:bottom="266" w:left="0" w:header="720" w:footer="720" w:gutter="0"/>
          <w:cols w:num="2" w:equalWidth="0">
            <w:col w:w="6078" w:space="0"/>
            <w:col w:w="5128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90.0" w:type="dxa"/>
      </w:tblPr>
      <w:tblGrid>
        <w:gridCol w:w="4725"/>
        <w:gridCol w:w="4725"/>
      </w:tblGrid>
      <w:tr>
        <w:trPr>
          <w:trHeight w:hRule="exact" w:val="362"/>
        </w:trPr>
        <w:tc>
          <w:tcPr>
            <w:tcW w:type="dxa" w:w="57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63</w:t>
            </w:r>
          </w:p>
        </w:tc>
      </w:tr>
    </w:tbl>
    <w:p>
      <w:pPr>
        <w:autoSpaceDN w:val="0"/>
        <w:autoSpaceDE w:val="0"/>
        <w:widowControl/>
        <w:spacing w:line="276" w:lineRule="auto" w:before="0" w:after="200"/>
        <w:ind w:left="0" w:right="0"/>
      </w:pPr>
    </w:p>
    <w:p>
      <w:pPr>
        <w:spacing w:line="276" w:lineRule="auto" w:after="200" w:before="0"/>
        <w:sectPr>
          <w:pgSz w:w="11880" w:h="15660"/>
          <w:pgMar w:top="360" w:right="0" w:bottom="266" w:left="9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144" w:right="288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the different: a primer on aspects of heterogeneity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treatment effects. J Manag Care Spec Pharm. </w:t>
      </w:r>
    </w:p>
    <w:p>
      <w:pPr>
        <w:autoSpaceDN w:val="0"/>
        <w:autoSpaceDE w:val="0"/>
        <w:widowControl/>
        <w:spacing w:line="276" w:lineRule="auto" w:before="0" w:after="200"/>
        <w:ind w:left="0" w:right="288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2014;20(6):555-63. doi: 10.18553/jmcp.2014.20.6.555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62. Warholak TL, Hilgaertner JW, Dean JL, et al. </w:t>
      </w:r>
    </w:p>
    <w:p>
      <w:pPr>
        <w:autoSpaceDN w:val="0"/>
        <w:autoSpaceDE w:val="0"/>
        <w:widowControl/>
        <w:spacing w:line="276" w:lineRule="auto" w:before="0" w:after="200"/>
        <w:ind w:left="144" w:right="288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>Evaluation of an educational program on decipher-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ing heterogeneity for medical coverage decisions. 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 Manag Care Spec Pharm. 2014;20(6):566-73. doi: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10.18553/jmcp.2014.20.6.566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63. Willke RJ, Zheng Z, Subedi P, Althin R, Mullins CD. </w:t>
      </w:r>
    </w:p>
    <w:p>
      <w:pPr>
        <w:autoSpaceDN w:val="0"/>
        <w:autoSpaceDE w:val="0"/>
        <w:widowControl/>
        <w:spacing w:line="276" w:lineRule="auto" w:before="0" w:after="200"/>
        <w:ind w:left="270" w:right="290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From concepts, theory, and evidence of heterogeneity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treatment effects to methodological approaches: a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primer. BMC Med Res Methodol. 2012 Dec 13;12:185. 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doi: 10.1186/1471-2288-12-185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64. Kent DM, Rothwell PM, Ioannidis JP, Altman DG,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Hayward RA. Assessing and reporting heterogeneity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 treatment effects in clinical trials: a proposal. 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Trials. 2010 Aug 12;11:85. doi: 10.1186/1745-6215-11-85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65. Briggs AH, Weinstein MC, Fenwick EA, Karnon J,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Sculpher MJ, Paltiel AD. Model parameter estima-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tion and uncertainty: a report of the ISPOR-SMDM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Modeling Good Research Practices Task Force—6. </w:t>
      </w:r>
    </w:p>
    <w:p>
      <w:pPr>
        <w:autoSpaceDN w:val="0"/>
        <w:autoSpaceDE w:val="0"/>
        <w:widowControl/>
        <w:spacing w:line="276" w:lineRule="auto" w:before="0" w:after="200"/>
        <w:ind w:left="0" w:right="0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>Value Health. 2012;15(6):835-42. doi: 10.1016/j.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jval.2012.04.014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66. Eddy DM, Hollingworth W, Caro JJ, Tsevat J, McDonald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KM, Wong JB. Model transparency and validation: 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report of the ISPOR-SMDM Modeling Good Research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Practices Task Force—7. Value Health. 2012;15(6):843-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50. doi: 10.1016/j.jval.2012.04.012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67. Karnon J, Stahl J, Brennan A, Caro JJ, Mar J, Möller J. 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Modeling using discrete event simulation: a report of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the ISPOR-SMDM Modeling Good Research Practices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Task Force—4. Value Health. 2012;15(6):821-7. doi: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10.1016/j.jval.2012.04.013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68. Pitman R, Fisman D, Zaric GS, et al. Dynamic trans-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mission modeling: a report of the ISPOR-SMDM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Modeling Good Research Practices Task Force—5. </w:t>
      </w:r>
    </w:p>
    <w:p>
      <w:pPr>
        <w:autoSpaceDN w:val="0"/>
        <w:autoSpaceDE w:val="0"/>
        <w:widowControl/>
        <w:spacing w:line="276" w:lineRule="auto" w:before="0" w:after="200"/>
        <w:ind w:left="0" w:right="0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>Value Health. 2012;15(6):828-34. doi: 10.1016/j.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jval.2012.06.011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69. Roberts M, Russell LB, Paltiel AD, Chambers M,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McEwan P, Krahn M. Conceptualizing a model: a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report of the ISPOR-SMDM Modeling Good Research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Practices Task Force—2. Value Health. 2012;15(6):804-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11. doi: 10.1016/j.jval.2012.06.016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70. Siebert U, Alagoz O, Bayoumi AM, et al. State-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transition modeling: a report of the ISPOR-SMDM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Modeling Good Research Practices Task Force—3. </w:t>
      </w:r>
    </w:p>
    <w:p>
      <w:pPr>
        <w:autoSpaceDN w:val="0"/>
        <w:autoSpaceDE w:val="0"/>
        <w:widowControl/>
        <w:spacing w:line="276" w:lineRule="auto" w:before="0" w:after="200"/>
        <w:ind w:left="0" w:right="0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>Value Health. 2012;15(6):812-20. doi: 10.1016/j.</w:t>
      </w:r>
    </w:p>
    <w:p>
      <w:pPr>
        <w:autoSpaceDN w:val="0"/>
        <w:tabs>
          <w:tab w:pos="270" w:val="left"/>
        </w:tabs>
        <w:autoSpaceDE w:val="0"/>
        <w:widowControl/>
        <w:spacing w:line="276" w:lineRule="auto" w:before="0" w:after="200"/>
        <w:ind w:left="0" w:right="288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jval.2012.06.014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71. Sullivan SD, Mauskopf JA, Augustovski F, et al. Budget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impact analysis-principles of good practice: report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of the ISPOR 2012 Budget Impact Analysis Good </w:t>
      </w:r>
    </w:p>
    <w:p>
      <w:pPr>
        <w:spacing w:line="276" w:lineRule="auto" w:after="200" w:before="0"/>
        <w:sectPr>
          <w:type w:val="continuous"/>
          <w:pgSz w:w="11880" w:h="15660"/>
          <w:pgMar w:top="360" w:right="0" w:bottom="266" w:left="990" w:header="720" w:footer="720" w:gutter="0"/>
          <w:cols w:num="2" w:equalWidth="0">
            <w:col w:w="5108" w:space="0"/>
            <w:col w:w="5782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562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Practice II Task Force. Value Health. 2014;17(1):5-14. </w:t>
      </w: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doi: 10.1016/j.jval.2013.08.2291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72. Mauskopf JA, Sullivan SD, Annemans L, et al. </w:t>
      </w:r>
    </w:p>
    <w:p>
      <w:pPr>
        <w:autoSpaceDN w:val="0"/>
        <w:autoSpaceDE w:val="0"/>
        <w:widowControl/>
        <w:spacing w:line="276" w:lineRule="auto" w:before="0" w:after="200"/>
        <w:ind w:left="432" w:right="576" w:firstLine="0"/>
        <w:jc w:val="center"/>
      </w:pPr>
      <w:r>
        <w:rPr>
          <w:rFonts w:ascii="Arial" w:hAnsi="Arial" w:eastAsia="Lora"/>
          <w:b w:val="0"/>
          <w:i w:val="0"/>
          <w:color w:val="333333"/>
          <w:sz w:val="18"/>
        </w:rPr>
        <w:t>Principles of good practice for budget impact analy-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sis: report of the ISPOR Task Force on good research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practices—budget impact analysis. Value Health. </w:t>
      </w: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2007;10(5):336-47. doi: 10.1111/j.1524-4733.2007.00187.x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73. Gold MR, Siegel JE, Russell LB, Weinstein MC, eds. </w:t>
      </w:r>
    </w:p>
    <w:p>
      <w:pPr>
        <w:autoSpaceDN w:val="0"/>
        <w:autoSpaceDE w:val="0"/>
        <w:widowControl/>
        <w:spacing w:line="276" w:lineRule="auto" w:before="0" w:after="200"/>
        <w:ind w:left="562" w:right="576" w:firstLine="0"/>
        <w:jc w:val="left"/>
      </w:pPr>
      <w:r>
        <w:rPr>
          <w:rFonts w:ascii="Arial" w:hAnsi="Arial" w:eastAsia="Lora"/>
          <w:b w:val="0"/>
          <w:i/>
          <w:color w:val="333333"/>
          <w:sz w:val="18"/>
        </w:rPr>
        <w:t>Cost-effectiveness in Health and Medicine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. Oxford </w:t>
      </w:r>
      <w:r>
        <w:rPr>
          <w:rFonts w:ascii="Arial" w:hAnsi="Arial" w:eastAsia="Lora"/>
          <w:b w:val="0"/>
          <w:i w:val="0"/>
          <w:color w:val="333333"/>
          <w:sz w:val="18"/>
        </w:rPr>
        <w:t>University Press; 1996.</w:t>
      </w:r>
    </w:p>
    <w:p>
      <w:pPr>
        <w:autoSpaceDN w:val="0"/>
        <w:autoSpaceDE w:val="0"/>
        <w:widowControl/>
        <w:spacing w:line="276" w:lineRule="auto" w:before="0" w:after="200"/>
        <w:ind w:left="292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74. Husereau D, Drummond M, Augustovski F, et al. </w:t>
      </w:r>
    </w:p>
    <w:p>
      <w:pPr>
        <w:autoSpaceDN w:val="0"/>
        <w:autoSpaceDE w:val="0"/>
        <w:widowControl/>
        <w:spacing w:line="276" w:lineRule="auto" w:before="0" w:after="200"/>
        <w:ind w:left="562" w:right="672" w:firstLine="0"/>
        <w:jc w:val="both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Consolidated Health Economic Evaluation Reporting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Standards 2022 (CHEERS 2022) statement: updated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reporting guidance for health economic evaluations. </w:t>
      </w:r>
    </w:p>
    <w:p>
      <w:pPr>
        <w:autoSpaceDN w:val="0"/>
        <w:autoSpaceDE w:val="0"/>
        <w:widowControl/>
        <w:spacing w:line="276" w:lineRule="auto" w:before="0" w:after="200"/>
        <w:ind w:left="562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J Manage Care Spec Pharm. 2022;28(2):pg 146-55. </w:t>
      </w: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t xml:space="preserve">doi.org/10.18553/jmcp.2022.28.2.146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75. AMCP. The AMCP format for formulary submissions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3" w:history="1">
          <w:r>
            <w:rPr>
              <w:rStyle w:val="Hyperlink"/>
            </w:rPr>
            <w:t>(version 4.0). April 2016. Accessed January 23, 2024.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3" w:history="1">
          <w:r>
            <w:rPr>
              <w:rStyle w:val="Hyperlink"/>
            </w:rPr>
            <w:t>https://www.amcp.org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3" w:history="1">
          <w:r>
            <w:rPr>
              <w:rStyle w:val="Hyperlink"/>
            </w:rPr>
            <w:t>/sites/default/files/2019-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3" w:history="1">
          <w:r>
            <w:rPr>
              <w:rStyle w:val="Hyperlink"/>
            </w:rPr>
            <w:t xml:space="preserve">03/AMCP-Format-V4.pdf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76.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3" w:history="1">
          <w:r>
            <w:rPr>
              <w:rStyle w:val="Hyperlink"/>
            </w:rPr>
            <w:t xml:space="preserve">Dodda S, Bannister B,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Hydery T, Gorey C, Dunlap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S, Mody L. Best practices in designing preapproval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information engagements for US health care decision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makers. J Manag Care Spec Pharm. 2023;29(3):245-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50. doi: 10.18553/jmcp.2023.29.3.245 </w:t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77. Misbranded drugs and dev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4" w:history="1">
          <w:r>
            <w:rPr>
              <w:rStyle w:val="Hyperlink"/>
            </w:rPr>
            <w:t>ices, 21 USC §352.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</w:p>
    <w:p>
      <w:pPr>
        <w:autoSpaceDN w:val="0"/>
        <w:autoSpaceDE w:val="0"/>
        <w:widowControl/>
        <w:spacing w:line="276" w:lineRule="auto" w:before="0" w:after="200"/>
        <w:ind w:left="562" w:right="0" w:firstLine="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hyperlink r:id="rId54" w:history="1">
          <w:r>
            <w:rPr>
              <w:rStyle w:val="Hyperlink"/>
            </w:rPr>
            <w:t xml:space="preserve">Accessed January 23, 2024. 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4" w:history="1">
          <w:r>
            <w:rPr>
              <w:rStyle w:val="Hyperlink"/>
            </w:rPr>
            <w:t>https://uscode.house.</w:t>
          </w:r>
        </w:hyperlink>
      </w:r>
    </w:p>
    <w:p>
      <w:pPr>
        <w:autoSpaceDN w:val="0"/>
        <w:tabs>
          <w:tab w:pos="562" w:val="left"/>
          <w:tab w:pos="1072" w:val="left"/>
          <w:tab w:pos="1798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4" w:history="1">
          <w:r>
            <w:rPr>
              <w:rStyle w:val="Hyperlink"/>
            </w:rPr>
            <w:t>gov/view.xhtml?req=granulei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4" w:history="1">
          <w:r>
            <w:rPr>
              <w:rStyle w:val="Hyperlink"/>
            </w:rPr>
            <w:t>d:US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4" w:history="1">
          <w:r>
            <w:rPr>
              <w:rStyle w:val="Hyperlink"/>
            </w:rPr>
            <w:t>C-prelim-title21-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4" w:history="1">
          <w:r>
            <w:rPr>
              <w:rStyle w:val="Hyperlink"/>
            </w:rPr>
            <w:t xml:space="preserve">section352&amp;num=0&amp;edition=prelim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78.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4" w:history="1">
          <w:r>
            <w:rPr>
              <w:rStyle w:val="Hyperlink"/>
            </w:rPr>
            <w:t>Chawla A, Westrich K, Matter S,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Kaltenboeck A,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Dubois R. Care pathways in US healthcare settings: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current successes and limitations, and future chal-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lenges. Am J Manag C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5" w:history="1">
          <w:r>
            <w:rPr>
              <w:rStyle w:val="Hyperlink"/>
            </w:rPr>
            <w:t>are. 2016;22(1):53-62. Accessed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5" w:history="1">
          <w:r>
            <w:rPr>
              <w:rStyle w:val="Hyperlink"/>
            </w:rPr>
            <w:t xml:space="preserve">January 23, 2024. 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5" w:history="1">
          <w:r>
            <w:rPr>
              <w:rStyle w:val="Hyperlink"/>
            </w:rPr>
            <w:t xml:space="preserve">https://www.ajmc.com/view/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5" w:history="1">
          <w:r>
            <w:rPr>
              <w:rStyle w:val="Hyperlink"/>
            </w:rPr>
            <w:t>care-pathways-in-us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5" w:history="1">
          <w:r>
            <w:rPr>
              <w:rStyle w:val="Hyperlink"/>
            </w:rPr>
            <w:t>-healthcare-settings-curre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5" w:history="1">
          <w:r>
            <w:rPr>
              <w:rStyle w:val="Hyperlink"/>
            </w:rPr>
            <w:t>nt-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5" w:history="1">
          <w:r>
            <w:rPr>
              <w:rStyle w:val="Hyperlink"/>
            </w:rPr>
            <w:t xml:space="preserve">successes-and-limitations-and-future-challenges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79.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5" w:history="1">
          <w:r>
            <w:rPr>
              <w:rStyle w:val="Hyperlink"/>
            </w:rPr>
            <w:t xml:space="preserve">Institute of Medicine. </w:t>
          </w:r>
        </w:hyperlink>
      </w:r>
      <w:r>
        <w:rPr>
          <w:rFonts w:ascii="Arial" w:hAnsi="Arial" w:eastAsia="Lora"/>
          <w:b w:val="0"/>
          <w:i/>
          <w:color w:val="333333"/>
          <w:sz w:val="18"/>
        </w:rPr>
        <w:t xml:space="preserve">Initial National Priorities for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/>
          <w:color w:val="333333"/>
          <w:sz w:val="18"/>
        </w:rPr>
        <w:t>Comparative Effectiveness Research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. Washington,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DC: The Natio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6" w:history="1">
          <w:r>
            <w:rPr>
              <w:rStyle w:val="Hyperlink"/>
            </w:rPr>
            <w:t>nal Academies Press. Accessed January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6" w:history="1">
          <w:r>
            <w:rPr>
              <w:rStyle w:val="Hyperlink"/>
            </w:rPr>
            <w:t xml:space="preserve">23,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6" w:history="1">
          <w:r>
            <w:rPr>
              <w:rStyle w:val="Hyperlink"/>
            </w:rPr>
            <w:t xml:space="preserve">2024.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6" w:history="1">
          <w:r>
            <w:rPr>
              <w:rStyle w:val="Hyperlink"/>
            </w:rPr>
            <w:t>https:/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6" w:history="1">
          <w:r>
            <w:rPr>
              <w:rStyle w:val="Hyperlink"/>
            </w:rPr>
            <w:t xml:space="preserve">/nap.nationalacademies.org/ </w:t>
          </w:r>
        </w:hyperlink>
      </w: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6" w:history="1">
          <w:r>
            <w:rPr>
              <w:rStyle w:val="Hyperlink"/>
            </w:rPr>
            <w:t>read/12648/ch</w:t>
          </w:r>
        </w:hyperlink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6" w:history="1">
          <w:r>
            <w:rPr>
              <w:rStyle w:val="Hyperlink"/>
            </w:rPr>
            <w:t xml:space="preserve">apter/1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80.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6" w:history="1">
          <w:r>
            <w:rPr>
              <w:rStyle w:val="Hyperlink"/>
            </w:rPr>
            <w:t xml:space="preserve"> Berger ML, Bingefors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 K, Hedblom EC, Pashos CL,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Torrence GW, eds. Health Care Cost, Quality, and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>Outcomes: ISPOR Book of Terms. ISPOR; 2003.</w:t>
      </w:r>
    </w:p>
    <w:p>
      <w:pPr>
        <w:autoSpaceDN w:val="0"/>
        <w:autoSpaceDE w:val="0"/>
        <w:widowControl/>
        <w:spacing w:line="276" w:lineRule="auto" w:before="0" w:after="200"/>
        <w:ind w:left="562" w:right="576" w:hanging="270"/>
        <w:jc w:val="left"/>
      </w:pPr>
      <w:r>
        <w:rPr>
          <w:rFonts w:ascii="Arial" w:hAnsi="Arial" w:eastAsia="Lora"/>
          <w:b w:val="0"/>
          <w:i w:val="0"/>
          <w:color w:val="333333"/>
          <w:sz w:val="18"/>
        </w:rPr>
        <w:t xml:space="preserve">81. International Organization for Standardization. ISO/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TR 11147:2023. Health informatics—personalized </w:t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digital health—digital therapeutics health software 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7" w:history="1">
          <w:r>
            <w:rPr>
              <w:rStyle w:val="Hyperlink"/>
            </w:rPr>
            <w:t xml:space="preserve">systems. June 2023. Accessed January 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23, 2024. </w:t>
      </w:r>
    </w:p>
    <w:p>
      <w:pPr>
        <w:autoSpaceDN w:val="0"/>
        <w:tabs>
          <w:tab w:pos="562" w:val="left"/>
        </w:tabs>
        <w:autoSpaceDE w:val="0"/>
        <w:widowControl/>
        <w:spacing w:line="276" w:lineRule="auto" w:before="0" w:after="200"/>
        <w:ind w:left="292" w:right="576" w:firstLine="0"/>
        <w:jc w:val="left"/>
      </w:pPr>
      <w:r>
        <w:rPr>
          <w:rFonts w:ascii="Arial" w:hAnsi="Arial"/>
          <w:color w:val="333333"/>
          <w:sz w:val="21"/>
        </w:rPr>
        <w:tab/>
      </w:r>
      <w:r>
        <w:rPr>
          <w:u w:val="single" w:color="13377c"/>
          <w:rFonts w:ascii="Arial" w:hAnsi="Arial" w:eastAsia="Lora"/>
          <w:b w:val="0"/>
          <w:i w:val="0"/>
          <w:color w:val="333333"/>
          <w:sz w:val="18"/>
        </w:rPr>
        <w:hyperlink r:id="rId57" w:history="1">
          <w:r>
            <w:rPr>
              <w:rStyle w:val="Hyperlink"/>
            </w:rPr>
            <w:t xml:space="preserve">https://www.iso.org/standard/83767.html </w:t>
          </w:r>
        </w:hyperlink>
      </w:r>
      <w:r>
        <w:rPr>
          <w:rFonts w:ascii="Arial" w:hAnsi="Arial"/>
          <w:color w:val="333333"/>
          <w:sz w:val="21"/>
        </w:rPr>
        <w:br/>
      </w:r>
      <w:r>
        <w:rPr>
          <w:rFonts w:ascii="Arial" w:hAnsi="Arial" w:eastAsia="Lora"/>
          <w:b w:val="0"/>
          <w:i w:val="0"/>
          <w:color w:val="333333"/>
          <w:sz w:val="18"/>
        </w:rPr>
        <w:t>82.</w:t>
      </w:r>
      <w:r>
        <w:rPr>
          <w:rFonts w:ascii="Arial" w:hAnsi="Arial" w:eastAsia="Lora"/>
          <w:b w:val="0"/>
          <w:i w:val="0"/>
          <w:color w:val="333333"/>
          <w:sz w:val="18"/>
        </w:rPr>
        <w:hyperlink r:id="rId57" w:history="1">
          <w:r>
            <w:rPr>
              <w:rStyle w:val="Hyperlink"/>
            </w:rPr>
            <w:t xml:space="preserve"> Sackett DL, Rosenberg WM, Gray JA, H</w:t>
          </w:r>
        </w:hyperlink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aynes RB, </w:t>
      </w:r>
      <w:r>
        <w:rPr>
          <w:rFonts w:ascii="Arial" w:hAnsi="Arial"/>
          <w:color w:val="333333"/>
          <w:sz w:val="21"/>
        </w:rPr>
        <w:tab/>
      </w:r>
      <w:r>
        <w:rPr>
          <w:rFonts w:ascii="Arial" w:hAnsi="Arial" w:eastAsia="Lora"/>
          <w:b w:val="0"/>
          <w:i w:val="0"/>
          <w:color w:val="333333"/>
          <w:sz w:val="18"/>
        </w:rPr>
        <w:t xml:space="preserve">Richardson WS. Evidence based medicine: what it </w:t>
      </w:r>
    </w:p>
    <w:p>
      <w:pPr>
        <w:spacing w:line="276" w:lineRule="auto" w:after="200" w:before="0"/>
        <w:sectPr>
          <w:pgSz w:w="11880" w:h="15660"/>
          <w:pgMar w:top="360" w:right="0" w:bottom="266" w:left="990" w:header="720" w:footer="720" w:gutter="0"/>
          <w:cols w:num="2" w:equalWidth="0">
            <w:col w:w="5108" w:space="0"/>
            <w:col w:w="5782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auto" w:before="0" w:after="2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</w:tblGrid>
      <w:tr>
        <w:trPr>
          <w:trHeight w:hRule="exact" w:val="382"/>
        </w:trPr>
        <w:tc>
          <w:tcPr>
            <w:tcW w:type="dxa" w:w="1094"/>
            <w:tcBorders/>
            <w:shd w:fill="6b146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90" w:firstLine="0"/>
              <w:jc w:val="righ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64</w:t>
            </w:r>
          </w:p>
        </w:tc>
        <w:tc>
          <w:tcPr>
            <w:tcW w:type="dxa" w:w="7006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90" w:right="0" w:firstLine="0"/>
              <w:jc w:val="left"/>
            </w:pPr>
            <w:r>
              <w:rPr>
                <w:rFonts w:ascii="Arial" w:hAnsi="Arial" w:eastAsia="Asap"/>
                <w:b/>
                <w:i w:val="0"/>
                <w:color w:val="333333"/>
                <w:sz w:val="18"/>
              </w:rPr>
              <w:t>AMCP FORMAT 5.0</w:t>
            </w:r>
          </w:p>
        </w:tc>
      </w:tr>
      <w:tr>
        <w:trPr>
          <w:trHeight w:hRule="exact" w:val="3438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76" w:lineRule="auto" w:before="0" w:after="80"/>
              <w:ind w:left="968" w:right="2304" w:firstLine="0"/>
              <w:jc w:val="left"/>
            </w:pP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is and what it isn't. BMJ. 1996;312(7023):71-2. doi: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10.1136/bmj.312.7023.71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83. Weinstein MC, O'Brien B, Hornberger J, et al. </w:t>
            </w:r>
          </w:p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76" w:lineRule="auto" w:before="0" w:after="80"/>
              <w:ind w:left="968" w:right="2304" w:firstLine="0"/>
              <w:jc w:val="left"/>
            </w:pP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Principles of good practice for decision analytic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modeling in health-care evaluation: report of the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ISPOR Task Force on Good Research Practices—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Modeling Studies. Value Health. 2003;6(1):9-17. doi: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10.1046/j.1524-4733.2003.00234.x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84. Talley T. Pharmacoequity: a new opportunity for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managed care pharmacy. March 1, 2022. Accessed </w:t>
            </w:r>
          </w:p>
        </w:tc>
      </w:tr>
      <w:tr>
        <w:trPr>
          <w:trHeight w:hRule="exact" w:val="240"/>
        </w:trPr>
        <w:tc>
          <w:tcPr>
            <w:tcW w:type="dxa" w:w="1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righ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January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23, </w:t>
            </w:r>
          </w:p>
        </w:tc>
        <w:tc>
          <w:tcPr>
            <w:tcW w:type="dxa" w:w="6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2024. </w:t>
            </w:r>
          </w:p>
        </w:tc>
        <w:tc>
          <w:tcPr>
            <w:tcW w:type="dxa" w:w="469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16" w:right="0" w:firstLine="0"/>
              <w:jc w:val="left"/>
            </w:pP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8" w:history="1">
                <w:r>
                  <w:rPr>
                    <w:rStyle w:val="Hyperlink"/>
                  </w:rPr>
                  <w:t>https://www.amcp.org/</w:t>
                </w:r>
              </w:hyperlink>
            </w:r>
          </w:p>
        </w:tc>
      </w:tr>
      <w:tr>
        <w:trPr>
          <w:trHeight w:hRule="exact" w:val="2160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76" w:lineRule="auto" w:before="0" w:after="80"/>
              <w:ind w:left="968" w:right="2304" w:firstLine="0"/>
              <w:jc w:val="left"/>
            </w:pP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8" w:history="1">
                <w:r>
                  <w:rPr>
                    <w:rStyle w:val="Hyperlink"/>
                  </w:rPr>
                  <w:t>Resource-Center/blog/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8" w:history="1">
                <w:r>
                  <w:rPr>
                    <w:rStyle w:val="Hyperlink"/>
                  </w:rPr>
                  <w:t>pharmaco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8" w:history="1">
                <w:r>
                  <w:rPr>
                    <w:rStyle w:val="Hyperlink"/>
                  </w:rPr>
                  <w:t>equity-new-</w:t>
                </w:r>
              </w:hyperlink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8" w:history="1">
                <w:r>
                  <w:rPr>
                    <w:rStyle w:val="Hyperlink"/>
                  </w:rPr>
                  <w:t xml:space="preserve">opportunity-managed-care-pharmacy </w:t>
                </w:r>
              </w:hyperlink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85.</w:t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8" w:history="1">
                <w:r>
                  <w:rPr>
                    <w:rStyle w:val="Hyperlink"/>
                  </w:rPr>
                  <w:t xml:space="preserve"> Essien UR. Pharmacoequity: a new g</w:t>
                </w:r>
              </w:hyperlink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oal for ending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disparities in U.S. health ca</w:t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9" w:history="1">
                <w:r>
                  <w:rPr>
                    <w:rStyle w:val="Hyperlink"/>
                  </w:rPr>
                  <w:t>re. Stat. July 28, 2021.</w:t>
                </w:r>
              </w:hyperlink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 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1238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9" w:history="1">
                <w:r>
                  <w:rPr>
                    <w:rStyle w:val="Hyperlink"/>
                  </w:rPr>
                  <w:t xml:space="preserve">Accessed January 23,2024. 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9" w:history="1">
                <w:r>
                  <w:rPr>
                    <w:rStyle w:val="Hyperlink"/>
                  </w:rPr>
                  <w:t>https://www.statnews.</w:t>
                </w:r>
              </w:hyperlink>
            </w:r>
          </w:p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76" w:lineRule="auto" w:before="0" w:after="80"/>
              <w:ind w:left="968" w:right="2304" w:firstLine="0"/>
              <w:jc w:val="left"/>
            </w:pP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9" w:history="1">
                <w:r>
                  <w:rPr>
                    <w:rStyle w:val="Hyperlink"/>
                  </w:rPr>
                  <w:t>com/2021/07/28/pharmaco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9" w:history="1">
                <w:r>
                  <w:rPr>
                    <w:rStyle w:val="Hyperlink"/>
                  </w:rPr>
                  <w:t>eq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9" w:history="1">
                <w:r>
                  <w:rPr>
                    <w:rStyle w:val="Hyperlink"/>
                  </w:rPr>
                  <w:t>uity-new-goal-end-</w:t>
                </w:r>
              </w:hyperlink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9" w:history="1">
                <w:r>
                  <w:rPr>
                    <w:rStyle w:val="Hyperlink"/>
                  </w:rPr>
                  <w:t xml:space="preserve">ing-disparities-us-health-care/ </w:t>
                </w:r>
              </w:hyperlink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86.</w:t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59" w:history="1">
                <w:r>
                  <w:rPr>
                    <w:rStyle w:val="Hyperlink"/>
                  </w:rPr>
                  <w:t xml:space="preserve"> Access to Prescription Digit</w:t>
                </w:r>
              </w:hyperlink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al Therapeutics Act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of 2023, S 723, 118th Cong (2023-2024). Accessed </w:t>
            </w:r>
          </w:p>
        </w:tc>
      </w:tr>
      <w:tr>
        <w:trPr>
          <w:trHeight w:hRule="exact" w:val="240"/>
        </w:trPr>
        <w:tc>
          <w:tcPr>
            <w:tcW w:type="dxa" w:w="1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6" w:firstLine="0"/>
              <w:jc w:val="righ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January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righ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23,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2024. </w:t>
            </w:r>
          </w:p>
        </w:tc>
        <w:tc>
          <w:tcPr>
            <w:tcW w:type="dxa" w:w="484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left"/>
            </w:pP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0" w:history="1">
                <w:r>
                  <w:rPr>
                    <w:rStyle w:val="Hyperlink"/>
                  </w:rPr>
                  <w:t>https://www.congress.gov/</w:t>
                </w:r>
              </w:hyperlink>
            </w:r>
          </w:p>
        </w:tc>
      </w:tr>
      <w:tr>
        <w:trPr>
          <w:trHeight w:hRule="exact" w:val="720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76" w:lineRule="auto" w:before="0" w:after="80"/>
              <w:ind w:left="968" w:right="2304" w:firstLine="0"/>
              <w:jc w:val="left"/>
            </w:pP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0" w:history="1">
                <w:r>
                  <w:rPr>
                    <w:rStyle w:val="Hyperlink"/>
                  </w:rPr>
                  <w:t>bill/118th-congress/sen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0" w:history="1">
                <w:r>
                  <w:rPr>
                    <w:rStyle w:val="Hyperlink"/>
                  </w:rPr>
                  <w:t xml:space="preserve">ate-bill/723/text </w:t>
                </w:r>
              </w:hyperlink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87. </w:t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0" w:history="1">
                <w:r>
                  <w:rPr>
                    <w:rStyle w:val="Hyperlink"/>
                  </w:rPr>
                  <w:t>Access to Prescription Digital Therape</w:t>
                </w:r>
              </w:hyperlink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utics Act of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2023, HR 1458, 118th Cong (2023-2024). Accessed </w:t>
            </w:r>
          </w:p>
        </w:tc>
      </w:tr>
      <w:tr>
        <w:trPr>
          <w:trHeight w:hRule="exact" w:val="240"/>
        </w:trPr>
        <w:tc>
          <w:tcPr>
            <w:tcW w:type="dxa" w:w="1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6" w:firstLine="0"/>
              <w:jc w:val="righ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January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righ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23,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2024. </w:t>
            </w:r>
          </w:p>
        </w:tc>
        <w:tc>
          <w:tcPr>
            <w:tcW w:type="dxa" w:w="484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left"/>
            </w:pP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1" w:history="1">
                <w:r>
                  <w:rPr>
                    <w:rStyle w:val="Hyperlink"/>
                  </w:rPr>
                  <w:t>https://www.congress.gov/</w:t>
                </w:r>
              </w:hyperlink>
            </w:r>
          </w:p>
        </w:tc>
      </w:tr>
      <w:tr>
        <w:trPr>
          <w:trHeight w:hRule="exact" w:val="240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38" w:right="0" w:firstLine="0"/>
              <w:jc w:val="left"/>
            </w:pP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1" w:history="1">
                <w:r>
                  <w:rPr>
                    <w:rStyle w:val="Hyperlink"/>
                  </w:rPr>
                  <w:t>bill/118th-congress/ho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1" w:history="1">
                <w:r>
                  <w:rPr>
                    <w:rStyle w:val="Hyperlink"/>
                  </w:rPr>
                  <w:t>use-bill/1458/text</w:t>
                </w:r>
              </w:hyperlink>
            </w:r>
          </w:p>
        </w:tc>
      </w:tr>
      <w:tr>
        <w:trPr>
          <w:trHeight w:hRule="exact" w:val="240"/>
        </w:trPr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44" w:firstLine="0"/>
              <w:jc w:val="righ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88.</w:t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1" w:history="1">
                <w:r>
                  <w:rPr>
                    <w:rStyle w:val="Hyperlink"/>
                  </w:rPr>
                  <w:t xml:space="preserve"> U.S. </w:t>
                </w:r>
              </w:hyperlink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1" w:history="1">
                <w:r>
                  <w:rPr>
                    <w:rStyle w:val="Hyperlink"/>
                  </w:rPr>
                  <w:t xml:space="preserve">Food </w:t>
                </w:r>
              </w:hyperlink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2" w:firstLine="0"/>
              <w:jc w:val="righ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1" w:history="1">
                <w:r>
                  <w:rPr>
                    <w:rStyle w:val="Hyperlink"/>
                  </w:rPr>
                  <w:t xml:space="preserve">&amp; </w:t>
                </w:r>
              </w:hyperlink>
            </w:r>
          </w:p>
        </w:tc>
        <w:tc>
          <w:tcPr>
            <w:tcW w:type="dxa" w:w="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1" w:history="1">
                <w:r>
                  <w:rPr>
                    <w:rStyle w:val="Hyperlink"/>
                  </w:rPr>
                  <w:t xml:space="preserve">Drug </w:t>
                </w:r>
              </w:hyperlink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1" w:history="1">
                <w:r>
                  <w:rPr>
                    <w:rStyle w:val="Hyperlink"/>
                  </w:rPr>
                  <w:t>Administrati</w:t>
                </w:r>
              </w:hyperlink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on.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12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Real-</w:t>
            </w:r>
          </w:p>
        </w:tc>
      </w:tr>
      <w:tr>
        <w:trPr>
          <w:trHeight w:hRule="exact" w:val="1200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238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2" w:history="1">
                <w:r>
                  <w:rPr>
                    <w:rStyle w:val="Hyperlink"/>
                  </w:rPr>
                  <w:t>world evidence. Accessed January 23, 2024.</w:t>
                </w:r>
              </w:hyperlink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 </w:t>
            </w:r>
          </w:p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76" w:lineRule="auto" w:before="0" w:after="80"/>
              <w:ind w:left="968" w:right="2304" w:firstLine="0"/>
              <w:jc w:val="left"/>
            </w:pP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2" w:history="1">
                <w:r>
                  <w:rPr>
                    <w:rStyle w:val="Hyperlink"/>
                  </w:rPr>
                  <w:t xml:space="preserve">h t t p s ://w w w. fd a . g o v/s c i e n c e -r e s e a r c h/ </w:t>
                </w:r>
              </w:hyperlink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2" w:history="1">
                <w:r>
                  <w:rPr>
                    <w:rStyle w:val="Hyperlink"/>
                  </w:rPr>
                  <w:t xml:space="preserve">s c i e n c e - a n d - r e 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2" w:history="1">
                <w:r>
                  <w:rPr>
                    <w:rStyle w:val="Hyperlink"/>
                  </w:rPr>
                  <w:t xml:space="preserve">s e a r c h - s p e c i a l - t o p i c s/ </w:t>
                </w:r>
              </w:hyperlink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2" w:history="1">
                <w:r>
                  <w:rPr>
                    <w:rStyle w:val="Hyperlink"/>
                  </w:rPr>
                  <w:t xml:space="preserve">real-world-evidence </w:t>
                </w:r>
              </w:hyperlink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89.</w:t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2" w:history="1">
                <w:r>
                  <w:rPr>
                    <w:rStyle w:val="Hyperlink"/>
                  </w:rPr>
                  <w:t xml:space="preserve"> McKie J, Richardso</w:t>
                </w:r>
              </w:hyperlink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n J. The rule of rescue. Soc </w:t>
            </w:r>
          </w:p>
        </w:tc>
      </w:tr>
      <w:tr>
        <w:trPr>
          <w:trHeight w:hRule="exact" w:val="240"/>
        </w:trPr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128" w:firstLine="0"/>
              <w:jc w:val="righ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Sci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68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Med. </w:t>
            </w:r>
          </w:p>
        </w:tc>
        <w:tc>
          <w:tcPr>
            <w:tcW w:type="dxa" w:w="19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2003;56(12):2407-19.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0" w:right="0" w:firstLine="0"/>
              <w:jc w:val="center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doi: </w:t>
            </w:r>
          </w:p>
        </w:tc>
        <w:tc>
          <w:tcPr>
            <w:tcW w:type="dxa" w:w="3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0" w:after="80"/>
              <w:ind w:left="104" w:right="0" w:firstLine="0"/>
              <w:jc w:val="left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10.1016/</w:t>
            </w:r>
          </w:p>
        </w:tc>
      </w:tr>
      <w:tr>
        <w:trPr>
          <w:trHeight w:hRule="exact" w:val="1508"/>
        </w:trPr>
        <w:tc>
          <w:tcPr>
            <w:tcW w:type="dxa" w:w="810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276" w:lineRule="auto" w:before="0" w:after="80"/>
              <w:ind w:left="968" w:right="2304" w:firstLine="0"/>
              <w:jc w:val="left"/>
            </w:pP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s0277-9536(02)00244-7 </w:t>
            </w:r>
            <w:r>
              <w:rPr>
                <w:rFonts w:ascii="Arial" w:hAnsi="Arial"/>
                <w:color w:val="333333"/>
                <w:sz w:val="19"/>
              </w:rPr>
              <w:br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90. AMCP. The AMCP format for formulary submissions </w:t>
            </w:r>
            <w:r>
              <w:rPr>
                <w:rFonts w:ascii="Arial" w:hAnsi="Arial"/>
                <w:color w:val="333333"/>
                <w:sz w:val="19"/>
              </w:rPr>
              <w:tab/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>(version 3.1). Addendum: specialty pharmac</w:t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3" w:history="1">
                <w:r>
                  <w:rPr>
                    <w:rStyle w:val="Hyperlink"/>
                  </w:rPr>
                  <w:t>euticals.</w:t>
                </w:r>
              </w:hyperlink>
            </w: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t xml:space="preserve"> </w:t>
            </w:r>
          </w:p>
          <w:p>
            <w:pPr>
              <w:autoSpaceDN w:val="0"/>
              <w:autoSpaceDE w:val="0"/>
              <w:widowControl/>
              <w:spacing w:line="276" w:lineRule="auto" w:before="0" w:after="80"/>
              <w:ind w:left="1238" w:right="2362" w:firstLine="0"/>
              <w:jc w:val="both"/>
            </w:pPr>
            <w:r>
              <w:rPr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3" w:history="1">
                <w:r>
                  <w:rPr>
                    <w:rStyle w:val="Hyperlink"/>
                  </w:rPr>
                  <w:t xml:space="preserve">December 2012. Accessed January 23, 2024. 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3" w:history="1">
                <w:r>
                  <w:rPr>
                    <w:rStyle w:val="Hyperlink"/>
                  </w:rPr>
                  <w:t xml:space="preserve">https:// 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3" w:history="1">
                <w:r>
                  <w:rPr>
                    <w:rStyle w:val="Hyperlink"/>
                  </w:rPr>
                  <w:t>www.amcp.org/sites/default/files/20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3" w:history="1">
                <w:r>
                  <w:rPr>
                    <w:rStyle w:val="Hyperlink"/>
                  </w:rPr>
                  <w:t>19-03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3" w:history="1">
                <w:r>
                  <w:rPr>
                    <w:rStyle w:val="Hyperlink"/>
                  </w:rPr>
                  <w:t xml:space="preserve">/ </w:t>
                </w:r>
              </w:hyperlink>
            </w:r>
            <w:r>
              <w:rPr>
                <w:u w:val="single" w:color="13377c"/>
                <w:rFonts w:ascii="Arial" w:hAnsi="Arial" w:eastAsia="Lora"/>
                <w:b w:val="0"/>
                <w:i w:val="0"/>
                <w:color w:val="333333"/>
                <w:sz w:val="18"/>
              </w:rPr>
              <w:hyperlink r:id="rId63" w:history="1">
                <w:r>
                  <w:rPr>
                    <w:rStyle w:val="Hyperlink"/>
                  </w:rPr>
                  <w:t>Format%20Version%203.1%20Final%202.2013_0.pdf</w:t>
                </w:r>
              </w:hyperlink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200"/>
    </w:pPr>
    <w:rPr>
      <w:rFonts w:ascii="Arial" w:hAnsi="Arial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hyperlink" Target="https://doi.org/10.18553/jmcp.2022.22093" TargetMode="External"/><Relationship Id="rId22" Type="http://schemas.openxmlformats.org/officeDocument/2006/relationships/hyperlink" Target="https://www.fda.gov/media/133620/download " TargetMode="External"/><Relationship Id="rId23" Type="http://schemas.openxmlformats.org/officeDocument/2006/relationships/hyperlink" Target="https://www.congress.gov/bill/117th-congress/house-bill/2617/text" TargetMode="External"/><Relationship Id="rId24" Type="http://schemas.openxmlformats.org/officeDocument/2006/relationships/hyperlink" Target="https://www.congress.gov/bill/117th-congress/house-bill/5376/text " TargetMode="External"/><Relationship Id="rId25" Type="http://schemas.openxmlformats.org/officeDocument/2006/relationships/hyperlink" Target="https://www.amcp.org/sites/default/files/2019-03/Principles%20of%20a%20Sound%20Drug%20Formulary%20System.pdf" TargetMode="External"/><Relationship Id="rId26" Type="http://schemas.openxmlformats.org/officeDocument/2006/relationships/hyperlink" Target="https://www.amcp.org/Resource-Center/blog/pie-act-case-study-importance-persistence-policymaking" TargetMode="External"/><Relationship Id="rId27" Type="http://schemas.openxmlformats.org/officeDocument/2006/relationships/hyperlink" Target="https://www.amcp.org/sites/default/files/2019-12/AMCP_Format%204.1_1219_final.pdf" TargetMode="External"/><Relationship Id="rId28" Type="http://schemas.openxmlformats.org/officeDocument/2006/relationships/hyperlink" Target="https://www.accessdata.fda.gov/scripts/cdrh/cfdocs/cfcfr/CFRSearch.cfm?CFRPart=202" TargetMode="External"/><Relationship Id="rId29" Type="http://schemas.openxmlformats.org/officeDocument/2006/relationships/hyperlink" Target="https://www.govinfo.gov/app/details/PLAW-105publ115" TargetMode="External"/><Relationship Id="rId30" Type="http://schemas.openxmlformats.org/officeDocument/2006/relationships/hyperlink" Target="https://www.fda.gov/regulatory-information/search-fda-guidance-documents/responding-unsolicited-requests-label-information-about-prescription-drugs-and-medical-devices" TargetMode="External"/><Relationship Id="rId31" Type="http://schemas.openxmlformats.org/officeDocument/2006/relationships/hyperlink" Target="https://www.fda.gov/media/119258/download" TargetMode="External"/><Relationship Id="rId32" Type="http://schemas.openxmlformats.org/officeDocument/2006/relationships/hyperlink" Target="https://www.fda.gov/media/124907/download" TargetMode="External"/><Relationship Id="rId33" Type="http://schemas.openxmlformats.org/officeDocument/2006/relationships/hyperlink" Target="https://www.congress.gov/111/plaws/publ148/PLAW-111publ148.pdf" TargetMode="External"/><Relationship Id="rId34" Type="http://schemas.openxmlformats.org/officeDocument/2006/relationships/hyperlink" Target="https://www.fda.gov/media/82647/download " TargetMode="External"/><Relationship Id="rId35" Type="http://schemas.openxmlformats.org/officeDocument/2006/relationships/hyperlink" Target="https://www.fda.gov/media/159261/download" TargetMode="External"/><Relationship Id="rId36" Type="http://schemas.openxmlformats.org/officeDocument/2006/relationships/hyperlink" Target="https://www.fda.gov/media/121316/download  " TargetMode="External"/><Relationship Id="rId37" Type="http://schemas.openxmlformats.org/officeDocument/2006/relationships/hyperlink" Target="https://www.fda.gov/regulatory-information/search-fda-guidance-documents/reference-product-exclusivity-biological-products-filed-under-section-351a-phs-act" TargetMode="External"/><Relationship Id="rId38" Type="http://schemas.openxmlformats.org/officeDocument/2006/relationships/hyperlink" Target="https://www.fda.gov/media/88622/download  " TargetMode="External"/><Relationship Id="rId39" Type="http://schemas.openxmlformats.org/officeDocument/2006/relationships/hyperlink" Target="https://www.fda.gov/media/119278/download " TargetMode="External"/><Relationship Id="rId40" Type="http://schemas.openxmlformats.org/officeDocument/2006/relationships/hyperlink" Target="https://www.fda.gov/media/81309/download. " TargetMode="External"/><Relationship Id="rId41" Type="http://schemas.openxmlformats.org/officeDocument/2006/relationships/hyperlink" Target="https://archive.cdc.gov/#/details?url=https://www.cdc.gov/genomics/gtesting/acce/index.htm" TargetMode="External"/><Relationship Id="rId42" Type="http://schemas.openxmlformats.org/officeDocument/2006/relationships/hyperlink" Target="https://www.ncbi.nlm.nih.gov/books/NBK62412 " TargetMode="External"/><Relationship Id="rId43" Type="http://schemas.openxmlformats.org/officeDocument/2006/relationships/hyperlink" Target="https://www.fda.gov/regulatory-information/search-fda-guidance-documents/guidance-use-bayesian-statistics-medical-device-clinical-trials" TargetMode="External"/><Relationship Id="rId44" Type="http://schemas.openxmlformats.org/officeDocument/2006/relationships/hyperlink" Target="https://www.ncbi.nlm.nih.gov/books/NBK209518 " TargetMode="External"/><Relationship Id="rId45" Type="http://schemas.openxmlformats.org/officeDocument/2006/relationships/hyperlink" Target="https://effectivehealthcare.ahrq.gov/sites/default/files/pdf/cer-methods-guide_overview.pdf " TargetMode="External"/><Relationship Id="rId46" Type="http://schemas.openxmlformats.org/officeDocument/2006/relationships/hyperlink" Target="https://icer.org/wp-content/uploads/2020/10/Rating-Matrix-User-Guide-UPDATED-06.30.17.pdf " TargetMode="External"/><Relationship Id="rId47" Type="http://schemas.openxmlformats.org/officeDocument/2006/relationships/hyperlink" Target="https://icer.org/evidence-rating-matrix/" TargetMode="External"/><Relationship Id="rId48" Type="http://schemas.openxmlformats.org/officeDocument/2006/relationships/hyperlink" Target="https://www.uspreventiveservicestaskforce.org/uspstf/about-uspstf/methods-and-processes/procedure-manual" TargetMode="External"/><Relationship Id="rId49" Type="http://schemas.openxmlformats.org/officeDocument/2006/relationships/hyperlink" Target="https://dtxalliance.org/wp-content/uploads/2023/06/DTA_FS_New-DTx-Definition.pdf " TargetMode="External"/><Relationship Id="rId50" Type="http://schemas.openxmlformats.org/officeDocument/2006/relationships/hyperlink" Target="https://www.nice.org.uk/corporate/ecd7 " TargetMode="External"/><Relationship Id="rId51" Type="http://schemas.openxmlformats.org/officeDocument/2006/relationships/hyperlink" Target="https://dtxalliance.org/advancing-dtx/dtx-value-guide/ " TargetMode="External"/><Relationship Id="rId52" Type="http://schemas.openxmlformats.org/officeDocument/2006/relationships/hyperlink" Target="https://www.fda.gov/media/99447/download  " TargetMode="External"/><Relationship Id="rId53" Type="http://schemas.openxmlformats.org/officeDocument/2006/relationships/hyperlink" Target="https://www.amcp.org/sites/default/files/2019-03/AMCP-Format-V4.pdf" TargetMode="External"/><Relationship Id="rId54" Type="http://schemas.openxmlformats.org/officeDocument/2006/relationships/hyperlink" Target="https://uscode.house.gov/view.xhtml?req=granuleid:USC-prelim-title21-section352&amp;num=0&amp;edition=prelim" TargetMode="External"/><Relationship Id="rId55" Type="http://schemas.openxmlformats.org/officeDocument/2006/relationships/hyperlink" Target="https://www.ajmc.com/view/care-pathways-in-us-healthcare-settings-current-successes-and-limitations-and-future-challenges " TargetMode="External"/><Relationship Id="rId56" Type="http://schemas.openxmlformats.org/officeDocument/2006/relationships/hyperlink" Target="https://nap.nationalacademies.org/read/12648/chapter/1" TargetMode="External"/><Relationship Id="rId57" Type="http://schemas.openxmlformats.org/officeDocument/2006/relationships/hyperlink" Target="https://www.iso.org/standard/83767.html" TargetMode="External"/><Relationship Id="rId58" Type="http://schemas.openxmlformats.org/officeDocument/2006/relationships/hyperlink" Target="https://www.amcp.org/Resource-Center/blog/pharmacoequity-new-opportunity-managed-care-pharmacy" TargetMode="External"/><Relationship Id="rId59" Type="http://schemas.openxmlformats.org/officeDocument/2006/relationships/hyperlink" Target="https://www.statnews.com/2021/07/28/pharmacoequity-new-goal-ending-disparities-us-health-care/" TargetMode="External"/><Relationship Id="rId60" Type="http://schemas.openxmlformats.org/officeDocument/2006/relationships/hyperlink" Target="https://www.congress.gov/bill/118th-congress/senate-bill/723/text" TargetMode="External"/><Relationship Id="rId61" Type="http://schemas.openxmlformats.org/officeDocument/2006/relationships/hyperlink" Target="https://www.congress.gov/bill/118th-congress/house-bill/1458/text" TargetMode="External"/><Relationship Id="rId62" Type="http://schemas.openxmlformats.org/officeDocument/2006/relationships/hyperlink" Target="https://www.fda.gov/science-research/science-and-research-special-topics/real-world-evidence " TargetMode="External"/><Relationship Id="rId63" Type="http://schemas.openxmlformats.org/officeDocument/2006/relationships/hyperlink" Target="https://www.amcp.org/sites/default/files/2019-03/Format%20Version%203.1%20Final%202.2013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