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5"/>
        <w:gridCol w:w="2495"/>
        <w:gridCol w:w="2495"/>
        <w:gridCol w:w="2495"/>
      </w:tblGrid>
      <w:tr>
        <w:trPr>
          <w:trHeight w:hRule="exact" w:val="640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" cy="9944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94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496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2" w:after="0"/>
              <w:ind w:left="0" w:right="292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000000"/>
                <w:sz w:val="18"/>
              </w:rPr>
              <w:t>April 2024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0" cy="952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60"/>
        </w:trPr>
        <w:tc>
          <w:tcPr>
            <w:tcW w:type="dxa" w:w="2495"/>
            <w:vMerge/>
            <w:tcBorders/>
          </w:tcPr>
          <w:p/>
        </w:tc>
        <w:tc>
          <w:tcPr>
            <w:tcW w:type="dxa" w:w="2495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292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8"/>
              </w:rPr>
              <w:t>Volume 30 Number 4-b</w:t>
            </w:r>
          </w:p>
        </w:tc>
        <w:tc>
          <w:tcPr>
            <w:tcW w:type="dxa" w:w="2495"/>
            <w:vMerge/>
            <w:tcBorders/>
          </w:tcPr>
          <w:p/>
        </w:tc>
      </w:tr>
      <w:tr>
        <w:trPr>
          <w:trHeight w:hRule="exact" w:val="12740"/>
        </w:trPr>
        <w:tc>
          <w:tcPr>
            <w:tcW w:type="dxa" w:w="2495"/>
            <w:vMerge/>
            <w:tcBorders/>
          </w:tcPr>
          <w:p/>
        </w:tc>
        <w:tc>
          <w:tcPr>
            <w:tcW w:type="dxa" w:w="10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558" w:after="0"/>
              <w:ind w:left="300" w:right="86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 xml:space="preserve">AMCP Format for Formulary </w:t>
            </w: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>Submissions 5.0</w:t>
            </w:r>
          </w:p>
          <w:p>
            <w:pPr>
              <w:autoSpaceDN w:val="0"/>
              <w:autoSpaceDE w:val="0"/>
              <w:widowControl/>
              <w:spacing w:line="366" w:lineRule="exact" w:before="132" w:after="0"/>
              <w:ind w:left="304" w:right="0" w:firstLine="0"/>
              <w:jc w:val="left"/>
            </w:pPr>
            <w:r>
              <w:rPr>
                <w:w w:val="101.19241517165611"/>
                <w:rFonts w:ascii="Asap" w:hAnsi="Asap" w:eastAsia="Asap"/>
                <w:b w:val="0"/>
                <w:i/>
                <w:color w:val="14377D"/>
                <w:sz w:val="29"/>
              </w:rPr>
              <w:t>jmcp.org</w:t>
            </w:r>
          </w:p>
          <w:p>
            <w:pPr>
              <w:autoSpaceDN w:val="0"/>
              <w:autoSpaceDE w:val="0"/>
              <w:widowControl/>
              <w:spacing w:line="500" w:lineRule="exact" w:before="814" w:after="0"/>
              <w:ind w:left="30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Guidance on Submission of Pre-approval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and Post-approval Clinical and Economic Information </w:t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>and Evidence</w:t>
            </w:r>
          </w:p>
          <w:p>
            <w:pPr>
              <w:autoSpaceDN w:val="0"/>
              <w:autoSpaceDE w:val="0"/>
              <w:widowControl/>
              <w:spacing w:line="178" w:lineRule="exact" w:before="6350" w:after="0"/>
              <w:ind w:left="300" w:right="0" w:firstLine="0"/>
              <w:jc w:val="left"/>
            </w:pPr>
            <w:r/>
          </w:p>
          <w:p>
            <w:pPr>
              <w:spacing w:before="720"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Product: </w:t>
            </w:r>
            <w:r>
              <w:rPr>
                <w:rFonts w:ascii="Asap" w:hAnsi="Asap"/>
                <w:color w:val="333333"/>
                <w:sz w:val="22"/>
              </w:rPr>
              <w:t>SIMU HIV-1 Quant System (Simulative HIV-1 Viral Load Assay)</w:t>
            </w:r>
          </w:p>
          <w:p>
            <w:pPr>
              <w:spacing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Manufacturer: </w:t>
            </w:r>
            <w:r>
              <w:rPr>
                <w:rFonts w:ascii="Asap" w:hAnsi="Asap"/>
                <w:color w:val="333333"/>
                <w:sz w:val="22"/>
              </w:rPr>
              <w:t>KadelLabs Pharma</w:t>
            </w:r>
          </w:p>
          <w:p>
            <w:pPr>
              <w:spacing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Version: </w:t>
            </w:r>
            <w:r>
              <w:rPr>
                <w:rFonts w:ascii="Asap" w:hAnsi="Asap"/>
                <w:color w:val="333333"/>
                <w:sz w:val="22"/>
              </w:rPr>
              <w:t>5.0</w:t>
            </w:r>
          </w:p>
          <w:p>
            <w:pPr>
              <w:spacing w:after="72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Date: </w:t>
            </w:r>
            <w:r>
              <w:rPr>
                <w:rFonts w:ascii="Asap" w:hAnsi="Asap"/>
                <w:color w:val="333333"/>
                <w:sz w:val="22"/>
              </w:rPr>
              <w:t>April 2024</w:t>
            </w:r>
          </w:p>
          <w:p>
            <w:r>
              <w:rPr>
                <w:rFonts w:ascii="Asap" w:hAnsi="Asap"/>
                <w:color w:val="878A8F"/>
                <w:sz w:val="15"/>
              </w:rPr>
              <w:t>Copyright © 2024 AMCP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4635500</wp:posOffset>
            </wp:positionV>
            <wp:extent cx="5372100" cy="4965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96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060" w:h="15660"/>
          <w:pgMar w:top="0" w:right="638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1018" w:after="0"/>
        <w:ind w:left="2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70100" cy="60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96" w:after="0"/>
        <w:ind w:left="2488" w:right="0" w:firstLine="0"/>
        <w:jc w:val="left"/>
      </w:pPr>
      <w:r>
        <w:rPr>
          <w:rFonts w:ascii="Asap" w:hAnsi="Asap" w:eastAsia="Asap"/>
          <w:b w:val="0"/>
          <w:i w:val="0"/>
          <w:color w:val="878A8F"/>
          <w:sz w:val="16"/>
        </w:rPr>
        <w:t>January 2024 | Volume 30 | Number 1-a</w:t>
      </w:r>
    </w:p>
    <w:p>
      <w:pPr>
        <w:pStyle w:val="Heading1"/>
        <w:keepNext/>
      </w:pPr>
      <w:r>
        <w:rPr>
          <w:rFonts w:ascii="Asap" w:hAnsi="Asap"/>
          <w:b/>
          <w:color w:val="14377D"/>
          <w:sz w:val="40"/>
        </w:rPr>
        <w:t>Table of Contents</w:t>
      </w:r>
    </w:p>
    <w:p>
      <w:pPr>
        <w:spacing w:after="240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ectPr>
          <w:pgSz w:w="11880" w:h="15660"/>
          <w:pgMar w:top="1152" w:right="720" w:bottom="1152" w:left="720" w:header="720" w:footer="720" w:gutter="0"/>
          <w:cols w:space="720" w:num="1"/>
          <w:docGrid w:linePitch="360"/>
        </w:sectPr>
      </w:pP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1.0B </w:t>
        <w:br/>
      </w:r>
      <w:r>
        <w:rPr>
          <w:rFonts w:ascii="Asap" w:hAnsi="Asap"/>
          <w:b/>
          <w:color w:val="6C105B"/>
          <w:sz w:val="32"/>
        </w:rPr>
        <w:t>Executive Summary: Clinical and Economic Value of the Approved Product</w:t>
      </w:r>
    </w:p>
    <w:p>
      <w:r>
        <w:t>No content provided.</w:t>
      </w: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2.0B </w:t>
        <w:br/>
      </w:r>
      <w:r>
        <w:rPr>
          <w:rFonts w:ascii="Asap" w:hAnsi="Asap"/>
          <w:b/>
          <w:color w:val="6C105B"/>
          <w:sz w:val="32"/>
        </w:rPr>
        <w:t>Product Information and Disease Description</w:t>
      </w:r>
    </w:p>
    <w:p>
      <w:r>
        <w:t>No content provided.</w:t>
      </w: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3.0B </w:t>
        <w:br/>
      </w:r>
      <w:r>
        <w:rPr>
          <w:rFonts w:ascii="Asap" w:hAnsi="Asap"/>
          <w:b/>
          <w:color w:val="6C105B"/>
          <w:sz w:val="32"/>
        </w:rPr>
        <w:t>Clinical Evidence</w:t>
      </w:r>
    </w:p>
    <w:p>
      <w:r>
        <w:t>No content provided.</w:t>
      </w: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4.0B </w:t>
        <w:br/>
      </w:r>
      <w:r>
        <w:rPr>
          <w:rFonts w:ascii="Asap" w:hAnsi="Asap"/>
          <w:b/>
          <w:color w:val="6C105B"/>
          <w:sz w:val="32"/>
        </w:rPr>
        <w:t>Economic Value and Modeling Report</w:t>
      </w:r>
    </w:p>
    <w:p>
      <w:r>
        <w:t>No content provided.</w:t>
      </w: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5.0B </w:t>
        <w:br/>
      </w:r>
      <w:r>
        <w:rPr>
          <w:rFonts w:ascii="Asap" w:hAnsi="Asap"/>
          <w:b/>
          <w:color w:val="6C105B"/>
          <w:sz w:val="32"/>
        </w:rPr>
        <w:t>Additional Supporting Evidence</w:t>
      </w:r>
    </w:p>
    <w:p>
      <w:r>
        <w:t>No content provided.</w:t>
      </w: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6.0B </w:t>
        <w:br/>
      </w:r>
      <w:r>
        <w:rPr>
          <w:rFonts w:ascii="Asap" w:hAnsi="Asap"/>
          <w:b/>
          <w:color w:val="6C105B"/>
          <w:sz w:val="32"/>
        </w:rPr>
        <w:t>Dossier Appendices and References</w:t>
      </w:r>
    </w:p>
    <w:p>
      <w:r>
        <w:t>No content provided.</w:t>
      </w:r>
    </w:p>
    <w:sectPr w:rsidR="00FC693F" w:rsidRPr="0006063C" w:rsidSect="00034616">
      <w:pgSz w:w="11880" w:h="15660"/>
      <w:pgMar w:top="1152" w:right="720" w:bottom="1152" w:left="72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doi.org/10.18553/jmcp.2022.22093" TargetMode="External"/><Relationship Id="rId18" Type="http://schemas.openxmlformats.org/officeDocument/2006/relationships/hyperlink" Target="https://www.fda.gov/media/133620/download " TargetMode="External"/><Relationship Id="rId19" Type="http://schemas.openxmlformats.org/officeDocument/2006/relationships/hyperlink" Target="https://www.congress.gov/bill/117th-congress/house-bill/2617/text" TargetMode="External"/><Relationship Id="rId20" Type="http://schemas.openxmlformats.org/officeDocument/2006/relationships/hyperlink" Target="https://www.congress.gov/bill/117th-congress/house-bill/5376/text " TargetMode="External"/><Relationship Id="rId21" Type="http://schemas.openxmlformats.org/officeDocument/2006/relationships/hyperlink" Target="https://www.amcp.org/sites/default/files/2019-03/Principles%20of%20a%20Sound%20Drug%20Formulary%20System.pdf" TargetMode="External"/><Relationship Id="rId22" Type="http://schemas.openxmlformats.org/officeDocument/2006/relationships/hyperlink" Target="https://www.amcp.org/Resource-Center/blog/pie-act-case-study-importance-persistence-policymaking" TargetMode="External"/><Relationship Id="rId23" Type="http://schemas.openxmlformats.org/officeDocument/2006/relationships/hyperlink" Target="https://www.amcp.org/sites/default/files/2019-12/AMCP_Format%204.1_1219_final.pdf" TargetMode="External"/><Relationship Id="rId24" Type="http://schemas.openxmlformats.org/officeDocument/2006/relationships/hyperlink" Target="https://www.accessdata.fda.gov/scripts/cdrh/cfdocs/cfcfr/CFRSearch.cfm?CFRPart=202" TargetMode="External"/><Relationship Id="rId25" Type="http://schemas.openxmlformats.org/officeDocument/2006/relationships/hyperlink" Target="https://www.govinfo.gov/app/details/PLAW-105publ115" TargetMode="External"/><Relationship Id="rId26" Type="http://schemas.openxmlformats.org/officeDocument/2006/relationships/hyperlink" Target="https://www.fda.gov/regulatory-information/search-fda-guidance-documents/responding-unsolicited-requests-label-information-about-prescription-drugs-and-medical-devices" TargetMode="External"/><Relationship Id="rId27" Type="http://schemas.openxmlformats.org/officeDocument/2006/relationships/hyperlink" Target="https://www.fda.gov/media/119258/download" TargetMode="External"/><Relationship Id="rId28" Type="http://schemas.openxmlformats.org/officeDocument/2006/relationships/hyperlink" Target="https://www.fda.gov/media/124907/download" TargetMode="External"/><Relationship Id="rId29" Type="http://schemas.openxmlformats.org/officeDocument/2006/relationships/hyperlink" Target="https://www.congress.gov/111/plaws/publ148/PLAW-111publ148.pdf" TargetMode="External"/><Relationship Id="rId30" Type="http://schemas.openxmlformats.org/officeDocument/2006/relationships/hyperlink" Target="https://www.fda.gov/media/82647/download " TargetMode="External"/><Relationship Id="rId31" Type="http://schemas.openxmlformats.org/officeDocument/2006/relationships/hyperlink" Target="https://www.fda.gov/media/159261/download" TargetMode="External"/><Relationship Id="rId32" Type="http://schemas.openxmlformats.org/officeDocument/2006/relationships/hyperlink" Target="https://www.fda.gov/media/121316/download  " TargetMode="External"/><Relationship Id="rId33" Type="http://schemas.openxmlformats.org/officeDocument/2006/relationships/hyperlink" Target="https://www.fda.gov/regulatory-information/search-fda-guidance-documents/reference-product-exclusivity-biological-products-filed-under-section-351a-phs-act" TargetMode="External"/><Relationship Id="rId34" Type="http://schemas.openxmlformats.org/officeDocument/2006/relationships/hyperlink" Target="https://www.fda.gov/media/88622/download  " TargetMode="External"/><Relationship Id="rId35" Type="http://schemas.openxmlformats.org/officeDocument/2006/relationships/hyperlink" Target="https://www.fda.gov/media/119278/download " TargetMode="External"/><Relationship Id="rId36" Type="http://schemas.openxmlformats.org/officeDocument/2006/relationships/hyperlink" Target="https://www.fda.gov/media/81309/download. " TargetMode="External"/><Relationship Id="rId37" Type="http://schemas.openxmlformats.org/officeDocument/2006/relationships/hyperlink" Target="https://archive.cdc.gov/#/details?url=https://www.cdc.gov/genomics/gtesting/acce/index.htm" TargetMode="External"/><Relationship Id="rId38" Type="http://schemas.openxmlformats.org/officeDocument/2006/relationships/hyperlink" Target="https://www.ncbi.nlm.nih.gov/books/NBK62412 " TargetMode="External"/><Relationship Id="rId39" Type="http://schemas.openxmlformats.org/officeDocument/2006/relationships/hyperlink" Target="https://www.fda.gov/regulatory-information/search-fda-guidance-documents/guidance-use-bayesian-statistics-medical-device-clinical-trials" TargetMode="External"/><Relationship Id="rId40" Type="http://schemas.openxmlformats.org/officeDocument/2006/relationships/hyperlink" Target="https://www.ncbi.nlm.nih.gov/books/NBK209518 " TargetMode="External"/><Relationship Id="rId41" Type="http://schemas.openxmlformats.org/officeDocument/2006/relationships/hyperlink" Target="https://effectivehealthcare.ahrq.gov/sites/default/files/pdf/cer-methods-guide_overview.pdf " TargetMode="External"/><Relationship Id="rId42" Type="http://schemas.openxmlformats.org/officeDocument/2006/relationships/hyperlink" Target="https://icer.org/wp-content/uploads/2020/10/Rating-Matrix-User-Guide-UPDATED-06.30.17.pdf " TargetMode="External"/><Relationship Id="rId43" Type="http://schemas.openxmlformats.org/officeDocument/2006/relationships/hyperlink" Target="https://icer.org/evidence-rating-matrix/" TargetMode="External"/><Relationship Id="rId44" Type="http://schemas.openxmlformats.org/officeDocument/2006/relationships/hyperlink" Target="https://www.uspreventiveservicestaskforce.org/uspstf/about-uspstf/methods-and-processes/procedure-manual" TargetMode="External"/><Relationship Id="rId45" Type="http://schemas.openxmlformats.org/officeDocument/2006/relationships/hyperlink" Target="https://dtxalliance.org/wp-content/uploads/2023/06/DTA_FS_New-DTx-Definition.pdf " TargetMode="External"/><Relationship Id="rId46" Type="http://schemas.openxmlformats.org/officeDocument/2006/relationships/hyperlink" Target="https://www.nice.org.uk/corporate/ecd7 " TargetMode="External"/><Relationship Id="rId47" Type="http://schemas.openxmlformats.org/officeDocument/2006/relationships/hyperlink" Target="https://dtxalliance.org/advancing-dtx/dtx-value-guide/ " TargetMode="External"/><Relationship Id="rId48" Type="http://schemas.openxmlformats.org/officeDocument/2006/relationships/hyperlink" Target="https://www.fda.gov/media/99447/download  " TargetMode="External"/><Relationship Id="rId49" Type="http://schemas.openxmlformats.org/officeDocument/2006/relationships/hyperlink" Target="https://www.amcp.org/sites/default/files/2019-03/AMCP-Format-V4.pdf" TargetMode="External"/><Relationship Id="rId50" Type="http://schemas.openxmlformats.org/officeDocument/2006/relationships/hyperlink" Target="https://uscode.house.gov/view.xhtml?req=granuleid:USC-prelim-title21-section352&amp;num=0&amp;edition=prelim" TargetMode="External"/><Relationship Id="rId51" Type="http://schemas.openxmlformats.org/officeDocument/2006/relationships/hyperlink" Target="https://www.ajmc.com/view/care-pathways-in-us-healthcare-settings-current-successes-and-limitations-and-future-challenges " TargetMode="External"/><Relationship Id="rId52" Type="http://schemas.openxmlformats.org/officeDocument/2006/relationships/hyperlink" Target="https://nap.nationalacademies.org/read/12648/chapter/1" TargetMode="External"/><Relationship Id="rId53" Type="http://schemas.openxmlformats.org/officeDocument/2006/relationships/hyperlink" Target="https://www.iso.org/standard/83767.html" TargetMode="External"/><Relationship Id="rId54" Type="http://schemas.openxmlformats.org/officeDocument/2006/relationships/hyperlink" Target="https://www.amcp.org/Resource-Center/blog/pharmacoequity-new-opportunity-managed-care-pharmacy" TargetMode="External"/><Relationship Id="rId55" Type="http://schemas.openxmlformats.org/officeDocument/2006/relationships/hyperlink" Target="https://www.statnews.com/2021/07/28/pharmacoequity-new-goal-ending-disparities-us-health-care/" TargetMode="External"/><Relationship Id="rId56" Type="http://schemas.openxmlformats.org/officeDocument/2006/relationships/hyperlink" Target="https://www.congress.gov/bill/118th-congress/senate-bill/723/text" TargetMode="External"/><Relationship Id="rId57" Type="http://schemas.openxmlformats.org/officeDocument/2006/relationships/hyperlink" Target="https://www.congress.gov/bill/118th-congress/house-bill/1458/text" TargetMode="External"/><Relationship Id="rId58" Type="http://schemas.openxmlformats.org/officeDocument/2006/relationships/hyperlink" Target="https://www.fda.gov/science-research/science-and-research-special-topics/real-world-evidence " TargetMode="External"/><Relationship Id="rId59" Type="http://schemas.openxmlformats.org/officeDocument/2006/relationships/hyperlink" Target="https://www.amcp.org/sites/default/files/2019-03/Format%20Version%203.1%20Final%202.2013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