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sap" w:hAnsi="Asap"/>
          <w:b/>
          <w:color w:val="6B146A"/>
          <w:sz w:val="32"/>
        </w:rPr>
        <w:t>APPENDICES</w:t>
      </w:r>
    </w:p>
    <w:p>
      <w:pPr>
        <w:pStyle w:val="Heading2"/>
      </w:pPr>
      <w:r>
        <w:rPr>
          <w:rFonts w:ascii="Asap" w:hAnsi="Asap"/>
          <w:b/>
          <w:color w:val="14377D"/>
          <w:sz w:val="24"/>
        </w:rPr>
        <w:t>APPENDIX [APPENDIX_LETTER]: [APPENDIX_TITLE]</w:t>
      </w:r>
    </w:p>
    <w:sectPr w:rsidR="00FC693F" w:rsidRPr="0006063C" w:rsidSect="00034616">
      <w:headerReference w:type="even" r:id="rId9"/>
      <w:headerReference w:type="default" r:id="rId10"/>
      <w:footerReference w:type="even" r:id="rId11"/>
      <w:footerReference w:type="default" r:id="rId12"/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