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2495"/>
        <w:gridCol w:w="2495"/>
        <w:gridCol w:w="2495"/>
        <w:gridCol w:w="2495"/>
      </w:tblGrid>
      <w:tr>
        <w:trPr>
          <w:trHeight w:hRule="exact" w:val="640"/>
        </w:trPr>
        <w:tc>
          <w:tcPr>
            <w:tcW w:type="dxa" w:w="6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0" w:right="0" w:firstLine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228600" cy="99441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" cy="99441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00" w:after="0"/>
              <w:ind w:left="260" w:right="0" w:firstLine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3149600" cy="9144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496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402" w:after="0"/>
              <w:ind w:left="0" w:right="292" w:firstLine="0"/>
              <w:jc w:val="right"/>
            </w:pPr>
            <w:r>
              <w:rPr>
                <w:rFonts w:ascii="Asap" w:hAnsi="Asap" w:eastAsia="Asap"/>
                <w:b/>
                <w:i w:val="0"/>
                <w:color w:val="000000"/>
                <w:sz w:val="18"/>
              </w:rPr>
              <w:t>April 2024</w:t>
            </w:r>
          </w:p>
        </w:tc>
        <w:tc>
          <w:tcPr>
            <w:tcW w:type="dxa" w:w="17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320" w:right="0" w:firstLine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889000" cy="9525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89000" cy="952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hRule="exact" w:val="2260"/>
        </w:trPr>
        <w:tc>
          <w:tcPr>
            <w:tcW w:type="dxa" w:w="2495"/>
            <w:vMerge/>
            <w:tcBorders/>
          </w:tcPr>
          <w:p/>
        </w:tc>
        <w:tc>
          <w:tcPr>
            <w:tcW w:type="dxa" w:w="2495"/>
            <w:vMerge/>
            <w:tcBorders/>
          </w:tcPr>
          <w:p/>
        </w:tc>
        <w:tc>
          <w:tcPr>
            <w:tcW w:type="dxa" w:w="2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exact" w:before="6" w:after="0"/>
              <w:ind w:left="0" w:right="292" w:firstLine="0"/>
              <w:jc w:val="righ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8"/>
              </w:rPr>
              <w:t>Volume 30 Number 4-b</w:t>
            </w:r>
          </w:p>
        </w:tc>
        <w:tc>
          <w:tcPr>
            <w:tcW w:type="dxa" w:w="2495"/>
            <w:vMerge/>
            <w:tcBorders/>
          </w:tcPr>
          <w:p/>
        </w:tc>
      </w:tr>
      <w:tr>
        <w:trPr>
          <w:trHeight w:hRule="exact" w:val="12740"/>
        </w:trPr>
        <w:tc>
          <w:tcPr>
            <w:tcW w:type="dxa" w:w="2495"/>
            <w:vMerge/>
            <w:tcBorders/>
          </w:tcPr>
          <w:p/>
        </w:tc>
        <w:tc>
          <w:tcPr>
            <w:tcW w:type="dxa" w:w="1078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836" w:lineRule="exact" w:before="558" w:after="0"/>
              <w:ind w:left="300" w:right="864" w:firstLine="0"/>
              <w:jc w:val="left"/>
            </w:pPr>
            <w:r>
              <w:rPr>
                <w:rFonts w:ascii="Asap" w:hAnsi="Asap" w:eastAsia="Asap"/>
                <w:b/>
                <w:i w:val="0"/>
                <w:color w:val="14377D"/>
                <w:sz w:val="76"/>
              </w:rPr>
              <w:t xml:space="preserve">AMCP Format for Formulary </w:t>
            </w:r>
            <w:r>
              <w:rPr>
                <w:rFonts w:ascii="Asap" w:hAnsi="Asap" w:eastAsia="Asap"/>
                <w:b/>
                <w:i w:val="0"/>
                <w:color w:val="14377D"/>
                <w:sz w:val="76"/>
              </w:rPr>
              <w:t>Submissions 5.0</w:t>
            </w:r>
          </w:p>
          <w:p>
            <w:pPr>
              <w:autoSpaceDN w:val="0"/>
              <w:autoSpaceDE w:val="0"/>
              <w:widowControl/>
              <w:spacing w:line="366" w:lineRule="exact" w:before="132" w:after="0"/>
              <w:ind w:left="304" w:right="0" w:firstLine="0"/>
              <w:jc w:val="left"/>
            </w:pPr>
            <w:r>
              <w:rPr>
                <w:w w:val="101.19241517165611"/>
                <w:rFonts w:ascii="Asap" w:hAnsi="Asap" w:eastAsia="Asap"/>
                <w:b w:val="0"/>
                <w:i/>
                <w:color w:val="14377D"/>
                <w:sz w:val="29"/>
              </w:rPr>
              <w:t>jmcp.org</w:t>
            </w:r>
          </w:p>
          <w:p>
            <w:pPr>
              <w:autoSpaceDN w:val="0"/>
              <w:autoSpaceDE w:val="0"/>
              <w:widowControl/>
              <w:spacing w:line="500" w:lineRule="exact" w:before="814" w:after="0"/>
              <w:ind w:left="300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878A8F"/>
                <w:sz w:val="44"/>
              </w:rPr>
              <w:t xml:space="preserve">Guidance on Submission of Pre-approval </w:t>
            </w:r>
            <w:r>
              <w:br/>
            </w:r>
            <w:r>
              <w:rPr>
                <w:rFonts w:ascii="Asap" w:hAnsi="Asap" w:eastAsia="Asap"/>
                <w:b w:val="0"/>
                <w:i w:val="0"/>
                <w:color w:val="878A8F"/>
                <w:sz w:val="44"/>
              </w:rPr>
              <w:t xml:space="preserve">and Post-approval Clinical and Economic Information </w:t>
            </w:r>
            <w:r>
              <w:rPr>
                <w:rFonts w:ascii="Asap" w:hAnsi="Asap" w:eastAsia="Asap"/>
                <w:b w:val="0"/>
                <w:i w:val="0"/>
                <w:color w:val="878A8F"/>
                <w:sz w:val="44"/>
              </w:rPr>
              <w:t>and Evidence</w:t>
            </w:r>
          </w:p>
          <w:p>
            <w:pPr>
              <w:autoSpaceDN w:val="0"/>
              <w:autoSpaceDE w:val="0"/>
              <w:widowControl/>
              <w:spacing w:line="178" w:lineRule="exact" w:before="6350" w:after="0"/>
              <w:ind w:left="300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878A8F"/>
                <w:sz w:val="14"/>
              </w:rPr>
              <w:t>Copyright © 2024 AMCP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2006600</wp:posOffset>
            </wp:positionH>
            <wp:positionV relativeFrom="page">
              <wp:posOffset>4635500</wp:posOffset>
            </wp:positionV>
            <wp:extent cx="5372100" cy="4965700"/>
            <wp:wrapNone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72100" cy="49657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ectPr>
          <w:pgSz w:w="12060" w:h="15660"/>
          <w:pgMar w:top="0" w:right="638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81"/>
        <w:gridCol w:w="4781"/>
      </w:tblGrid>
      <w:tr>
        <w:trPr>
          <w:trHeight w:hRule="exact" w:val="382"/>
        </w:trPr>
        <w:tc>
          <w:tcPr>
            <w:tcW w:type="dxa" w:w="1094"/>
            <w:tcBorders/>
            <w:shd w:fill="6b146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4" w:after="0"/>
              <w:ind w:left="0" w:right="90" w:firstLine="0"/>
              <w:jc w:val="right"/>
            </w:pPr>
            <w:r>
              <w:rPr>
                <w:rFonts w:ascii="Asap" w:hAnsi="Asap" w:eastAsia="Asap"/>
                <w:b/>
                <w:i w:val="0"/>
                <w:color w:val="FFFFFF"/>
                <w:sz w:val="18"/>
              </w:rPr>
              <w:t>2</w:t>
            </w:r>
          </w:p>
        </w:tc>
        <w:tc>
          <w:tcPr>
            <w:tcW w:type="dxa" w:w="574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4" w:after="0"/>
              <w:ind w:left="90" w:right="0" w:firstLine="0"/>
              <w:jc w:val="left"/>
            </w:pPr>
            <w:r>
              <w:rPr>
                <w:rFonts w:ascii="Asap" w:hAnsi="Asap" w:eastAsia="Asap"/>
                <w:b/>
                <w:i w:val="0"/>
                <w:color w:val="474C55"/>
                <w:sz w:val="18"/>
              </w:rPr>
              <w:t>AMCP FORMAT 5.0</w:t>
            </w:r>
          </w:p>
        </w:tc>
      </w:tr>
    </w:tbl>
    <w:p>
      <w:pPr>
        <w:autoSpaceDN w:val="0"/>
        <w:autoSpaceDE w:val="0"/>
        <w:widowControl/>
        <w:spacing w:line="240" w:lineRule="auto" w:before="1018" w:after="0"/>
        <w:ind w:left="234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2070100" cy="6096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070100" cy="60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00" w:lineRule="exact" w:before="96" w:after="0"/>
        <w:ind w:left="2488" w:right="0" w:firstLine="0"/>
        <w:jc w:val="left"/>
      </w:pPr>
      <w:r>
        <w:rPr>
          <w:rFonts w:ascii="Asap" w:hAnsi="Asap" w:eastAsia="Asap"/>
          <w:b w:val="0"/>
          <w:i w:val="0"/>
          <w:color w:val="878A8F"/>
          <w:sz w:val="16"/>
        </w:rPr>
        <w:t>January 2024 | Volume 30 | Number 1-a</w:t>
      </w:r>
    </w:p>
    <w:p>
      <w:pPr>
        <w:autoSpaceDN w:val="0"/>
        <w:autoSpaceDE w:val="0"/>
        <w:widowControl/>
        <w:spacing w:line="204" w:lineRule="exact" w:before="344" w:after="112"/>
        <w:ind w:left="540" w:right="0" w:firstLine="0"/>
        <w:jc w:val="left"/>
      </w:pPr>
      <w:r>
        <w:rPr>
          <w:rFonts w:ascii="Asap" w:hAnsi="Asap" w:eastAsia="Asap"/>
          <w:b/>
          <w:i w:val="0"/>
          <w:color w:val="14377D"/>
          <w:sz w:val="16"/>
        </w:rPr>
        <w:t>EDITORIAL STAFF</w:t>
      </w:r>
    </w:p>
    <w:p>
      <w:pPr>
        <w:sectPr>
          <w:pgSz w:w="11880" w:h="15660"/>
          <w:pgMar w:top="360" w:right="878" w:bottom="266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00" w:lineRule="exact" w:before="2" w:after="0"/>
        <w:ind w:left="540" w:right="432" w:firstLine="0"/>
        <w:jc w:val="left"/>
      </w:pPr>
      <w:r>
        <w:rPr>
          <w:rFonts w:ascii="Asap" w:hAnsi="Asap" w:eastAsia="Asap"/>
          <w:b/>
          <w:i w:val="0"/>
          <w:color w:val="474C55"/>
          <w:sz w:val="16"/>
        </w:rPr>
        <w:t xml:space="preserve">Laura E. Happe, PharmD, MPH, </w:t>
      </w:r>
      <w:r>
        <w:rPr>
          <w:rFonts w:ascii="Asap" w:hAnsi="Asap" w:eastAsia="Asap"/>
          <w:b w:val="0"/>
          <w:i w:val="0"/>
          <w:color w:val="474C55"/>
          <w:sz w:val="16"/>
        </w:rPr>
        <w:t xml:space="preserve">University of Florida, Gainesville, FL; </w:t>
      </w:r>
      <w:r>
        <w:rPr>
          <w:rFonts w:ascii="Asap" w:hAnsi="Asap" w:eastAsia="Asap"/>
          <w:b w:val="0"/>
          <w:i w:val="0"/>
          <w:color w:val="474C55"/>
          <w:sz w:val="16"/>
        </w:rPr>
        <w:t xml:space="preserve">727.488.2700, lhappe@jmcp.org; </w:t>
      </w:r>
      <w:r>
        <w:rPr>
          <w:rFonts w:ascii="Asap" w:hAnsi="Asap" w:eastAsia="Asap"/>
          <w:b w:val="0"/>
          <w:i/>
          <w:color w:val="474C55"/>
          <w:sz w:val="16"/>
        </w:rPr>
        <w:t>Editor-in-Chief</w:t>
      </w:r>
    </w:p>
    <w:p>
      <w:pPr>
        <w:autoSpaceDN w:val="0"/>
        <w:autoSpaceDE w:val="0"/>
        <w:widowControl/>
        <w:spacing w:line="198" w:lineRule="exact" w:before="90" w:after="0"/>
        <w:ind w:left="540" w:right="288" w:firstLine="0"/>
        <w:jc w:val="left"/>
      </w:pPr>
      <w:r>
        <w:rPr>
          <w:rFonts w:ascii="Asap" w:hAnsi="Asap" w:eastAsia="Asap"/>
          <w:b/>
          <w:i w:val="0"/>
          <w:color w:val="474C55"/>
          <w:sz w:val="16"/>
        </w:rPr>
        <w:t xml:space="preserve">Donald G. Klepser, PhD, MBA, </w:t>
      </w:r>
      <w:r>
        <w:rPr>
          <w:rFonts w:ascii="Asap" w:hAnsi="Asap" w:eastAsia="Asap"/>
          <w:b w:val="0"/>
          <w:i w:val="0"/>
          <w:color w:val="474C55"/>
          <w:sz w:val="16"/>
        </w:rPr>
        <w:t xml:space="preserve">University of Nebraska Medical Center, </w:t>
      </w:r>
      <w:r>
        <w:rPr>
          <w:rFonts w:ascii="Asap" w:hAnsi="Asap" w:eastAsia="Asap"/>
          <w:b w:val="0"/>
          <w:i w:val="0"/>
          <w:color w:val="474C55"/>
          <w:sz w:val="16"/>
        </w:rPr>
        <w:t xml:space="preserve">Omaha, NE; </w:t>
      </w:r>
      <w:r>
        <w:rPr>
          <w:rFonts w:ascii="Asap" w:hAnsi="Asap" w:eastAsia="Asap"/>
          <w:b w:val="0"/>
          <w:i/>
          <w:color w:val="474C55"/>
          <w:sz w:val="16"/>
        </w:rPr>
        <w:t>Assistant Editor</w:t>
      </w:r>
    </w:p>
    <w:p>
      <w:pPr>
        <w:autoSpaceDN w:val="0"/>
        <w:autoSpaceDE w:val="0"/>
        <w:widowControl/>
        <w:spacing w:line="198" w:lineRule="exact" w:before="90" w:after="0"/>
        <w:ind w:left="540" w:right="2304" w:firstLine="0"/>
        <w:jc w:val="left"/>
      </w:pPr>
      <w:r>
        <w:rPr>
          <w:rFonts w:ascii="Asap" w:hAnsi="Asap" w:eastAsia="Asap"/>
          <w:b/>
          <w:i w:val="0"/>
          <w:color w:val="474C55"/>
          <w:sz w:val="16"/>
        </w:rPr>
        <w:t xml:space="preserve">Melissa S. McCart, PharmD, MS, </w:t>
      </w:r>
      <w:r>
        <w:rPr>
          <w:rFonts w:ascii="Asap" w:hAnsi="Asap" w:eastAsia="Asap"/>
          <w:b w:val="0"/>
          <w:i w:val="0"/>
          <w:color w:val="474C55"/>
          <w:sz w:val="16"/>
        </w:rPr>
        <w:t xml:space="preserve">Xcenda, </w:t>
      </w:r>
      <w:r>
        <w:br/>
      </w:r>
      <w:r>
        <w:rPr>
          <w:rFonts w:ascii="Asap" w:hAnsi="Asap" w:eastAsia="Asap"/>
          <w:b w:val="0"/>
          <w:i w:val="0"/>
          <w:color w:val="474C55"/>
          <w:sz w:val="16"/>
        </w:rPr>
        <w:t xml:space="preserve">Palm Harbor, FL; </w:t>
      </w:r>
      <w:r>
        <w:rPr>
          <w:rFonts w:ascii="Asap" w:hAnsi="Asap" w:eastAsia="Asap"/>
          <w:b w:val="0"/>
          <w:i/>
          <w:color w:val="474C55"/>
          <w:sz w:val="16"/>
        </w:rPr>
        <w:t>Assistant Editor</w:t>
      </w:r>
    </w:p>
    <w:p>
      <w:pPr>
        <w:autoSpaceDN w:val="0"/>
        <w:autoSpaceDE w:val="0"/>
        <w:widowControl/>
        <w:spacing w:line="200" w:lineRule="exact" w:before="88" w:after="0"/>
        <w:ind w:left="540" w:right="144" w:firstLine="0"/>
        <w:jc w:val="left"/>
      </w:pPr>
      <w:r>
        <w:rPr>
          <w:rFonts w:ascii="Asap" w:hAnsi="Asap" w:eastAsia="Asap"/>
          <w:b/>
          <w:i w:val="0"/>
          <w:color w:val="474C55"/>
          <w:sz w:val="16"/>
        </w:rPr>
        <w:t xml:space="preserve">Karen L. Rascati, PhD, </w:t>
      </w:r>
      <w:r>
        <w:rPr>
          <w:rFonts w:ascii="Asap" w:hAnsi="Asap" w:eastAsia="Asap"/>
          <w:b w:val="0"/>
          <w:i w:val="0"/>
          <w:color w:val="474C55"/>
          <w:sz w:val="16"/>
        </w:rPr>
        <w:t xml:space="preserve">University of Texas College of Pharmacy, Austin, </w:t>
      </w:r>
      <w:r>
        <w:rPr>
          <w:rFonts w:ascii="Asap" w:hAnsi="Asap" w:eastAsia="Asap"/>
          <w:b w:val="0"/>
          <w:i w:val="0"/>
          <w:color w:val="474C55"/>
          <w:sz w:val="16"/>
        </w:rPr>
        <w:t xml:space="preserve">TX; </w:t>
      </w:r>
      <w:r>
        <w:rPr>
          <w:rFonts w:ascii="Asap" w:hAnsi="Asap" w:eastAsia="Asap"/>
          <w:b w:val="0"/>
          <w:i/>
          <w:color w:val="474C55"/>
          <w:sz w:val="16"/>
        </w:rPr>
        <w:t>Assistant Editor</w:t>
      </w:r>
    </w:p>
    <w:p>
      <w:pPr>
        <w:autoSpaceDN w:val="0"/>
        <w:autoSpaceDE w:val="0"/>
        <w:widowControl/>
        <w:spacing w:line="204" w:lineRule="exact" w:before="246" w:after="0"/>
        <w:ind w:left="540" w:right="0" w:firstLine="0"/>
        <w:jc w:val="left"/>
      </w:pPr>
      <w:r>
        <w:rPr>
          <w:rFonts w:ascii="Asap" w:hAnsi="Asap" w:eastAsia="Asap"/>
          <w:b/>
          <w:i w:val="0"/>
          <w:color w:val="14377D"/>
          <w:sz w:val="16"/>
        </w:rPr>
        <w:t>SUPPLEMENT POLICY STATEMENT</w:t>
      </w:r>
    </w:p>
    <w:p>
      <w:pPr>
        <w:autoSpaceDN w:val="0"/>
        <w:autoSpaceDE w:val="0"/>
        <w:widowControl/>
        <w:spacing w:line="200" w:lineRule="exact" w:before="42" w:after="0"/>
        <w:ind w:left="540" w:right="144" w:firstLine="0"/>
        <w:jc w:val="left"/>
      </w:pPr>
      <w:r>
        <w:rPr>
          <w:rFonts w:ascii="Asap" w:hAnsi="Asap" w:eastAsia="Asap"/>
          <w:b w:val="0"/>
          <w:i w:val="0"/>
          <w:color w:val="000000"/>
          <w:sz w:val="16"/>
        </w:rPr>
        <w:t xml:space="preserve">Supplements are a separate issue of </w:t>
      </w:r>
      <w:r>
        <w:rPr>
          <w:rFonts w:ascii="Asap" w:hAnsi="Asap" w:eastAsia="Asap"/>
          <w:b w:val="0"/>
          <w:i/>
          <w:color w:val="000000"/>
          <w:sz w:val="16"/>
        </w:rPr>
        <w:t>JMCP</w:t>
      </w:r>
      <w:r>
        <w:rPr>
          <w:rFonts w:ascii="Asap" w:hAnsi="Asap" w:eastAsia="Asap"/>
          <w:b w:val="0"/>
          <w:i w:val="0"/>
          <w:color w:val="000000"/>
          <w:sz w:val="16"/>
        </w:rPr>
        <w:t xml:space="preserve"> that is funded by a spon-</w:t>
      </w:r>
      <w:r>
        <w:rPr>
          <w:rFonts w:ascii="Asap" w:hAnsi="Asap" w:eastAsia="Asap"/>
          <w:b w:val="0"/>
          <w:i w:val="0"/>
          <w:color w:val="000000"/>
          <w:sz w:val="16"/>
        </w:rPr>
        <w:t xml:space="preserve">sor rather than by the journal’s publisher. Supplements must align to </w:t>
      </w:r>
      <w:r>
        <w:rPr>
          <w:rFonts w:ascii="Asap" w:hAnsi="Asap" w:eastAsia="Asap"/>
          <w:b w:val="0"/>
          <w:i/>
          <w:color w:val="000000"/>
          <w:sz w:val="16"/>
        </w:rPr>
        <w:t xml:space="preserve">JMCP’s </w:t>
      </w:r>
      <w:r>
        <w:rPr>
          <w:rFonts w:ascii="Asap" w:hAnsi="Asap" w:eastAsia="Asap"/>
          <w:b w:val="0"/>
          <w:i w:val="0"/>
          <w:color w:val="000000"/>
          <w:sz w:val="16"/>
        </w:rPr>
        <w:t xml:space="preserve">mission to advance science, expertise, and evidence-based </w:t>
      </w:r>
      <w:r>
        <w:rPr>
          <w:rFonts w:ascii="Asap" w:hAnsi="Asap" w:eastAsia="Asap"/>
          <w:b w:val="0"/>
          <w:i w:val="0"/>
          <w:color w:val="000000"/>
          <w:sz w:val="16"/>
        </w:rPr>
        <w:t>decision making to improve patient health through access to high-</w:t>
      </w:r>
      <w:r>
        <w:rPr>
          <w:rFonts w:ascii="Asap" w:hAnsi="Asap" w:eastAsia="Asap"/>
          <w:b w:val="0"/>
          <w:i w:val="0"/>
          <w:color w:val="000000"/>
          <w:sz w:val="16"/>
        </w:rPr>
        <w:t xml:space="preserve">quality, cost-effective medications and other therapies. The following </w:t>
      </w:r>
      <w:r>
        <w:rPr>
          <w:rFonts w:ascii="Asap" w:hAnsi="Asap" w:eastAsia="Asap"/>
          <w:b w:val="0"/>
          <w:i w:val="0"/>
          <w:color w:val="000000"/>
          <w:sz w:val="16"/>
        </w:rPr>
        <w:t xml:space="preserve">apply to all </w:t>
      </w:r>
      <w:r>
        <w:rPr>
          <w:rFonts w:ascii="Asap" w:hAnsi="Asap" w:eastAsia="Asap"/>
          <w:b w:val="0"/>
          <w:i/>
          <w:color w:val="000000"/>
          <w:sz w:val="16"/>
        </w:rPr>
        <w:t xml:space="preserve">JMCP </w:t>
      </w:r>
      <w:r>
        <w:rPr>
          <w:rFonts w:ascii="Asap" w:hAnsi="Asap" w:eastAsia="Asap"/>
          <w:b w:val="0"/>
          <w:i w:val="0"/>
          <w:color w:val="000000"/>
          <w:sz w:val="16"/>
        </w:rPr>
        <w:t>supplements:</w:t>
      </w:r>
      <w:r>
        <w:br/>
      </w:r>
      <w:r>
        <w:rPr>
          <w:rFonts w:ascii="Asap" w:hAnsi="Asap" w:eastAsia="Asap"/>
          <w:b w:val="0"/>
          <w:i w:val="0"/>
          <w:color w:val="000000"/>
          <w:sz w:val="16"/>
        </w:rPr>
        <w:t>• All supplements are sent to peer review.</w:t>
      </w:r>
    </w:p>
    <w:p>
      <w:pPr>
        <w:autoSpaceDN w:val="0"/>
        <w:tabs>
          <w:tab w:pos="740" w:val="left"/>
        </w:tabs>
        <w:autoSpaceDE w:val="0"/>
        <w:widowControl/>
        <w:spacing w:line="200" w:lineRule="exact" w:before="0" w:after="0"/>
        <w:ind w:left="540" w:right="144" w:firstLine="0"/>
        <w:jc w:val="left"/>
      </w:pPr>
      <w:r>
        <w:rPr>
          <w:rFonts w:ascii="Asap" w:hAnsi="Asap" w:eastAsia="Asap"/>
          <w:b w:val="0"/>
          <w:i w:val="0"/>
          <w:color w:val="000000"/>
          <w:sz w:val="16"/>
        </w:rPr>
        <w:t xml:space="preserve">•  The editor has the authority to reject supplement submissions, before </w:t>
      </w:r>
      <w:r>
        <w:tab/>
      </w:r>
      <w:r>
        <w:rPr>
          <w:rFonts w:ascii="Asap" w:hAnsi="Asap" w:eastAsia="Asap"/>
          <w:b w:val="0"/>
          <w:i w:val="0"/>
          <w:color w:val="000000"/>
          <w:sz w:val="16"/>
        </w:rPr>
        <w:t>or after peer review.</w:t>
      </w:r>
    </w:p>
    <w:p>
      <w:pPr>
        <w:autoSpaceDN w:val="0"/>
        <w:autoSpaceDE w:val="0"/>
        <w:widowControl/>
        <w:spacing w:line="200" w:lineRule="exact" w:before="0" w:after="0"/>
        <w:ind w:left="740" w:right="144" w:hanging="200"/>
        <w:jc w:val="left"/>
      </w:pPr>
      <w:r>
        <w:rPr>
          <w:rFonts w:ascii="Asap" w:hAnsi="Asap" w:eastAsia="Asap"/>
          <w:b w:val="0"/>
          <w:i w:val="0"/>
          <w:color w:val="000000"/>
          <w:sz w:val="16"/>
        </w:rPr>
        <w:t xml:space="preserve">•  The introductory materials of the supplement must clearly state </w:t>
      </w:r>
      <w:r>
        <w:rPr>
          <w:rFonts w:ascii="Asap" w:hAnsi="Asap" w:eastAsia="Asap"/>
          <w:b w:val="0"/>
          <w:i w:val="0"/>
          <w:color w:val="000000"/>
          <w:sz w:val="16"/>
        </w:rPr>
        <w:t>the (1) source of the idea of the supplement, (2) the source of fund-</w:t>
      </w:r>
      <w:r>
        <w:rPr>
          <w:rFonts w:ascii="Asap" w:hAnsi="Asap" w:eastAsia="Asap"/>
          <w:b w:val="0"/>
          <w:i w:val="0"/>
          <w:color w:val="000000"/>
          <w:sz w:val="16"/>
        </w:rPr>
        <w:t xml:space="preserve">ing for the supplement’s research, (3) the source of funding for the </w:t>
      </w:r>
      <w:r>
        <w:rPr>
          <w:rFonts w:ascii="Asap" w:hAnsi="Asap" w:eastAsia="Asap"/>
          <w:b w:val="0"/>
          <w:i w:val="0"/>
          <w:color w:val="000000"/>
          <w:sz w:val="16"/>
        </w:rPr>
        <w:t xml:space="preserve">supplement’s publication, and (4) the products of the funding source </w:t>
      </w:r>
      <w:r>
        <w:rPr>
          <w:rFonts w:ascii="Asap" w:hAnsi="Asap" w:eastAsia="Asap"/>
          <w:b w:val="0"/>
          <w:i w:val="0"/>
          <w:color w:val="000000"/>
          <w:sz w:val="16"/>
        </w:rPr>
        <w:t>related to the supplement content.</w:t>
      </w:r>
    </w:p>
    <w:p>
      <w:pPr>
        <w:autoSpaceDN w:val="0"/>
        <w:autoSpaceDE w:val="0"/>
        <w:widowControl/>
        <w:spacing w:line="200" w:lineRule="exact" w:before="0" w:after="0"/>
        <w:ind w:left="740" w:right="432" w:hanging="200"/>
        <w:jc w:val="left"/>
      </w:pPr>
      <w:r>
        <w:rPr>
          <w:rFonts w:ascii="Asap" w:hAnsi="Asap" w:eastAsia="Asap"/>
          <w:b w:val="0"/>
          <w:i w:val="0"/>
          <w:color w:val="000000"/>
          <w:sz w:val="16"/>
        </w:rPr>
        <w:t xml:space="preserve">•  Authors must meet International Committee of Medical Journal </w:t>
      </w:r>
      <w:r>
        <w:rPr>
          <w:rFonts w:ascii="Asap" w:hAnsi="Asap" w:eastAsia="Asap"/>
          <w:b w:val="0"/>
          <w:i w:val="0"/>
          <w:color w:val="000000"/>
          <w:sz w:val="16"/>
        </w:rPr>
        <w:t xml:space="preserve">Editors (ICMJE) </w:t>
      </w:r>
      <w:r>
        <w:rPr>
          <w:u w:val="single" w:color="13377c"/>
          <w:rFonts w:ascii="Asap" w:hAnsi="Asap" w:eastAsia="Asap"/>
          <w:b w:val="0"/>
          <w:i w:val="0"/>
          <w:color w:val="14377D"/>
          <w:sz w:val="16"/>
        </w:rPr>
        <w:t>criteria for authorship</w:t>
      </w:r>
      <w:r>
        <w:rPr>
          <w:rFonts w:ascii="Asap" w:hAnsi="Asap" w:eastAsia="Asap"/>
          <w:b w:val="0"/>
          <w:i w:val="0"/>
          <w:color w:val="000000"/>
          <w:sz w:val="16"/>
        </w:rPr>
        <w:t xml:space="preserve"> as described in the </w:t>
      </w:r>
      <w:r>
        <w:rPr>
          <w:rFonts w:ascii="Asap" w:hAnsi="Asap" w:eastAsia="Asap"/>
          <w:b w:val="0"/>
          <w:i/>
          <w:color w:val="000000"/>
          <w:sz w:val="16"/>
        </w:rPr>
        <w:t xml:space="preserve">JMCP </w:t>
      </w:r>
      <w:r>
        <w:rPr>
          <w:rFonts w:ascii="Asap" w:hAnsi="Asap" w:eastAsia="Asap"/>
          <w:b w:val="0"/>
          <w:i w:val="0"/>
          <w:color w:val="000000"/>
          <w:sz w:val="16"/>
        </w:rPr>
        <w:t>author guidelines.</w:t>
      </w:r>
    </w:p>
    <w:p>
      <w:pPr>
        <w:autoSpaceDN w:val="0"/>
        <w:autoSpaceDE w:val="0"/>
        <w:widowControl/>
        <w:spacing w:line="200" w:lineRule="exact" w:before="0" w:after="0"/>
        <w:ind w:left="740" w:right="288" w:hanging="200"/>
        <w:jc w:val="left"/>
      </w:pPr>
      <w:r>
        <w:rPr>
          <w:rFonts w:ascii="Asap" w:hAnsi="Asap" w:eastAsia="Asap"/>
          <w:b w:val="0"/>
          <w:i w:val="0"/>
          <w:color w:val="000000"/>
          <w:sz w:val="16"/>
        </w:rPr>
        <w:t xml:space="preserve">•  Authors must disclose all financial and personal relationships </w:t>
      </w:r>
      <w:r>
        <w:rPr>
          <w:rFonts w:ascii="Asap" w:hAnsi="Asap" w:eastAsia="Asap"/>
          <w:b w:val="0"/>
          <w:i w:val="0"/>
          <w:color w:val="000000"/>
          <w:sz w:val="16"/>
        </w:rPr>
        <w:t xml:space="preserve">that may impact their work by completing the ICMJE </w:t>
      </w:r>
      <w:r>
        <w:rPr>
          <w:u w:val="single" w:color="13377c"/>
          <w:rFonts w:ascii="Asap" w:hAnsi="Asap" w:eastAsia="Asap"/>
          <w:b w:val="0"/>
          <w:i w:val="0"/>
          <w:color w:val="14377D"/>
          <w:sz w:val="16"/>
        </w:rPr>
        <w:t xml:space="preserve">Disclosure of </w:t>
      </w:r>
      <w:r>
        <w:rPr>
          <w:u w:val="single" w:color="13377c"/>
          <w:rFonts w:ascii="Asap" w:hAnsi="Asap" w:eastAsia="Asap"/>
          <w:b w:val="0"/>
          <w:i w:val="0"/>
          <w:color w:val="14377D"/>
          <w:sz w:val="16"/>
        </w:rPr>
        <w:t>Conflicts of Interest</w:t>
      </w:r>
      <w:r>
        <w:rPr>
          <w:rFonts w:ascii="Asap" w:hAnsi="Asap" w:eastAsia="Asap"/>
          <w:b w:val="0"/>
          <w:i w:val="0"/>
          <w:color w:val="000000"/>
          <w:sz w:val="16"/>
        </w:rPr>
        <w:t xml:space="preserve"> form as described in the </w:t>
      </w:r>
      <w:r>
        <w:rPr>
          <w:rFonts w:ascii="Asap" w:hAnsi="Asap" w:eastAsia="Asap"/>
          <w:b w:val="0"/>
          <w:i/>
          <w:color w:val="000000"/>
          <w:sz w:val="16"/>
        </w:rPr>
        <w:t>JMCP</w:t>
      </w:r>
      <w:r>
        <w:rPr>
          <w:rFonts w:ascii="Asap" w:hAnsi="Asap" w:eastAsia="Asap"/>
          <w:b w:val="0"/>
          <w:i w:val="0"/>
          <w:color w:val="000000"/>
          <w:sz w:val="16"/>
        </w:rPr>
        <w:t xml:space="preserve"> author guide-</w:t>
      </w:r>
      <w:r>
        <w:rPr>
          <w:rFonts w:ascii="Asap" w:hAnsi="Asap" w:eastAsia="Asap"/>
          <w:b w:val="0"/>
          <w:i w:val="0"/>
          <w:color w:val="000000"/>
          <w:sz w:val="16"/>
        </w:rPr>
        <w:t>lines.</w:t>
      </w:r>
    </w:p>
    <w:p>
      <w:pPr>
        <w:autoSpaceDN w:val="0"/>
        <w:autoSpaceDE w:val="0"/>
        <w:widowControl/>
        <w:spacing w:line="200" w:lineRule="exact" w:before="0" w:after="0"/>
        <w:ind w:left="740" w:right="288" w:hanging="200"/>
        <w:jc w:val="left"/>
      </w:pPr>
      <w:r>
        <w:rPr>
          <w:rFonts w:ascii="Asap" w:hAnsi="Asap" w:eastAsia="Asap"/>
          <w:b w:val="0"/>
          <w:i w:val="0"/>
          <w:color w:val="000000"/>
          <w:sz w:val="16"/>
        </w:rPr>
        <w:t xml:space="preserve">•  Product trade names are only used once, generally at the first </w:t>
      </w:r>
      <w:r>
        <w:rPr>
          <w:rFonts w:ascii="Asap" w:hAnsi="Asap" w:eastAsia="Asap"/>
          <w:b w:val="0"/>
          <w:i w:val="0"/>
          <w:color w:val="000000"/>
          <w:sz w:val="16"/>
        </w:rPr>
        <w:t xml:space="preserve">reference to the generic name. Use of trade and generic naming </w:t>
      </w:r>
      <w:r>
        <w:rPr>
          <w:rFonts w:ascii="Asap" w:hAnsi="Asap" w:eastAsia="Asap"/>
          <w:b w:val="0"/>
          <w:i w:val="0"/>
          <w:color w:val="000000"/>
          <w:sz w:val="16"/>
        </w:rPr>
        <w:t xml:space="preserve">conventions may be adjusted at the editor’s discretion to provide </w:t>
      </w:r>
      <w:r>
        <w:rPr>
          <w:rFonts w:ascii="Asap" w:hAnsi="Asap" w:eastAsia="Asap"/>
          <w:b w:val="0"/>
          <w:i w:val="0"/>
          <w:color w:val="000000"/>
          <w:sz w:val="16"/>
        </w:rPr>
        <w:t>clarity.</w:t>
      </w:r>
    </w:p>
    <w:p>
      <w:pPr>
        <w:autoSpaceDN w:val="0"/>
        <w:autoSpaceDE w:val="0"/>
        <w:widowControl/>
        <w:spacing w:line="200" w:lineRule="exact" w:before="0" w:after="0"/>
        <w:ind w:left="740" w:right="288" w:hanging="200"/>
        <w:jc w:val="left"/>
      </w:pPr>
      <w:r>
        <w:rPr>
          <w:rFonts w:ascii="Asap" w:hAnsi="Asap" w:eastAsia="Asap"/>
          <w:b w:val="0"/>
          <w:i w:val="0"/>
          <w:color w:val="000000"/>
          <w:sz w:val="16"/>
        </w:rPr>
        <w:t xml:space="preserve">•  Supplements are identified by the addition of an alpha character </w:t>
      </w:r>
      <w:r>
        <w:rPr>
          <w:rFonts w:ascii="Asap" w:hAnsi="Asap" w:eastAsia="Asap"/>
          <w:b w:val="0"/>
          <w:i w:val="0"/>
          <w:color w:val="000000"/>
          <w:sz w:val="16"/>
        </w:rPr>
        <w:t xml:space="preserve">to the issue number (eg, issue 10-a) and an S to the page number </w:t>
      </w:r>
      <w:r>
        <w:rPr>
          <w:rFonts w:ascii="Asap" w:hAnsi="Asap" w:eastAsia="Asap"/>
          <w:b w:val="0"/>
          <w:i w:val="0"/>
          <w:color w:val="000000"/>
          <w:sz w:val="16"/>
        </w:rPr>
        <w:t>(eg, page S1-S11).</w:t>
      </w:r>
    </w:p>
    <w:p>
      <w:pPr>
        <w:autoSpaceDN w:val="0"/>
        <w:autoSpaceDE w:val="0"/>
        <w:widowControl/>
        <w:spacing w:line="200" w:lineRule="exact" w:before="0" w:after="0"/>
        <w:ind w:left="540" w:right="0" w:firstLine="0"/>
        <w:jc w:val="left"/>
      </w:pPr>
      <w:r>
        <w:rPr>
          <w:rFonts w:ascii="Asap" w:hAnsi="Asap" w:eastAsia="Asap"/>
          <w:b w:val="0"/>
          <w:i w:val="0"/>
          <w:color w:val="000000"/>
          <w:sz w:val="16"/>
        </w:rPr>
        <w:t xml:space="preserve">These policies are based on </w:t>
      </w:r>
      <w:r>
        <w:rPr>
          <w:u w:val="single" w:color="13377c"/>
          <w:rFonts w:ascii="Asap" w:hAnsi="Asap" w:eastAsia="Asap"/>
          <w:b w:val="0"/>
          <w:i w:val="0"/>
          <w:color w:val="14377D"/>
          <w:sz w:val="16"/>
        </w:rPr>
        <w:t>recommendations</w:t>
      </w:r>
      <w:r>
        <w:rPr>
          <w:rFonts w:ascii="Asap" w:hAnsi="Asap" w:eastAsia="Asap"/>
          <w:b w:val="0"/>
          <w:i w:val="0"/>
          <w:color w:val="000000"/>
          <w:sz w:val="16"/>
        </w:rPr>
        <w:t xml:space="preserve"> from the ICMJE. </w:t>
      </w:r>
    </w:p>
    <w:p>
      <w:pPr>
        <w:autoSpaceDN w:val="0"/>
        <w:autoSpaceDE w:val="0"/>
        <w:widowControl/>
        <w:spacing w:line="186" w:lineRule="exact" w:before="2742" w:after="0"/>
        <w:ind w:left="740" w:right="0" w:firstLine="0"/>
        <w:jc w:val="left"/>
      </w:pPr>
      <w:r>
        <w:rPr>
          <w:rFonts w:ascii="Asap" w:hAnsi="Asap" w:eastAsia="Asap"/>
          <w:b/>
          <w:i w:val="0"/>
          <w:color w:val="14377D"/>
          <w:sz w:val="14"/>
        </w:rPr>
        <w:t>JMCP</w:t>
      </w:r>
      <w:r>
        <w:rPr>
          <w:rFonts w:ascii="Asap" w:hAnsi="Asap" w:eastAsia="Asap"/>
          <w:b w:val="0"/>
          <w:i w:val="0"/>
          <w:color w:val="14377D"/>
          <w:sz w:val="14"/>
        </w:rPr>
        <w:t>.org</w:t>
      </w:r>
      <w:r>
        <w:rPr>
          <w:rFonts w:ascii="Asap" w:hAnsi="Asap" w:eastAsia="Asap"/>
          <w:b w:val="0"/>
          <w:i w:val="0"/>
          <w:color w:val="474C55"/>
          <w:sz w:val="14"/>
        </w:rPr>
        <w:t>|</w:t>
      </w:r>
      <w:r>
        <w:rPr>
          <w:rFonts w:ascii="Asap" w:hAnsi="Asap" w:eastAsia="Asap"/>
          <w:b w:val="0"/>
          <w:i w:val="0"/>
          <w:color w:val="474C55"/>
          <w:sz w:val="14"/>
        </w:rPr>
        <w:t>April 2024</w:t>
      </w:r>
      <w:r>
        <w:rPr>
          <w:rFonts w:ascii="Asap" w:hAnsi="Asap" w:eastAsia="Asap"/>
          <w:b w:val="0"/>
          <w:i w:val="0"/>
          <w:color w:val="474C55"/>
          <w:sz w:val="14"/>
        </w:rPr>
        <w:t>|</w:t>
      </w:r>
      <w:r>
        <w:rPr>
          <w:rFonts w:ascii="Asap" w:hAnsi="Asap" w:eastAsia="Asap"/>
          <w:b w:val="0"/>
          <w:i w:val="0"/>
          <w:color w:val="474C55"/>
          <w:sz w:val="14"/>
        </w:rPr>
        <w:t>Vol. 30, No. 4-B</w:t>
      </w:r>
    </w:p>
    <w:p>
      <w:pPr>
        <w:sectPr>
          <w:type w:val="continuous"/>
          <w:pgSz w:w="11880" w:h="15660"/>
          <w:pgMar w:top="360" w:right="878" w:bottom="266" w:left="0" w:header="720" w:footer="720" w:gutter="0"/>
          <w:cols w:num="2" w:equalWidth="0">
            <w:col w:w="5778" w:space="0"/>
            <w:col w:w="5224" w:space="0"/>
          </w:cols>
          <w:docGrid w:linePitch="360"/>
        </w:sectPr>
      </w:pPr>
    </w:p>
    <w:p>
      <w:pPr>
        <w:autoSpaceDN w:val="0"/>
        <w:autoSpaceDE w:val="0"/>
        <w:widowControl/>
        <w:spacing w:line="208" w:lineRule="exact" w:before="0" w:after="0"/>
        <w:ind w:left="162" w:right="864" w:firstLine="0"/>
        <w:jc w:val="left"/>
      </w:pPr>
      <w:r>
        <w:rPr>
          <w:rFonts w:ascii="Asap" w:hAnsi="Asap" w:eastAsia="Asap"/>
          <w:b/>
          <w:i w:val="0"/>
          <w:color w:val="474C55"/>
          <w:sz w:val="16"/>
        </w:rPr>
        <w:t xml:space="preserve">Carrie McAdam-Marx, BSPharm, MS, PhD </w:t>
      </w:r>
      <w:r>
        <w:br/>
      </w:r>
      <w:r>
        <w:rPr>
          <w:rFonts w:ascii="Asap" w:hAnsi="Asap" w:eastAsia="Asap"/>
          <w:b w:val="0"/>
          <w:i w:val="0"/>
          <w:color w:val="474C55"/>
          <w:sz w:val="16"/>
        </w:rPr>
        <w:t xml:space="preserve">University of Arkansas for Medical Sciences Little Rock, AR; </w:t>
      </w:r>
      <w:r>
        <w:rPr>
          <w:rFonts w:ascii="Asap" w:hAnsi="Asap" w:eastAsia="Asap"/>
          <w:b w:val="0"/>
          <w:i/>
          <w:color w:val="474C55"/>
          <w:sz w:val="16"/>
        </w:rPr>
        <w:t>Section Editor</w:t>
      </w:r>
    </w:p>
    <w:p>
      <w:pPr>
        <w:autoSpaceDN w:val="0"/>
        <w:autoSpaceDE w:val="0"/>
        <w:widowControl/>
        <w:spacing w:line="210" w:lineRule="exact" w:before="86" w:after="0"/>
        <w:ind w:left="162" w:right="2160" w:firstLine="0"/>
        <w:jc w:val="left"/>
      </w:pPr>
      <w:r>
        <w:rPr>
          <w:rFonts w:ascii="Asap" w:hAnsi="Asap" w:eastAsia="Asap"/>
          <w:b/>
          <w:i w:val="0"/>
          <w:color w:val="474C55"/>
          <w:sz w:val="16"/>
        </w:rPr>
        <w:t xml:space="preserve">Jennifer A. Booker, </w:t>
      </w:r>
      <w:r>
        <w:rPr>
          <w:rFonts w:ascii="Asap" w:hAnsi="Asap" w:eastAsia="Asap"/>
          <w:b w:val="0"/>
          <w:i w:val="0"/>
          <w:color w:val="474C55"/>
          <w:sz w:val="16"/>
        </w:rPr>
        <w:t xml:space="preserve">703.317.0725, </w:t>
      </w:r>
      <w:r>
        <w:br/>
      </w:r>
      <w:r>
        <w:rPr>
          <w:rFonts w:ascii="Asap" w:hAnsi="Asap" w:eastAsia="Asap"/>
          <w:b w:val="0"/>
          <w:i w:val="0"/>
          <w:color w:val="474C55"/>
          <w:sz w:val="16"/>
        </w:rPr>
        <w:t xml:space="preserve">jmcpreview@amcp.org; </w:t>
      </w:r>
      <w:r>
        <w:rPr>
          <w:rFonts w:ascii="Asap" w:hAnsi="Asap" w:eastAsia="Asap"/>
          <w:b w:val="0"/>
          <w:i/>
          <w:color w:val="474C55"/>
          <w:sz w:val="16"/>
        </w:rPr>
        <w:t>Managing Editor</w:t>
      </w:r>
    </w:p>
    <w:p>
      <w:pPr>
        <w:autoSpaceDN w:val="0"/>
        <w:autoSpaceDE w:val="0"/>
        <w:widowControl/>
        <w:spacing w:line="204" w:lineRule="exact" w:before="248" w:after="0"/>
        <w:ind w:left="162" w:right="0" w:firstLine="0"/>
        <w:jc w:val="left"/>
      </w:pPr>
      <w:r>
        <w:rPr>
          <w:rFonts w:ascii="Asap" w:hAnsi="Asap" w:eastAsia="Asap"/>
          <w:b/>
          <w:i w:val="0"/>
          <w:color w:val="14377D"/>
          <w:sz w:val="16"/>
        </w:rPr>
        <w:t>PUBLISHER</w:t>
      </w:r>
    </w:p>
    <w:p>
      <w:pPr>
        <w:autoSpaceDN w:val="0"/>
        <w:autoSpaceDE w:val="0"/>
        <w:widowControl/>
        <w:spacing w:line="202" w:lineRule="exact" w:before="126" w:after="0"/>
        <w:ind w:left="162" w:right="0" w:firstLine="0"/>
        <w:jc w:val="left"/>
      </w:pPr>
      <w:r>
        <w:rPr>
          <w:rFonts w:ascii="Asap" w:hAnsi="Asap" w:eastAsia="Asap"/>
          <w:b/>
          <w:i w:val="0"/>
          <w:color w:val="474C55"/>
          <w:sz w:val="16"/>
        </w:rPr>
        <w:t>Susan A. Cantrell, RPh, CAE,</w:t>
      </w:r>
      <w:r>
        <w:rPr>
          <w:rFonts w:ascii="Asap" w:hAnsi="Asap" w:eastAsia="Asap"/>
          <w:b w:val="0"/>
          <w:i w:val="0"/>
          <w:color w:val="474C55"/>
          <w:sz w:val="16"/>
        </w:rPr>
        <w:t xml:space="preserve"> AMCP; </w:t>
      </w:r>
      <w:r>
        <w:rPr>
          <w:rFonts w:ascii="Asap" w:hAnsi="Asap" w:eastAsia="Asap"/>
          <w:b w:val="0"/>
          <w:i/>
          <w:color w:val="474C55"/>
          <w:sz w:val="16"/>
        </w:rPr>
        <w:t>Publisher</w:t>
      </w:r>
    </w:p>
    <w:p>
      <w:pPr>
        <w:autoSpaceDN w:val="0"/>
        <w:autoSpaceDE w:val="0"/>
        <w:widowControl/>
        <w:spacing w:line="198" w:lineRule="exact" w:before="90" w:after="0"/>
        <w:ind w:left="162" w:right="144" w:firstLine="0"/>
        <w:jc w:val="left"/>
      </w:pPr>
      <w:r>
        <w:rPr>
          <w:rFonts w:ascii="Asap" w:hAnsi="Asap" w:eastAsia="Asap"/>
          <w:b/>
          <w:i w:val="0"/>
          <w:color w:val="474C55"/>
          <w:sz w:val="16"/>
        </w:rPr>
        <w:t xml:space="preserve">Ruby Singh, PharmD, BCPS, </w:t>
      </w:r>
      <w:r>
        <w:rPr>
          <w:rFonts w:ascii="Asap" w:hAnsi="Asap" w:eastAsia="Asap"/>
          <w:b w:val="0"/>
          <w:i w:val="0"/>
          <w:color w:val="474C55"/>
          <w:sz w:val="16"/>
        </w:rPr>
        <w:t>AMCP;</w:t>
      </w:r>
      <w:r>
        <w:rPr>
          <w:rFonts w:ascii="Asap" w:hAnsi="Asap" w:eastAsia="Asap"/>
          <w:b w:val="0"/>
          <w:i/>
          <w:color w:val="474C55"/>
          <w:sz w:val="16"/>
        </w:rPr>
        <w:t xml:space="preserve">Senior Vice President, Education &amp; </w:t>
      </w:r>
      <w:r>
        <w:rPr>
          <w:rFonts w:ascii="Asap" w:hAnsi="Asap" w:eastAsia="Asap"/>
          <w:b w:val="0"/>
          <w:i/>
          <w:color w:val="474C55"/>
          <w:sz w:val="16"/>
        </w:rPr>
        <w:t>Publications</w:t>
      </w:r>
    </w:p>
    <w:p>
      <w:pPr>
        <w:autoSpaceDN w:val="0"/>
        <w:autoSpaceDE w:val="0"/>
        <w:widowControl/>
        <w:spacing w:line="204" w:lineRule="exact" w:before="98" w:after="0"/>
        <w:ind w:left="162" w:right="0" w:firstLine="0"/>
        <w:jc w:val="left"/>
      </w:pPr>
      <w:r>
        <w:rPr>
          <w:rFonts w:ascii="Asap" w:hAnsi="Asap" w:eastAsia="Asap"/>
          <w:b/>
          <w:i w:val="0"/>
          <w:color w:val="14377D"/>
          <w:sz w:val="16"/>
        </w:rPr>
        <w:t>ADVERTISING</w:t>
      </w:r>
    </w:p>
    <w:p>
      <w:pPr>
        <w:autoSpaceDN w:val="0"/>
        <w:autoSpaceDE w:val="0"/>
        <w:widowControl/>
        <w:spacing w:line="200" w:lineRule="exact" w:before="42" w:after="0"/>
        <w:ind w:left="162" w:right="144" w:firstLine="0"/>
        <w:jc w:val="left"/>
      </w:pPr>
      <w:r>
        <w:rPr>
          <w:rFonts w:ascii="Asap" w:hAnsi="Asap" w:eastAsia="Asap"/>
          <w:b w:val="0"/>
          <w:i w:val="0"/>
          <w:color w:val="474C55"/>
          <w:sz w:val="16"/>
        </w:rPr>
        <w:t xml:space="preserve">Advertising for </w:t>
      </w:r>
      <w:r>
        <w:rPr>
          <w:rFonts w:ascii="Asap" w:hAnsi="Asap" w:eastAsia="Asap"/>
          <w:b w:val="0"/>
          <w:i/>
          <w:color w:val="474C55"/>
          <w:sz w:val="16"/>
        </w:rPr>
        <w:t>JMCP</w:t>
      </w:r>
      <w:r>
        <w:rPr>
          <w:rFonts w:ascii="Asap" w:hAnsi="Asap" w:eastAsia="Asap"/>
          <w:b w:val="0"/>
          <w:i w:val="0"/>
          <w:color w:val="474C55"/>
          <w:sz w:val="16"/>
        </w:rPr>
        <w:t xml:space="preserve"> is accepted in accordance with the advertising </w:t>
      </w:r>
      <w:r>
        <w:rPr>
          <w:rFonts w:ascii="Asap" w:hAnsi="Asap" w:eastAsia="Asap"/>
          <w:b w:val="0"/>
          <w:i w:val="0"/>
          <w:color w:val="474C55"/>
          <w:sz w:val="16"/>
        </w:rPr>
        <w:t xml:space="preserve">policy of AMCP. A media kit is posted online at </w:t>
      </w:r>
      <w:r>
        <w:br/>
      </w:r>
      <w:r>
        <w:rPr>
          <w:u w:val="single" w:color="13377c"/>
          <w:rFonts w:ascii="Asap" w:hAnsi="Asap" w:eastAsia="Asap"/>
          <w:b w:val="0"/>
          <w:i w:val="0"/>
          <w:color w:val="14377D"/>
          <w:sz w:val="16"/>
        </w:rPr>
        <w:t>www.jmcp.org/advertising</w:t>
      </w:r>
      <w:r>
        <w:rPr>
          <w:rFonts w:ascii="Asap" w:hAnsi="Asap" w:eastAsia="Asap"/>
          <w:b w:val="0"/>
          <w:i w:val="0"/>
          <w:color w:val="474C55"/>
          <w:sz w:val="16"/>
        </w:rPr>
        <w:t xml:space="preserve">. For additional information, contact </w:t>
      </w:r>
      <w:r>
        <w:rPr>
          <w:rFonts w:ascii="Asap" w:hAnsi="Asap" w:eastAsia="Asap"/>
          <w:b/>
          <w:i w:val="0"/>
          <w:color w:val="474C55"/>
          <w:sz w:val="16"/>
        </w:rPr>
        <w:t>Maria Likakis</w:t>
      </w:r>
      <w:r>
        <w:rPr>
          <w:rFonts w:ascii="Asap" w:hAnsi="Asap" w:eastAsia="Asap"/>
          <w:b w:val="0"/>
          <w:i w:val="0"/>
          <w:color w:val="474C55"/>
          <w:sz w:val="16"/>
        </w:rPr>
        <w:t xml:space="preserve"> at American Medical Communications, Inc., </w:t>
      </w:r>
      <w:r>
        <w:br/>
      </w:r>
      <w:r>
        <w:rPr>
          <w:rFonts w:ascii="Asap" w:hAnsi="Asap" w:eastAsia="Asap"/>
          <w:b w:val="0"/>
          <w:i w:val="0"/>
          <w:color w:val="474C55"/>
          <w:sz w:val="16"/>
        </w:rPr>
        <w:t xml:space="preserve">at 908.216.1548 or </w:t>
      </w:r>
      <w:r>
        <w:rPr>
          <w:u w:val="single" w:color="13377c"/>
          <w:rFonts w:ascii="Asap" w:hAnsi="Asap" w:eastAsia="Asap"/>
          <w:b w:val="0"/>
          <w:i w:val="0"/>
          <w:color w:val="14377D"/>
          <w:sz w:val="16"/>
        </w:rPr>
        <w:t>MLikakis@amcmediagroup.com</w:t>
      </w:r>
      <w:r>
        <w:rPr>
          <w:rFonts w:ascii="Asap" w:hAnsi="Asap" w:eastAsia="Asap"/>
          <w:b w:val="0"/>
          <w:i w:val="0"/>
          <w:color w:val="474C55"/>
          <w:sz w:val="16"/>
        </w:rPr>
        <w:t>.</w:t>
      </w:r>
    </w:p>
    <w:p>
      <w:pPr>
        <w:autoSpaceDN w:val="0"/>
        <w:autoSpaceDE w:val="0"/>
        <w:widowControl/>
        <w:spacing w:line="200" w:lineRule="exact" w:before="90" w:after="308"/>
        <w:ind w:left="162" w:right="0" w:firstLine="0"/>
        <w:jc w:val="left"/>
      </w:pPr>
      <w:r>
        <w:rPr>
          <w:rFonts w:ascii="Asap" w:hAnsi="Asap" w:eastAsia="Asap"/>
          <w:b w:val="0"/>
          <w:i w:val="0"/>
          <w:color w:val="474C55"/>
          <w:sz w:val="16"/>
        </w:rPr>
        <w:t xml:space="preserve">Please contact </w:t>
      </w:r>
      <w:r>
        <w:rPr>
          <w:rFonts w:ascii="Asap" w:hAnsi="Asap" w:eastAsia="Asap"/>
          <w:b/>
          <w:i w:val="0"/>
          <w:color w:val="474C55"/>
          <w:sz w:val="16"/>
        </w:rPr>
        <w:t>Matt Lowe</w:t>
      </w:r>
      <w:r>
        <w:rPr>
          <w:rFonts w:ascii="Asap" w:hAnsi="Asap" w:eastAsia="Asap"/>
          <w:b w:val="0"/>
          <w:i w:val="0"/>
          <w:color w:val="474C55"/>
          <w:sz w:val="16"/>
        </w:rPr>
        <w:t xml:space="preserve">, </w:t>
      </w:r>
      <w:r>
        <w:rPr>
          <w:rFonts w:ascii="Asap" w:hAnsi="Asap" w:eastAsia="Asap"/>
          <w:b w:val="0"/>
          <w:i/>
          <w:color w:val="474C55"/>
          <w:sz w:val="16"/>
        </w:rPr>
        <w:t>JMCP</w:t>
      </w:r>
      <w:r>
        <w:rPr>
          <w:rFonts w:ascii="Asap" w:hAnsi="Asap" w:eastAsia="Asap"/>
          <w:b w:val="0"/>
          <w:i w:val="0"/>
          <w:color w:val="474C55"/>
          <w:sz w:val="16"/>
        </w:rPr>
        <w:t xml:space="preserve">’s business manager, at </w:t>
      </w:r>
      <w:r>
        <w:rPr>
          <w:u w:val="single" w:color="13377c"/>
          <w:rFonts w:ascii="Asap" w:hAnsi="Asap" w:eastAsia="Asap"/>
          <w:b w:val="0"/>
          <w:i w:val="0"/>
          <w:color w:val="14377D"/>
          <w:sz w:val="16"/>
        </w:rPr>
        <w:t xml:space="preserve">mlowe@amcp.org </w:t>
      </w:r>
      <w:r>
        <w:rPr>
          <w:rFonts w:ascii="Asap" w:hAnsi="Asap" w:eastAsia="Asap"/>
          <w:b w:val="0"/>
          <w:i w:val="0"/>
          <w:color w:val="474C55"/>
          <w:sz w:val="16"/>
        </w:rPr>
        <w:t>for information on other partnership opportunities.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60.0" w:type="dxa"/>
      </w:tblPr>
      <w:tblGrid>
        <w:gridCol w:w="9562"/>
      </w:tblGrid>
      <w:tr>
        <w:trPr>
          <w:trHeight w:hRule="exact" w:val="980"/>
        </w:trPr>
        <w:tc>
          <w:tcPr>
            <w:tcW w:type="dxa" w:w="5042"/>
            <w:tcBorders/>
            <w:shd w:fill="e4e5e6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380" w:after="0"/>
              <w:ind w:left="192" w:right="288" w:firstLine="0"/>
              <w:jc w:val="left"/>
            </w:pPr>
            <w:r>
              <w:rPr>
                <w:w w:val="97.46794104576111"/>
                <w:rFonts w:ascii="Asap" w:hAnsi="Asap" w:eastAsia="Asap"/>
                <w:b w:val="0"/>
                <w:i w:val="0"/>
                <w:color w:val="474C55"/>
                <w:sz w:val="16"/>
              </w:rPr>
              <w:t xml:space="preserve">This Supplement to the </w:t>
            </w:r>
            <w:r>
              <w:br/>
            </w:r>
            <w:r>
              <w:rPr>
                <w:w w:val="97.46794104576111"/>
                <w:rFonts w:ascii="Asap" w:hAnsi="Asap" w:eastAsia="Asap"/>
                <w:b/>
                <w:i w:val="0"/>
                <w:color w:val="14377D"/>
                <w:sz w:val="16"/>
              </w:rPr>
              <w:t xml:space="preserve">Journal of Managed Care </w:t>
            </w:r>
            <w:r>
              <w:rPr>
                <w:w w:val="97.46794104576111"/>
                <w:rFonts w:ascii="Asap" w:hAnsi="Asap" w:eastAsia="Asap"/>
                <w:b/>
                <w:i w:val="0"/>
                <w:color w:val="14377D"/>
                <w:sz w:val="16"/>
              </w:rPr>
              <w:t>+</w:t>
            </w:r>
            <w:r>
              <w:rPr>
                <w:w w:val="97.46794104576111"/>
                <w:rFonts w:ascii="Asap" w:hAnsi="Asap" w:eastAsia="Asap"/>
                <w:b/>
                <w:i w:val="0"/>
                <w:color w:val="14377D"/>
                <w:sz w:val="16"/>
              </w:rPr>
              <w:t xml:space="preserve"> Specialty Pharmacy</w:t>
            </w:r>
            <w:r>
              <w:rPr>
                <w:w w:val="101.02010303073459"/>
                <w:rFonts w:ascii="Asap" w:hAnsi="Asap" w:eastAsia="Asap"/>
                <w:b/>
                <w:i/>
                <w:color w:val="14377D"/>
                <w:sz w:val="9"/>
              </w:rPr>
              <w:t>®</w:t>
            </w:r>
            <w:r>
              <w:rPr>
                <w:w w:val="97.46794104576111"/>
                <w:rFonts w:ascii="Asap" w:hAnsi="Asap" w:eastAsia="Asap"/>
                <w:b w:val="0"/>
                <w:i w:val="0"/>
                <w:color w:val="474C55"/>
                <w:sz w:val="16"/>
              </w:rPr>
              <w:t>(ISSN 1944-</w:t>
            </w:r>
            <w:r>
              <w:rPr>
                <w:w w:val="97.46794104576111"/>
                <w:rFonts w:ascii="Asap" w:hAnsi="Asap" w:eastAsia="Asap"/>
                <w:b w:val="0"/>
                <w:i w:val="0"/>
                <w:color w:val="474C55"/>
                <w:sz w:val="16"/>
              </w:rPr>
              <w:t xml:space="preserve">706X) is a publication of AMCP, 675 N. Washington St., Suite 220, 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62.00000000000045" w:type="dxa"/>
      </w:tblPr>
      <w:tblGrid>
        <w:gridCol w:w="9562"/>
      </w:tblGrid>
      <w:tr>
        <w:trPr>
          <w:trHeight w:hRule="exact" w:val="260"/>
        </w:trPr>
        <w:tc>
          <w:tcPr>
            <w:tcW w:type="dxa" w:w="3880"/>
            <w:tcBorders/>
            <w:shd w:fill="e4e5e6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2" w:after="0"/>
              <w:ind w:left="190" w:right="0" w:firstLine="0"/>
              <w:jc w:val="left"/>
            </w:pPr>
            <w:r>
              <w:rPr>
                <w:w w:val="97.46794104576111"/>
                <w:rFonts w:ascii="Asap" w:hAnsi="Asap" w:eastAsia="Asap"/>
                <w:b w:val="0"/>
                <w:i w:val="0"/>
                <w:color w:val="474C55"/>
                <w:sz w:val="16"/>
              </w:rPr>
              <w:t xml:space="preserve">Alexandria, VA 22314; 703.684.2600. </w:t>
            </w:r>
          </w:p>
        </w:tc>
      </w:tr>
    </w:tbl>
    <w:p>
      <w:pPr>
        <w:autoSpaceDN w:val="0"/>
        <w:autoSpaceDE w:val="0"/>
        <w:widowControl/>
        <w:spacing w:line="222" w:lineRule="exact" w:before="552" w:after="0"/>
        <w:ind w:left="162" w:right="0" w:firstLine="0"/>
        <w:jc w:val="left"/>
      </w:pPr>
      <w:r>
        <w:rPr>
          <w:rFonts w:ascii="Asap" w:hAnsi="Asap" w:eastAsia="Asap"/>
          <w:b/>
          <w:i w:val="0"/>
          <w:color w:val="14377D"/>
          <w:sz w:val="16"/>
        </w:rPr>
        <w:t xml:space="preserve">DISCLAIMER </w:t>
      </w:r>
      <w:r>
        <w:rPr>
          <w:rFonts w:ascii="Asap" w:hAnsi="Asap" w:eastAsia="Asap"/>
          <w:b/>
          <w:i w:val="0"/>
          <w:color w:val="14377D"/>
          <w:sz w:val="16"/>
        </w:rPr>
        <w:t>+</w:t>
      </w:r>
      <w:r>
        <w:rPr>
          <w:rFonts w:ascii="Asap" w:hAnsi="Asap" w:eastAsia="Asap"/>
          <w:b/>
          <w:i w:val="0"/>
          <w:color w:val="14377D"/>
          <w:sz w:val="16"/>
        </w:rPr>
        <w:t xml:space="preserve"> COPYRIGHT</w:t>
      </w:r>
    </w:p>
    <w:p>
      <w:pPr>
        <w:autoSpaceDN w:val="0"/>
        <w:autoSpaceDE w:val="0"/>
        <w:widowControl/>
        <w:spacing w:line="200" w:lineRule="exact" w:before="42" w:after="0"/>
        <w:ind w:left="162" w:right="0" w:firstLine="0"/>
        <w:jc w:val="left"/>
      </w:pPr>
      <w:r>
        <w:rPr>
          <w:rFonts w:ascii="Asap" w:hAnsi="Asap" w:eastAsia="Asap"/>
          <w:b w:val="0"/>
          <w:i w:val="0"/>
          <w:color w:val="474C55"/>
          <w:sz w:val="16"/>
        </w:rPr>
        <w:t xml:space="preserve">All articles published represent the opinions of the authors and do not </w:t>
      </w:r>
      <w:r>
        <w:rPr>
          <w:rFonts w:ascii="Asap" w:hAnsi="Asap" w:eastAsia="Asap"/>
          <w:b w:val="0"/>
          <w:i w:val="0"/>
          <w:color w:val="474C55"/>
          <w:sz w:val="16"/>
        </w:rPr>
        <w:t xml:space="preserve">reflect the official policy or views of AMCP or the authors’ institutions </w:t>
      </w:r>
      <w:r>
        <w:rPr>
          <w:rFonts w:ascii="Asap" w:hAnsi="Asap" w:eastAsia="Asap"/>
          <w:b w:val="0"/>
          <w:i w:val="0"/>
          <w:color w:val="474C55"/>
          <w:sz w:val="16"/>
        </w:rPr>
        <w:t xml:space="preserve">unless so specified. Copyright © 2024, Academy of Managed Care </w:t>
      </w:r>
      <w:r>
        <w:rPr>
          <w:rFonts w:ascii="Asap" w:hAnsi="Asap" w:eastAsia="Asap"/>
          <w:b w:val="0"/>
          <w:i w:val="0"/>
          <w:color w:val="474C55"/>
          <w:sz w:val="16"/>
        </w:rPr>
        <w:t>Pharmacy. All rights reserved. No part of this publication may be repro-</w:t>
      </w:r>
      <w:r>
        <w:rPr>
          <w:rFonts w:ascii="Asap" w:hAnsi="Asap" w:eastAsia="Asap"/>
          <w:b w:val="0"/>
          <w:i w:val="0"/>
          <w:color w:val="474C55"/>
          <w:sz w:val="16"/>
        </w:rPr>
        <w:t xml:space="preserve">duced or transmitted in any form or by any means, electronic or </w:t>
      </w:r>
      <w:r>
        <w:br/>
      </w:r>
      <w:r>
        <w:rPr>
          <w:rFonts w:ascii="Asap" w:hAnsi="Asap" w:eastAsia="Asap"/>
          <w:b w:val="0"/>
          <w:i w:val="0"/>
          <w:color w:val="474C55"/>
          <w:sz w:val="16"/>
        </w:rPr>
        <w:t>mechanical, without written permission from AMCP.</w:t>
      </w:r>
    </w:p>
    <w:p>
      <w:pPr>
        <w:sectPr>
          <w:type w:val="nextColumn"/>
          <w:pgSz w:w="11880" w:h="15660"/>
          <w:pgMar w:top="360" w:right="878" w:bottom="266" w:left="0" w:header="720" w:footer="720" w:gutter="0"/>
          <w:cols w:num="2" w:equalWidth="0">
            <w:col w:w="5778" w:space="0"/>
            <w:col w:w="5224" w:space="0"/>
          </w:cols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764.0" w:type="dxa"/>
      </w:tblPr>
      <w:tblGrid>
        <w:gridCol w:w="3235"/>
        <w:gridCol w:w="3235"/>
        <w:gridCol w:w="3235"/>
      </w:tblGrid>
      <w:tr>
        <w:trPr>
          <w:trHeight w:hRule="exact" w:val="994"/>
        </w:trPr>
        <w:tc>
          <w:tcPr>
            <w:tcW w:type="dxa" w:w="5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0" w:right="820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057400" cy="5969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57400" cy="5969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344" w:after="0"/>
              <w:ind w:left="0" w:right="84" w:firstLine="0"/>
              <w:jc w:val="right"/>
            </w:pPr>
            <w:r>
              <w:rPr>
                <w:rFonts w:ascii="Asap" w:hAnsi="Asap" w:eastAsia="Asap"/>
                <w:b/>
                <w:i w:val="0"/>
                <w:color w:val="474C55"/>
                <w:sz w:val="18"/>
              </w:rPr>
              <w:t>AMCP FORMAT 5.0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352" w:after="0"/>
              <w:ind w:left="96" w:right="0" w:firstLine="0"/>
              <w:jc w:val="left"/>
            </w:pPr>
            <w:r>
              <w:rPr>
                <w:rFonts w:ascii="Asap" w:hAnsi="Asap" w:eastAsia="Asap"/>
                <w:b/>
                <w:i w:val="0"/>
                <w:color w:val="FFFFFF"/>
                <w:sz w:val="18"/>
              </w:rPr>
              <w:t>3</w:t>
            </w:r>
          </w:p>
        </w:tc>
      </w:tr>
    </w:tbl>
    <w:p>
      <w:pPr>
        <w:autoSpaceDN w:val="0"/>
        <w:tabs>
          <w:tab w:pos="3710" w:val="left"/>
        </w:tabs>
        <w:autoSpaceDE w:val="0"/>
        <w:widowControl/>
        <w:spacing w:line="358" w:lineRule="exact" w:before="0" w:after="26"/>
        <w:ind w:left="4" w:right="4464" w:firstLine="0"/>
        <w:jc w:val="left"/>
      </w:pPr>
      <w:r>
        <w:tab/>
      </w:r>
      <w:r>
        <w:rPr>
          <w:rFonts w:ascii="Asap" w:hAnsi="Asap" w:eastAsia="Asap"/>
          <w:b w:val="0"/>
          <w:i w:val="0"/>
          <w:color w:val="878A8F"/>
          <w:sz w:val="16"/>
        </w:rPr>
        <w:t xml:space="preserve">January 2024 | Volume 30 | Number 1-a </w:t>
      </w:r>
      <w:r>
        <w:rPr>
          <w:rFonts w:ascii="Asap" w:hAnsi="Asap" w:eastAsia="Asap"/>
          <w:b/>
          <w:i w:val="0"/>
          <w:color w:val="6C146B"/>
          <w:sz w:val="32"/>
        </w:rPr>
        <w:t>Table of Contents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617"/>
        <w:gridCol w:w="1617"/>
        <w:gridCol w:w="1617"/>
        <w:gridCol w:w="1617"/>
        <w:gridCol w:w="1617"/>
        <w:gridCol w:w="1617"/>
      </w:tblGrid>
      <w:tr>
        <w:trPr>
          <w:trHeight w:hRule="exact" w:val="258"/>
        </w:trPr>
        <w:tc>
          <w:tcPr>
            <w:tcW w:type="dxa" w:w="3984"/>
            <w:gridSpan w:val="2"/>
            <w:tcBorders>
              <w:top w:sz="3.5999999046325684" w:val="single" w:color="#A37BA7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2" w:lineRule="exact" w:before="42" w:after="0"/>
              <w:ind w:left="4" w:right="0" w:firstLine="0"/>
              <w:jc w:val="left"/>
            </w:pPr>
            <w:r>
              <w:rPr>
                <w:rFonts w:ascii="Asap" w:hAnsi="Asap" w:eastAsia="Asap"/>
                <w:b/>
                <w:i w:val="0"/>
                <w:color w:val="6C146B"/>
                <w:sz w:val="16"/>
              </w:rPr>
              <w:t>ACKNOWLEDGMENTS</w:t>
            </w:r>
          </w:p>
        </w:tc>
        <w:tc>
          <w:tcPr>
            <w:tcW w:type="dxa" w:w="1064"/>
            <w:tcBorders>
              <w:top w:sz="3.5999999046325684" w:val="single" w:color="#A37BA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46" w:after="0"/>
              <w:ind w:left="124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437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40" w:after="0"/>
              <w:ind w:left="0" w:right="0" w:firstLine="0"/>
              <w:jc w:val="center"/>
            </w:pPr>
            <w:r>
              <w:rPr>
                <w:rFonts w:ascii="Asap" w:hAnsi="Asap" w:eastAsia="Asap"/>
                <w:b w:val="0"/>
                <w:i w:val="0"/>
                <w:color w:val="000000"/>
                <w:sz w:val="16"/>
              </w:rPr>
              <w:t xml:space="preserve">5.0B   ADDITIONAL SUPPORTING EVIDENCE </w:t>
            </w:r>
          </w:p>
        </w:tc>
        <w:tc>
          <w:tcPr>
            <w:tcW w:type="dxa" w:w="980"/>
            <w:tcBorders>
              <w:top w:sz="3.5999999046325684" w:val="single" w:color="#A37BA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36" w:after="0"/>
              <w:ind w:left="84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6"/>
              </w:rPr>
              <w:t>40</w:t>
            </w:r>
          </w:p>
        </w:tc>
      </w:tr>
      <w:tr>
        <w:trPr>
          <w:trHeight w:hRule="exact" w:val="220"/>
        </w:trPr>
        <w:tc>
          <w:tcPr>
            <w:tcW w:type="dxa" w:w="3984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2" w:lineRule="exact" w:before="38" w:after="0"/>
              <w:ind w:left="4" w:right="0" w:firstLine="0"/>
              <w:jc w:val="left"/>
            </w:pPr>
            <w:r>
              <w:rPr>
                <w:rFonts w:ascii="Asap" w:hAnsi="Asap" w:eastAsia="Asap"/>
                <w:b/>
                <w:i w:val="0"/>
                <w:color w:val="6C146B"/>
                <w:sz w:val="16"/>
              </w:rPr>
              <w:t xml:space="preserve">PUBLISHER’S NOTE </w:t>
            </w:r>
          </w:p>
        </w:tc>
        <w:tc>
          <w:tcPr>
            <w:tcW w:type="dxa" w:w="1064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40" w:after="0"/>
              <w:ind w:left="124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6"/>
              </w:rPr>
              <w:t>5</w:t>
            </w:r>
          </w:p>
        </w:tc>
        <w:tc>
          <w:tcPr>
            <w:tcW w:type="dxa" w:w="437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exact" w:before="16" w:after="0"/>
              <w:ind w:left="896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6"/>
              </w:rPr>
              <w:t xml:space="preserve">5.1B   CLINICAL PRACTICE GUIDELINES </w:t>
            </w:r>
          </w:p>
        </w:tc>
        <w:tc>
          <w:tcPr>
            <w:tcW w:type="dxa" w:w="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12" w:after="0"/>
              <w:ind w:left="84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6"/>
              </w:rPr>
              <w:t>40</w:t>
            </w:r>
          </w:p>
        </w:tc>
      </w:tr>
      <w:tr>
        <w:trPr>
          <w:trHeight w:hRule="exact" w:val="48"/>
        </w:trPr>
        <w:tc>
          <w:tcPr>
            <w:tcW w:type="dxa" w:w="3234"/>
            <w:gridSpan w:val="2"/>
            <w:vMerge/>
            <w:tcBorders/>
          </w:tcPr>
          <w:p/>
        </w:tc>
        <w:tc>
          <w:tcPr>
            <w:tcW w:type="dxa" w:w="1617"/>
            <w:vMerge/>
            <w:tcBorders/>
          </w:tcPr>
          <w:p/>
        </w:tc>
        <w:tc>
          <w:tcPr>
            <w:tcW w:type="dxa" w:w="4376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36" w:after="0"/>
              <w:ind w:left="896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6"/>
              </w:rPr>
              <w:t xml:space="preserve">5.2B   HTAS AND SYSTEMATIC REVIEWS </w:t>
            </w:r>
          </w:p>
        </w:tc>
        <w:tc>
          <w:tcPr>
            <w:tcW w:type="dxa" w:w="9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36" w:after="0"/>
              <w:ind w:left="84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6"/>
              </w:rPr>
              <w:t>40</w:t>
            </w:r>
          </w:p>
        </w:tc>
      </w:tr>
      <w:tr>
        <w:trPr>
          <w:trHeight w:hRule="exact" w:val="212"/>
        </w:trPr>
        <w:tc>
          <w:tcPr>
            <w:tcW w:type="dxa" w:w="398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2" w:lineRule="exact" w:before="0" w:after="0"/>
              <w:ind w:left="4" w:right="0" w:firstLine="0"/>
              <w:jc w:val="left"/>
            </w:pPr>
            <w:r>
              <w:rPr>
                <w:rFonts w:ascii="Asap" w:hAnsi="Asap" w:eastAsia="Asap"/>
                <w:b/>
                <w:i w:val="0"/>
                <w:color w:val="6C146B"/>
                <w:sz w:val="16"/>
              </w:rPr>
              <w:t xml:space="preserve">PREFACE </w:t>
            </w:r>
          </w:p>
        </w:tc>
        <w:tc>
          <w:tcPr>
            <w:tcW w:type="dxa" w:w="10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6" w:after="0"/>
              <w:ind w:left="124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6"/>
              </w:rPr>
              <w:t>5</w:t>
            </w:r>
          </w:p>
        </w:tc>
        <w:tc>
          <w:tcPr>
            <w:tcW w:type="dxa" w:w="3234"/>
            <w:gridSpan w:val="2"/>
            <w:vMerge/>
            <w:tcBorders/>
          </w:tcPr>
          <w:p/>
        </w:tc>
        <w:tc>
          <w:tcPr>
            <w:tcW w:type="dxa" w:w="1617"/>
            <w:vMerge/>
            <w:tcBorders/>
          </w:tcPr>
          <w:p/>
        </w:tc>
      </w:tr>
      <w:tr>
        <w:trPr>
          <w:trHeight w:hRule="exact" w:val="240"/>
        </w:trPr>
        <w:tc>
          <w:tcPr>
            <w:tcW w:type="dxa" w:w="3984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2" w:lineRule="exact" w:before="54" w:after="0"/>
              <w:ind w:left="4" w:right="0" w:firstLine="0"/>
              <w:jc w:val="left"/>
            </w:pPr>
            <w:r>
              <w:rPr>
                <w:rFonts w:ascii="Asap" w:hAnsi="Asap" w:eastAsia="Asap"/>
                <w:b/>
                <w:i w:val="0"/>
                <w:color w:val="6C146B"/>
                <w:sz w:val="16"/>
              </w:rPr>
              <w:t xml:space="preserve">ROLE OF THE AMCP FORMAT </w:t>
            </w:r>
          </w:p>
        </w:tc>
        <w:tc>
          <w:tcPr>
            <w:tcW w:type="dxa" w:w="1064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56" w:after="0"/>
              <w:ind w:left="124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6"/>
              </w:rPr>
              <w:t>6</w:t>
            </w:r>
          </w:p>
        </w:tc>
        <w:tc>
          <w:tcPr>
            <w:tcW w:type="dxa" w:w="437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exact" w:before="14" w:after="0"/>
              <w:ind w:left="896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6"/>
              </w:rPr>
              <w:t xml:space="preserve">5.3B   COMPENDIA </w:t>
            </w:r>
          </w:p>
        </w:tc>
        <w:tc>
          <w:tcPr>
            <w:tcW w:type="dxa" w:w="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12" w:after="0"/>
              <w:ind w:left="84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6"/>
              </w:rPr>
              <w:t>40</w:t>
            </w:r>
          </w:p>
        </w:tc>
      </w:tr>
      <w:tr>
        <w:trPr>
          <w:trHeight w:hRule="exact" w:val="43"/>
        </w:trPr>
        <w:tc>
          <w:tcPr>
            <w:tcW w:type="dxa" w:w="3234"/>
            <w:gridSpan w:val="2"/>
            <w:vMerge/>
            <w:tcBorders/>
          </w:tcPr>
          <w:p/>
        </w:tc>
        <w:tc>
          <w:tcPr>
            <w:tcW w:type="dxa" w:w="1617"/>
            <w:vMerge/>
            <w:tcBorders/>
          </w:tcPr>
          <w:p/>
        </w:tc>
        <w:tc>
          <w:tcPr>
            <w:tcW w:type="dxa" w:w="4376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10" w:after="0"/>
              <w:ind w:left="896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6"/>
              </w:rPr>
              <w:t xml:space="preserve">5.4B   OTHER ECONOMIC OR </w:t>
            </w:r>
          </w:p>
        </w:tc>
        <w:tc>
          <w:tcPr>
            <w:tcW w:type="dxa" w:w="9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212" w:after="0"/>
              <w:ind w:left="84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6"/>
              </w:rPr>
              <w:t>41</w:t>
            </w:r>
          </w:p>
        </w:tc>
      </w:tr>
      <w:tr>
        <w:trPr>
          <w:trHeight w:hRule="exact" w:val="175"/>
        </w:trPr>
        <w:tc>
          <w:tcPr>
            <w:tcW w:type="dxa" w:w="3984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2" w:lineRule="exact" w:before="6" w:after="0"/>
              <w:ind w:left="4" w:right="0" w:firstLine="0"/>
              <w:jc w:val="left"/>
            </w:pPr>
            <w:r>
              <w:rPr>
                <w:rFonts w:ascii="Asap" w:hAnsi="Asap" w:eastAsia="Asap"/>
                <w:b/>
                <w:i w:val="0"/>
                <w:color w:val="6C146B"/>
                <w:sz w:val="16"/>
              </w:rPr>
              <w:t xml:space="preserve">GENERAL DEFINITIONS AND CONSIDERATIONS </w:t>
            </w:r>
          </w:p>
        </w:tc>
        <w:tc>
          <w:tcPr>
            <w:tcW w:type="dxa" w:w="1064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12" w:after="0"/>
              <w:ind w:left="124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6"/>
              </w:rPr>
              <w:t>7</w:t>
            </w:r>
          </w:p>
        </w:tc>
        <w:tc>
          <w:tcPr>
            <w:tcW w:type="dxa" w:w="3234"/>
            <w:gridSpan w:val="2"/>
            <w:vMerge/>
            <w:tcBorders/>
          </w:tcPr>
          <w:p/>
        </w:tc>
        <w:tc>
          <w:tcPr>
            <w:tcW w:type="dxa" w:w="1617"/>
            <w:vMerge/>
            <w:tcBorders/>
          </w:tcPr>
          <w:p/>
        </w:tc>
      </w:tr>
      <w:tr>
        <w:trPr>
          <w:trHeight w:hRule="exact" w:val="42"/>
        </w:trPr>
        <w:tc>
          <w:tcPr>
            <w:tcW w:type="dxa" w:w="3234"/>
            <w:gridSpan w:val="2"/>
            <w:vMerge/>
            <w:tcBorders/>
          </w:tcPr>
          <w:p/>
        </w:tc>
        <w:tc>
          <w:tcPr>
            <w:tcW w:type="dxa" w:w="1617"/>
            <w:vMerge/>
            <w:tcBorders/>
          </w:tcPr>
          <w:p/>
        </w:tc>
        <w:tc>
          <w:tcPr>
            <w:tcW w:type="dxa" w:w="4376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exact" w:before="0" w:after="0"/>
              <w:ind w:left="0" w:right="1422" w:firstLine="0"/>
              <w:jc w:val="righ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6"/>
              </w:rPr>
              <w:t xml:space="preserve">OUTCOMES EVIDENCE </w:t>
            </w:r>
          </w:p>
        </w:tc>
        <w:tc>
          <w:tcPr>
            <w:tcW w:type="dxa" w:w="1617"/>
            <w:vMerge/>
            <w:tcBorders/>
          </w:tcPr>
          <w:p/>
        </w:tc>
      </w:tr>
      <w:tr>
        <w:trPr>
          <w:trHeight w:hRule="exact" w:val="160"/>
        </w:trPr>
        <w:tc>
          <w:tcPr>
            <w:tcW w:type="dxa" w:w="3984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2" w:lineRule="exact" w:before="50" w:after="0"/>
              <w:ind w:left="4" w:right="0" w:firstLine="0"/>
              <w:jc w:val="left"/>
            </w:pPr>
            <w:r>
              <w:rPr>
                <w:rFonts w:ascii="Asap" w:hAnsi="Asap" w:eastAsia="Asap"/>
                <w:b/>
                <w:i w:val="0"/>
                <w:color w:val="6C146B"/>
                <w:sz w:val="16"/>
              </w:rPr>
              <w:t xml:space="preserve">SPECIAL CONTENT CONSIDERATIONS </w:t>
            </w:r>
          </w:p>
        </w:tc>
        <w:tc>
          <w:tcPr>
            <w:tcW w:type="dxa" w:w="1064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52" w:after="0"/>
              <w:ind w:left="124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6"/>
              </w:rPr>
              <w:t>14</w:t>
            </w:r>
          </w:p>
        </w:tc>
        <w:tc>
          <w:tcPr>
            <w:tcW w:type="dxa" w:w="3234"/>
            <w:gridSpan w:val="2"/>
            <w:vMerge/>
            <w:tcBorders/>
          </w:tcPr>
          <w:p/>
        </w:tc>
        <w:tc>
          <w:tcPr>
            <w:tcW w:type="dxa" w:w="1617"/>
            <w:vMerge/>
            <w:tcBorders/>
          </w:tcPr>
          <w:p/>
        </w:tc>
      </w:tr>
      <w:tr>
        <w:trPr>
          <w:trHeight w:hRule="exact" w:val="118"/>
        </w:trPr>
        <w:tc>
          <w:tcPr>
            <w:tcW w:type="dxa" w:w="3234"/>
            <w:gridSpan w:val="2"/>
            <w:vMerge/>
            <w:tcBorders/>
          </w:tcPr>
          <w:p/>
        </w:tc>
        <w:tc>
          <w:tcPr>
            <w:tcW w:type="dxa" w:w="1617"/>
            <w:vMerge/>
            <w:tcBorders/>
          </w:tcPr>
          <w:p/>
        </w:tc>
        <w:tc>
          <w:tcPr>
            <w:tcW w:type="dxa" w:w="4376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34" w:after="0"/>
              <w:ind w:left="896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6"/>
              </w:rPr>
              <w:t xml:space="preserve">5.5B   EFFECT ON EQUITY </w:t>
            </w:r>
          </w:p>
        </w:tc>
        <w:tc>
          <w:tcPr>
            <w:tcW w:type="dxa" w:w="9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34" w:after="0"/>
              <w:ind w:left="84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6"/>
              </w:rPr>
              <w:t>41</w:t>
            </w:r>
          </w:p>
        </w:tc>
      </w:tr>
      <w:tr>
        <w:trPr>
          <w:trHeight w:hRule="exact" w:val="122"/>
        </w:trPr>
        <w:tc>
          <w:tcPr>
            <w:tcW w:type="dxa" w:w="3984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2" w:lineRule="exact" w:before="14" w:after="0"/>
              <w:ind w:left="4" w:right="0" w:firstLine="0"/>
              <w:jc w:val="left"/>
            </w:pPr>
            <w:r>
              <w:rPr>
                <w:rFonts w:ascii="Asap" w:hAnsi="Asap" w:eastAsia="Asap"/>
                <w:b/>
                <w:i w:val="0"/>
                <w:color w:val="6C146B"/>
                <w:sz w:val="16"/>
              </w:rPr>
              <w:t xml:space="preserve">EVIDENCE RECOMMENDATIONS FOR </w:t>
            </w:r>
          </w:p>
        </w:tc>
        <w:tc>
          <w:tcPr>
            <w:tcW w:type="dxa" w:w="1617"/>
            <w:vMerge/>
            <w:tcBorders/>
          </w:tcPr>
          <w:p/>
        </w:tc>
        <w:tc>
          <w:tcPr>
            <w:tcW w:type="dxa" w:w="3234"/>
            <w:gridSpan w:val="2"/>
            <w:vMerge/>
            <w:tcBorders/>
          </w:tcPr>
          <w:p/>
        </w:tc>
        <w:tc>
          <w:tcPr>
            <w:tcW w:type="dxa" w:w="1617"/>
            <w:vMerge/>
            <w:tcBorders/>
          </w:tcPr>
          <w:p/>
        </w:tc>
      </w:tr>
      <w:tr>
        <w:trPr>
          <w:trHeight w:hRule="exact" w:val="104"/>
        </w:trPr>
        <w:tc>
          <w:tcPr>
            <w:tcW w:type="dxa" w:w="3234"/>
            <w:gridSpan w:val="2"/>
            <w:vMerge/>
            <w:tcBorders/>
          </w:tcPr>
          <w:p/>
        </w:tc>
        <w:tc>
          <w:tcPr>
            <w:tcW w:type="dxa" w:w="1064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102" w:after="0"/>
              <w:ind w:left="124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6"/>
              </w:rPr>
              <w:t>19</w:t>
            </w:r>
          </w:p>
        </w:tc>
        <w:tc>
          <w:tcPr>
            <w:tcW w:type="dxa" w:w="4376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exact" w:before="34" w:after="0"/>
              <w:ind w:left="896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6"/>
              </w:rPr>
              <w:t xml:space="preserve">5.6B   EFFECT ON QUALITY MEASURES </w:t>
            </w:r>
          </w:p>
        </w:tc>
        <w:tc>
          <w:tcPr>
            <w:tcW w:type="dxa" w:w="9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32" w:after="0"/>
              <w:ind w:left="84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6"/>
              </w:rPr>
              <w:t>41</w:t>
            </w:r>
          </w:p>
        </w:tc>
      </w:tr>
      <w:tr>
        <w:trPr>
          <w:trHeight w:hRule="exact" w:val="176"/>
        </w:trPr>
        <w:tc>
          <w:tcPr>
            <w:tcW w:type="dxa" w:w="3984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2" w:lineRule="exact" w:before="0" w:after="0"/>
              <w:ind w:left="4" w:right="0" w:firstLine="0"/>
              <w:jc w:val="left"/>
            </w:pPr>
            <w:r>
              <w:rPr>
                <w:rFonts w:ascii="Asap" w:hAnsi="Asap" w:eastAsia="Asap"/>
                <w:b/>
                <w:i w:val="0"/>
                <w:color w:val="6C146B"/>
                <w:sz w:val="16"/>
              </w:rPr>
              <w:t xml:space="preserve">UNAPPROVED PRODUCT DOSSIERS </w:t>
            </w:r>
          </w:p>
        </w:tc>
        <w:tc>
          <w:tcPr>
            <w:tcW w:type="dxa" w:w="1617"/>
            <w:vMerge/>
            <w:tcBorders/>
          </w:tcPr>
          <w:p/>
        </w:tc>
        <w:tc>
          <w:tcPr>
            <w:tcW w:type="dxa" w:w="3234"/>
            <w:gridSpan w:val="2"/>
            <w:vMerge/>
            <w:tcBorders/>
          </w:tcPr>
          <w:p/>
        </w:tc>
        <w:tc>
          <w:tcPr>
            <w:tcW w:type="dxa" w:w="1617"/>
            <w:vMerge/>
            <w:tcBorders/>
          </w:tcPr>
          <w:p/>
        </w:tc>
      </w:tr>
      <w:tr>
        <w:trPr>
          <w:trHeight w:hRule="exact" w:val="50"/>
        </w:trPr>
        <w:tc>
          <w:tcPr>
            <w:tcW w:type="dxa" w:w="3234"/>
            <w:gridSpan w:val="2"/>
            <w:vMerge/>
            <w:tcBorders/>
          </w:tcPr>
          <w:p/>
        </w:tc>
        <w:tc>
          <w:tcPr>
            <w:tcW w:type="dxa" w:w="1617"/>
            <w:vMerge/>
            <w:tcBorders/>
          </w:tcPr>
          <w:p/>
        </w:tc>
        <w:tc>
          <w:tcPr>
            <w:tcW w:type="dxa" w:w="4376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0" w:after="0"/>
              <w:ind w:left="896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6"/>
              </w:rPr>
              <w:t xml:space="preserve">5.7B   OTHER EVIDENCE OR INFORMATION </w:t>
            </w:r>
          </w:p>
        </w:tc>
        <w:tc>
          <w:tcPr>
            <w:tcW w:type="dxa" w:w="9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0" w:after="0"/>
              <w:ind w:left="84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6"/>
              </w:rPr>
              <w:t>41</w:t>
            </w:r>
          </w:p>
        </w:tc>
      </w:tr>
      <w:tr>
        <w:trPr>
          <w:trHeight w:hRule="exact" w:val="150"/>
        </w:trPr>
        <w:tc>
          <w:tcPr>
            <w:tcW w:type="dxa" w:w="3984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20" w:after="0"/>
              <w:ind w:left="274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6"/>
              </w:rPr>
              <w:t xml:space="preserve">1.0A   HIGHLIGHTS AND OVERVIEW </w:t>
            </w:r>
          </w:p>
        </w:tc>
        <w:tc>
          <w:tcPr>
            <w:tcW w:type="dxa" w:w="1064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20" w:after="0"/>
              <w:ind w:left="124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6"/>
              </w:rPr>
              <w:t>19</w:t>
            </w:r>
          </w:p>
        </w:tc>
        <w:tc>
          <w:tcPr>
            <w:tcW w:type="dxa" w:w="3234"/>
            <w:gridSpan w:val="2"/>
            <w:vMerge/>
            <w:tcBorders/>
          </w:tcPr>
          <w:p/>
        </w:tc>
        <w:tc>
          <w:tcPr>
            <w:tcW w:type="dxa" w:w="1617"/>
            <w:vMerge/>
            <w:tcBorders/>
          </w:tcPr>
          <w:p/>
        </w:tc>
      </w:tr>
      <w:tr>
        <w:trPr>
          <w:trHeight w:hRule="exact" w:val="88"/>
        </w:trPr>
        <w:tc>
          <w:tcPr>
            <w:tcW w:type="dxa" w:w="3234"/>
            <w:gridSpan w:val="2"/>
            <w:vMerge/>
            <w:tcBorders/>
          </w:tcPr>
          <w:p/>
        </w:tc>
        <w:tc>
          <w:tcPr>
            <w:tcW w:type="dxa" w:w="1617"/>
            <w:vMerge/>
            <w:tcBorders/>
          </w:tcPr>
          <w:p/>
        </w:tc>
        <w:tc>
          <w:tcPr>
            <w:tcW w:type="dxa" w:w="4376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exact" w:before="16" w:after="0"/>
              <w:ind w:left="626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6"/>
              </w:rPr>
              <w:t xml:space="preserve">6.0B   DOSSIER APPENDICES </w:t>
            </w:r>
          </w:p>
        </w:tc>
        <w:tc>
          <w:tcPr>
            <w:tcW w:type="dxa" w:w="9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12" w:after="0"/>
              <w:ind w:left="84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6"/>
              </w:rPr>
              <w:t>41</w:t>
            </w:r>
          </w:p>
        </w:tc>
      </w:tr>
      <w:tr>
        <w:trPr>
          <w:trHeight w:hRule="exact" w:val="132"/>
        </w:trPr>
        <w:tc>
          <w:tcPr>
            <w:tcW w:type="dxa" w:w="3984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12" w:after="0"/>
              <w:ind w:left="274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6"/>
              </w:rPr>
              <w:t xml:space="preserve">2.0A   PRODUCT INFORMATION AND </w:t>
            </w:r>
          </w:p>
        </w:tc>
        <w:tc>
          <w:tcPr>
            <w:tcW w:type="dxa" w:w="1617"/>
            <w:vMerge/>
            <w:tcBorders/>
          </w:tcPr>
          <w:p/>
        </w:tc>
        <w:tc>
          <w:tcPr>
            <w:tcW w:type="dxa" w:w="3234"/>
            <w:gridSpan w:val="2"/>
            <w:vMerge/>
            <w:tcBorders/>
          </w:tcPr>
          <w:p/>
        </w:tc>
        <w:tc>
          <w:tcPr>
            <w:tcW w:type="dxa" w:w="1617"/>
            <w:vMerge/>
            <w:tcBorders/>
          </w:tcPr>
          <w:p/>
        </w:tc>
      </w:tr>
      <w:tr>
        <w:trPr>
          <w:trHeight w:hRule="exact" w:val="86"/>
        </w:trPr>
        <w:tc>
          <w:tcPr>
            <w:tcW w:type="dxa" w:w="3234"/>
            <w:gridSpan w:val="2"/>
            <w:vMerge/>
            <w:tcBorders/>
          </w:tcPr>
          <w:p/>
        </w:tc>
        <w:tc>
          <w:tcPr>
            <w:tcW w:type="dxa" w:w="1064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72" w:after="0"/>
              <w:ind w:left="124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6"/>
              </w:rPr>
              <w:t>21</w:t>
            </w:r>
          </w:p>
        </w:tc>
        <w:tc>
          <w:tcPr>
            <w:tcW w:type="dxa" w:w="4376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44" w:after="0"/>
              <w:ind w:left="896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6"/>
              </w:rPr>
              <w:t xml:space="preserve">6.1B   REFERENCES CONTAINED IN DOSSIERS </w:t>
            </w:r>
          </w:p>
        </w:tc>
        <w:tc>
          <w:tcPr>
            <w:tcW w:type="dxa" w:w="9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44" w:after="0"/>
              <w:ind w:left="84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6"/>
              </w:rPr>
              <w:t>41</w:t>
            </w:r>
          </w:p>
        </w:tc>
      </w:tr>
      <w:tr>
        <w:trPr>
          <w:trHeight w:hRule="exact" w:val="194"/>
        </w:trPr>
        <w:tc>
          <w:tcPr>
            <w:tcW w:type="dxa" w:w="398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0" w:after="0"/>
              <w:ind w:left="690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6"/>
              </w:rPr>
              <w:t xml:space="preserve">DISEASE DESCRIPTION </w:t>
            </w:r>
          </w:p>
        </w:tc>
        <w:tc>
          <w:tcPr>
            <w:tcW w:type="dxa" w:w="1617"/>
            <w:vMerge/>
            <w:tcBorders/>
          </w:tcPr>
          <w:p/>
        </w:tc>
        <w:tc>
          <w:tcPr>
            <w:tcW w:type="dxa" w:w="3234"/>
            <w:gridSpan w:val="2"/>
            <w:vMerge/>
            <w:tcBorders/>
          </w:tcPr>
          <w:p/>
        </w:tc>
        <w:tc>
          <w:tcPr>
            <w:tcW w:type="dxa" w:w="1617"/>
            <w:vMerge/>
            <w:tcBorders/>
          </w:tcPr>
          <w:p/>
        </w:tc>
      </w:tr>
      <w:tr>
        <w:trPr>
          <w:trHeight w:hRule="exact" w:val="247"/>
        </w:trPr>
        <w:tc>
          <w:tcPr>
            <w:tcW w:type="dxa" w:w="398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36" w:after="0"/>
              <w:ind w:left="544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6"/>
              </w:rPr>
              <w:t xml:space="preserve">2.1A   PRODUCT INFORMATION </w:t>
            </w:r>
          </w:p>
        </w:tc>
        <w:tc>
          <w:tcPr>
            <w:tcW w:type="dxa" w:w="10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36" w:after="0"/>
              <w:ind w:left="124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6"/>
              </w:rPr>
              <w:t>21</w:t>
            </w:r>
          </w:p>
        </w:tc>
        <w:tc>
          <w:tcPr>
            <w:tcW w:type="dxa" w:w="437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exact" w:before="2" w:after="0"/>
              <w:ind w:left="896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6"/>
              </w:rPr>
              <w:t xml:space="preserve">6.2B   ECONOMIC MODELS </w:t>
            </w:r>
          </w:p>
        </w:tc>
        <w:tc>
          <w:tcPr>
            <w:tcW w:type="dxa" w:w="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2" w:after="0"/>
              <w:ind w:left="84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6"/>
              </w:rPr>
              <w:t>41</w:t>
            </w:r>
          </w:p>
        </w:tc>
      </w:tr>
      <w:tr>
        <w:trPr>
          <w:trHeight w:hRule="exact" w:val="213"/>
        </w:trPr>
        <w:tc>
          <w:tcPr>
            <w:tcW w:type="dxa" w:w="398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6" w:after="0"/>
              <w:ind w:left="544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6"/>
              </w:rPr>
              <w:t xml:space="preserve">2.2A   DISEASE DESCRIPTION </w:t>
            </w:r>
          </w:p>
        </w:tc>
        <w:tc>
          <w:tcPr>
            <w:tcW w:type="dxa" w:w="10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6" w:after="0"/>
              <w:ind w:left="124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6"/>
              </w:rPr>
              <w:t>22</w:t>
            </w:r>
          </w:p>
        </w:tc>
        <w:tc>
          <w:tcPr>
            <w:tcW w:type="dxa" w:w="437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0" w:after="0"/>
              <w:ind w:left="896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6"/>
              </w:rPr>
              <w:t xml:space="preserve">6.3C   PRODUCT PRESCRIBING INFORMATION </w:t>
            </w:r>
          </w:p>
        </w:tc>
        <w:tc>
          <w:tcPr>
            <w:tcW w:type="dxa" w:w="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0" w:after="0"/>
              <w:ind w:left="84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6"/>
              </w:rPr>
              <w:t>41</w:t>
            </w:r>
          </w:p>
        </w:tc>
      </w:tr>
      <w:tr>
        <w:trPr>
          <w:trHeight w:hRule="exact" w:val="248"/>
        </w:trPr>
        <w:tc>
          <w:tcPr>
            <w:tcW w:type="dxa" w:w="398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exact" w:before="40" w:after="0"/>
              <w:ind w:left="274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6"/>
              </w:rPr>
              <w:t xml:space="preserve">3.0A   CLINICAL EVIDENCE </w:t>
            </w:r>
          </w:p>
        </w:tc>
        <w:tc>
          <w:tcPr>
            <w:tcW w:type="dxa" w:w="10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40" w:after="0"/>
              <w:ind w:left="124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6"/>
              </w:rPr>
              <w:t>22</w:t>
            </w:r>
          </w:p>
        </w:tc>
        <w:tc>
          <w:tcPr>
            <w:tcW w:type="dxa" w:w="437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16" w:after="0"/>
              <w:ind w:left="896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6"/>
              </w:rPr>
              <w:t xml:space="preserve">6.4C   PATIENT INFORMATION </w:t>
            </w:r>
          </w:p>
        </w:tc>
        <w:tc>
          <w:tcPr>
            <w:tcW w:type="dxa" w:w="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16" w:after="0"/>
              <w:ind w:left="84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6"/>
              </w:rPr>
              <w:t>41</w:t>
            </w:r>
          </w:p>
        </w:tc>
      </w:tr>
      <w:tr>
        <w:trPr>
          <w:trHeight w:hRule="exact" w:val="191"/>
        </w:trPr>
        <w:tc>
          <w:tcPr>
            <w:tcW w:type="dxa" w:w="3984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exact" w:before="24" w:after="0"/>
              <w:ind w:left="544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6"/>
              </w:rPr>
              <w:t xml:space="preserve">3.1A   STUDY SUMMARIES </w:t>
            </w:r>
          </w:p>
        </w:tc>
        <w:tc>
          <w:tcPr>
            <w:tcW w:type="dxa" w:w="1064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22" w:after="0"/>
              <w:ind w:left="124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6"/>
              </w:rPr>
              <w:t>23</w:t>
            </w:r>
          </w:p>
        </w:tc>
        <w:tc>
          <w:tcPr>
            <w:tcW w:type="dxa" w:w="437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exact" w:before="0" w:after="0"/>
              <w:ind w:left="0" w:right="0" w:firstLine="0"/>
              <w:jc w:val="center"/>
            </w:pPr>
            <w:r>
              <w:rPr>
                <w:rFonts w:ascii="Asap" w:hAnsi="Asap" w:eastAsia="Asap"/>
                <w:b w:val="0"/>
                <w:i w:val="0"/>
                <w:color w:val="000000"/>
                <w:sz w:val="16"/>
              </w:rPr>
              <w:t xml:space="preserve">6.5B   MATERIAL SAFETY DATA SHEET </w:t>
            </w:r>
          </w:p>
        </w:tc>
        <w:tc>
          <w:tcPr>
            <w:tcW w:type="dxa" w:w="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0" w:after="0"/>
              <w:ind w:left="84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6"/>
              </w:rPr>
              <w:t>41</w:t>
            </w:r>
          </w:p>
        </w:tc>
      </w:tr>
      <w:tr>
        <w:trPr>
          <w:trHeight w:hRule="exact" w:val="50"/>
        </w:trPr>
        <w:tc>
          <w:tcPr>
            <w:tcW w:type="dxa" w:w="3234"/>
            <w:gridSpan w:val="2"/>
            <w:vMerge/>
            <w:tcBorders/>
          </w:tcPr>
          <w:p/>
        </w:tc>
        <w:tc>
          <w:tcPr>
            <w:tcW w:type="dxa" w:w="1617"/>
            <w:vMerge/>
            <w:tcBorders/>
          </w:tcPr>
          <w:p/>
        </w:tc>
        <w:tc>
          <w:tcPr>
            <w:tcW w:type="dxa" w:w="4376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50" w:after="0"/>
              <w:ind w:left="896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6"/>
              </w:rPr>
              <w:t xml:space="preserve">6.6B   APPENDICES SPECIFIC TO DTx PRODUCTS </w:t>
            </w:r>
          </w:p>
        </w:tc>
        <w:tc>
          <w:tcPr>
            <w:tcW w:type="dxa" w:w="9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50" w:after="0"/>
              <w:ind w:left="84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6"/>
              </w:rPr>
              <w:t>41</w:t>
            </w:r>
          </w:p>
        </w:tc>
      </w:tr>
      <w:tr>
        <w:trPr>
          <w:trHeight w:hRule="exact" w:val="210"/>
        </w:trPr>
        <w:tc>
          <w:tcPr>
            <w:tcW w:type="dxa" w:w="398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exact" w:before="6" w:after="0"/>
              <w:ind w:left="544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6"/>
              </w:rPr>
              <w:t xml:space="preserve">3.2A   EVIDENCE TABLES </w:t>
            </w:r>
          </w:p>
        </w:tc>
        <w:tc>
          <w:tcPr>
            <w:tcW w:type="dxa" w:w="10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exact" w:before="6" w:after="0"/>
              <w:ind w:left="124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6"/>
              </w:rPr>
              <w:t>24</w:t>
            </w:r>
          </w:p>
        </w:tc>
        <w:tc>
          <w:tcPr>
            <w:tcW w:type="dxa" w:w="3234"/>
            <w:gridSpan w:val="2"/>
            <w:vMerge/>
            <w:tcBorders/>
          </w:tcPr>
          <w:p/>
        </w:tc>
        <w:tc>
          <w:tcPr>
            <w:tcW w:type="dxa" w:w="1617"/>
            <w:vMerge/>
            <w:tcBorders/>
          </w:tcPr>
          <w:p/>
        </w:tc>
      </w:tr>
      <w:tr>
        <w:trPr>
          <w:trHeight w:hRule="exact" w:val="244"/>
        </w:trPr>
        <w:tc>
          <w:tcPr>
            <w:tcW w:type="dxa" w:w="398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34" w:after="0"/>
              <w:ind w:left="274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6"/>
              </w:rPr>
              <w:t xml:space="preserve">4.0A   ECONOMIC INFORMATION </w:t>
            </w:r>
          </w:p>
        </w:tc>
        <w:tc>
          <w:tcPr>
            <w:tcW w:type="dxa" w:w="1064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34" w:after="0"/>
              <w:ind w:left="124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6"/>
              </w:rPr>
              <w:t>24</w:t>
            </w:r>
          </w:p>
        </w:tc>
        <w:tc>
          <w:tcPr>
            <w:tcW w:type="dxa" w:w="437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2" w:lineRule="exact" w:before="24" w:after="0"/>
              <w:ind w:left="356" w:right="0" w:firstLine="0"/>
              <w:jc w:val="left"/>
            </w:pPr>
            <w:r>
              <w:rPr>
                <w:rFonts w:ascii="Asap" w:hAnsi="Asap" w:eastAsia="Asap"/>
                <w:b/>
                <w:i w:val="0"/>
                <w:color w:val="6C146B"/>
                <w:sz w:val="16"/>
              </w:rPr>
              <w:t xml:space="preserve">EVIDENCE RECOMMENDATIONS FOR </w:t>
            </w:r>
          </w:p>
        </w:tc>
        <w:tc>
          <w:tcPr>
            <w:tcW w:type="dxa" w:w="9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236" w:after="0"/>
              <w:ind w:left="84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6"/>
              </w:rPr>
              <w:t>42</w:t>
            </w:r>
          </w:p>
        </w:tc>
      </w:tr>
      <w:tr>
        <w:trPr>
          <w:trHeight w:hRule="exact" w:val="212"/>
        </w:trPr>
        <w:tc>
          <w:tcPr>
            <w:tcW w:type="dxa" w:w="398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6" w:after="0"/>
              <w:ind w:left="274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6"/>
              </w:rPr>
              <w:t xml:space="preserve">5.0A   ADDITIONAL SUPPORTING </w:t>
            </w:r>
          </w:p>
        </w:tc>
        <w:tc>
          <w:tcPr>
            <w:tcW w:type="dxa" w:w="1617"/>
            <w:vMerge/>
            <w:tcBorders/>
          </w:tcPr>
          <w:p/>
        </w:tc>
        <w:tc>
          <w:tcPr>
            <w:tcW w:type="dxa" w:w="437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2" w:lineRule="exact" w:before="0" w:after="0"/>
              <w:ind w:left="356" w:right="0" w:firstLine="0"/>
              <w:jc w:val="left"/>
            </w:pPr>
            <w:r>
              <w:rPr>
                <w:rFonts w:ascii="Asap" w:hAnsi="Asap" w:eastAsia="Asap"/>
                <w:b/>
                <w:i w:val="0"/>
                <w:color w:val="6C146B"/>
                <w:sz w:val="16"/>
              </w:rPr>
              <w:t xml:space="preserve">UNAPPROVED USE DOSSIERS </w:t>
            </w:r>
          </w:p>
        </w:tc>
        <w:tc>
          <w:tcPr>
            <w:tcW w:type="dxa" w:w="1617"/>
            <w:vMerge/>
            <w:tcBorders/>
          </w:tcPr>
          <w:p/>
        </w:tc>
      </w:tr>
      <w:tr>
        <w:trPr>
          <w:trHeight w:hRule="exact" w:val="224"/>
        </w:trPr>
        <w:tc>
          <w:tcPr>
            <w:tcW w:type="dxa" w:w="398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exact" w:before="14" w:after="0"/>
              <w:ind w:left="690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6"/>
              </w:rPr>
              <w:t xml:space="preserve">EVIDENCE </w:t>
            </w:r>
          </w:p>
        </w:tc>
        <w:tc>
          <w:tcPr>
            <w:tcW w:type="dxa" w:w="10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12" w:after="0"/>
              <w:ind w:left="124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6"/>
              </w:rPr>
              <w:t>24</w:t>
            </w:r>
          </w:p>
        </w:tc>
        <w:tc>
          <w:tcPr>
            <w:tcW w:type="dxa" w:w="105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18" w:after="0"/>
              <w:ind w:left="0" w:right="90" w:firstLine="0"/>
              <w:jc w:val="righ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6"/>
              </w:rPr>
              <w:t xml:space="preserve">1.0C </w:t>
            </w:r>
          </w:p>
        </w:tc>
        <w:tc>
          <w:tcPr>
            <w:tcW w:type="dxa" w:w="3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18" w:after="0"/>
              <w:ind w:left="120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6"/>
              </w:rPr>
              <w:t xml:space="preserve"> HIGHLIGHTS AND OVERVIEW </w:t>
            </w:r>
          </w:p>
        </w:tc>
        <w:tc>
          <w:tcPr>
            <w:tcW w:type="dxa" w:w="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16" w:after="0"/>
              <w:ind w:left="84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6"/>
              </w:rPr>
              <w:t>42</w:t>
            </w:r>
          </w:p>
        </w:tc>
      </w:tr>
      <w:tr>
        <w:trPr>
          <w:trHeight w:hRule="exact" w:val="246"/>
        </w:trPr>
        <w:tc>
          <w:tcPr>
            <w:tcW w:type="dxa" w:w="398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exact" w:before="22" w:after="0"/>
              <w:ind w:left="544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6"/>
              </w:rPr>
              <w:t xml:space="preserve">5.1A   CLINICAL PRACTICE GUIDELINES </w:t>
            </w:r>
          </w:p>
        </w:tc>
        <w:tc>
          <w:tcPr>
            <w:tcW w:type="dxa" w:w="10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20" w:after="0"/>
              <w:ind w:left="124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6"/>
              </w:rPr>
              <w:t>24</w:t>
            </w:r>
          </w:p>
        </w:tc>
        <w:tc>
          <w:tcPr>
            <w:tcW w:type="dxa" w:w="105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40" w:after="0"/>
              <w:ind w:left="0" w:right="90" w:firstLine="0"/>
              <w:jc w:val="righ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6"/>
              </w:rPr>
              <w:t xml:space="preserve">2.0C </w:t>
            </w:r>
          </w:p>
        </w:tc>
        <w:tc>
          <w:tcPr>
            <w:tcW w:type="dxa" w:w="3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40" w:after="0"/>
              <w:ind w:left="120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6"/>
              </w:rPr>
              <w:t xml:space="preserve">PRODUCT INFORMATION AND </w:t>
            </w:r>
          </w:p>
        </w:tc>
        <w:tc>
          <w:tcPr>
            <w:tcW w:type="dxa" w:w="9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234" w:after="0"/>
              <w:ind w:left="84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6"/>
              </w:rPr>
              <w:t>44</w:t>
            </w:r>
          </w:p>
        </w:tc>
      </w:tr>
      <w:tr>
        <w:trPr>
          <w:trHeight w:hRule="exact" w:val="194"/>
        </w:trPr>
        <w:tc>
          <w:tcPr>
            <w:tcW w:type="dxa" w:w="398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0" w:after="0"/>
              <w:ind w:left="544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6"/>
              </w:rPr>
              <w:t xml:space="preserve">5.2A   HTAs AND SYSTEMATIC REVIEWS </w:t>
            </w:r>
          </w:p>
        </w:tc>
        <w:tc>
          <w:tcPr>
            <w:tcW w:type="dxa" w:w="10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0" w:after="0"/>
              <w:ind w:left="124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6"/>
              </w:rPr>
              <w:t>25</w:t>
            </w:r>
          </w:p>
        </w:tc>
        <w:tc>
          <w:tcPr>
            <w:tcW w:type="dxa" w:w="437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0" w:after="0"/>
              <w:ind w:left="0" w:right="1558" w:firstLine="0"/>
              <w:jc w:val="righ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6"/>
              </w:rPr>
              <w:t xml:space="preserve">DISEASE DESCRIPTION </w:t>
            </w:r>
          </w:p>
        </w:tc>
        <w:tc>
          <w:tcPr>
            <w:tcW w:type="dxa" w:w="1617"/>
            <w:vMerge/>
            <w:tcBorders/>
          </w:tcPr>
          <w:p/>
        </w:tc>
      </w:tr>
      <w:tr>
        <w:trPr>
          <w:trHeight w:hRule="exact" w:val="257"/>
        </w:trPr>
        <w:tc>
          <w:tcPr>
            <w:tcW w:type="dxa" w:w="398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44" w:after="0"/>
              <w:ind w:left="544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6"/>
              </w:rPr>
              <w:t xml:space="preserve">5.3A   OTHER ECONOMIC OR </w:t>
            </w:r>
          </w:p>
        </w:tc>
        <w:tc>
          <w:tcPr>
            <w:tcW w:type="dxa" w:w="1064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246" w:after="0"/>
              <w:ind w:left="124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6"/>
              </w:rPr>
              <w:t>25</w:t>
            </w:r>
          </w:p>
        </w:tc>
        <w:tc>
          <w:tcPr>
            <w:tcW w:type="dxa" w:w="437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exact" w:before="52" w:after="0"/>
              <w:ind w:left="896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6"/>
              </w:rPr>
              <w:t xml:space="preserve">2.1C   PRODUCT INFORMATION </w:t>
            </w:r>
          </w:p>
        </w:tc>
        <w:tc>
          <w:tcPr>
            <w:tcW w:type="dxa" w:w="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50" w:after="0"/>
              <w:ind w:left="84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6"/>
              </w:rPr>
              <w:t>45</w:t>
            </w:r>
          </w:p>
        </w:tc>
      </w:tr>
      <w:tr>
        <w:trPr>
          <w:trHeight w:hRule="exact" w:val="203"/>
        </w:trPr>
        <w:tc>
          <w:tcPr>
            <w:tcW w:type="dxa" w:w="398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exact" w:before="0" w:after="0"/>
              <w:ind w:left="960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6"/>
              </w:rPr>
              <w:t xml:space="preserve">OUTCOMES EVIDENCE </w:t>
            </w:r>
          </w:p>
        </w:tc>
        <w:tc>
          <w:tcPr>
            <w:tcW w:type="dxa" w:w="1617"/>
            <w:vMerge/>
            <w:tcBorders/>
          </w:tcPr>
          <w:p/>
        </w:tc>
        <w:tc>
          <w:tcPr>
            <w:tcW w:type="dxa" w:w="4376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30" w:after="0"/>
              <w:ind w:left="896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6"/>
              </w:rPr>
              <w:t xml:space="preserve">2.2C   DISEASE DESCRIPTION </w:t>
            </w:r>
          </w:p>
        </w:tc>
        <w:tc>
          <w:tcPr>
            <w:tcW w:type="dxa" w:w="9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30" w:after="0"/>
              <w:ind w:left="84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6"/>
              </w:rPr>
              <w:t>45</w:t>
            </w:r>
          </w:p>
        </w:tc>
      </w:tr>
      <w:tr>
        <w:trPr>
          <w:trHeight w:hRule="exact" w:val="50"/>
        </w:trPr>
        <w:tc>
          <w:tcPr>
            <w:tcW w:type="dxa" w:w="3984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exact" w:before="20" w:after="0"/>
              <w:ind w:left="544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6"/>
              </w:rPr>
              <w:t xml:space="preserve">5.4A   EFFECT ON EQUITY` </w:t>
            </w:r>
          </w:p>
        </w:tc>
        <w:tc>
          <w:tcPr>
            <w:tcW w:type="dxa" w:w="1064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18" w:after="0"/>
              <w:ind w:left="124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6"/>
              </w:rPr>
              <w:t>25</w:t>
            </w:r>
          </w:p>
        </w:tc>
        <w:tc>
          <w:tcPr>
            <w:tcW w:type="dxa" w:w="3234"/>
            <w:gridSpan w:val="2"/>
            <w:vMerge/>
            <w:tcBorders/>
          </w:tcPr>
          <w:p/>
        </w:tc>
        <w:tc>
          <w:tcPr>
            <w:tcW w:type="dxa" w:w="1617"/>
            <w:vMerge/>
            <w:tcBorders/>
          </w:tcPr>
          <w:p/>
        </w:tc>
      </w:tr>
      <w:tr>
        <w:trPr>
          <w:trHeight w:hRule="exact" w:val="210"/>
        </w:trPr>
        <w:tc>
          <w:tcPr>
            <w:tcW w:type="dxa" w:w="3234"/>
            <w:gridSpan w:val="2"/>
            <w:vMerge/>
            <w:tcBorders/>
          </w:tcPr>
          <w:p/>
        </w:tc>
        <w:tc>
          <w:tcPr>
            <w:tcW w:type="dxa" w:w="1617"/>
            <w:vMerge/>
            <w:tcBorders/>
          </w:tcPr>
          <w:p/>
        </w:tc>
        <w:tc>
          <w:tcPr>
            <w:tcW w:type="dxa" w:w="437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exact" w:before="6" w:after="0"/>
              <w:ind w:left="626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6"/>
              </w:rPr>
              <w:t xml:space="preserve">3.0C   CLINICAL EVIDENCE </w:t>
            </w:r>
          </w:p>
        </w:tc>
        <w:tc>
          <w:tcPr>
            <w:tcW w:type="dxa" w:w="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4" w:after="0"/>
              <w:ind w:left="84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6"/>
              </w:rPr>
              <w:t>46</w:t>
            </w:r>
          </w:p>
        </w:tc>
      </w:tr>
      <w:tr>
        <w:trPr>
          <w:trHeight w:hRule="exact" w:val="220"/>
        </w:trPr>
        <w:tc>
          <w:tcPr>
            <w:tcW w:type="dxa" w:w="398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0" w:after="0"/>
              <w:ind w:left="544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6"/>
              </w:rPr>
              <w:t xml:space="preserve">5.5A   EFFECT ON QUALITY MEASURES </w:t>
            </w:r>
          </w:p>
        </w:tc>
        <w:tc>
          <w:tcPr>
            <w:tcW w:type="dxa" w:w="10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0" w:after="0"/>
              <w:ind w:left="124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6"/>
              </w:rPr>
              <w:t>25</w:t>
            </w:r>
          </w:p>
        </w:tc>
        <w:tc>
          <w:tcPr>
            <w:tcW w:type="dxa" w:w="4376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42" w:after="0"/>
              <w:ind w:left="896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6"/>
              </w:rPr>
              <w:t xml:space="preserve">3.1C   STUDY SUMMARIES </w:t>
            </w:r>
          </w:p>
        </w:tc>
        <w:tc>
          <w:tcPr>
            <w:tcW w:type="dxa" w:w="9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42" w:after="0"/>
              <w:ind w:left="84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6"/>
              </w:rPr>
              <w:t>47</w:t>
            </w:r>
          </w:p>
        </w:tc>
      </w:tr>
      <w:tr>
        <w:trPr>
          <w:trHeight w:hRule="exact" w:val="44"/>
        </w:trPr>
        <w:tc>
          <w:tcPr>
            <w:tcW w:type="dxa" w:w="3984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2" w:after="0"/>
              <w:ind w:left="544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6"/>
              </w:rPr>
              <w:t xml:space="preserve">5.6A   OTHER EVIDENCE OR INFORMATION </w:t>
            </w:r>
          </w:p>
        </w:tc>
        <w:tc>
          <w:tcPr>
            <w:tcW w:type="dxa" w:w="1064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2" w:after="0"/>
              <w:ind w:left="124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6"/>
              </w:rPr>
              <w:t>25</w:t>
            </w:r>
          </w:p>
        </w:tc>
        <w:tc>
          <w:tcPr>
            <w:tcW w:type="dxa" w:w="3234"/>
            <w:gridSpan w:val="2"/>
            <w:vMerge/>
            <w:tcBorders/>
          </w:tcPr>
          <w:p/>
        </w:tc>
        <w:tc>
          <w:tcPr>
            <w:tcW w:type="dxa" w:w="1617"/>
            <w:vMerge/>
            <w:tcBorders/>
          </w:tcPr>
          <w:p/>
        </w:tc>
      </w:tr>
      <w:tr>
        <w:trPr>
          <w:trHeight w:hRule="exact" w:val="196"/>
        </w:trPr>
        <w:tc>
          <w:tcPr>
            <w:tcW w:type="dxa" w:w="3234"/>
            <w:gridSpan w:val="2"/>
            <w:vMerge/>
            <w:tcBorders/>
          </w:tcPr>
          <w:p/>
        </w:tc>
        <w:tc>
          <w:tcPr>
            <w:tcW w:type="dxa" w:w="1617"/>
            <w:vMerge/>
            <w:tcBorders/>
          </w:tcPr>
          <w:p/>
        </w:tc>
        <w:tc>
          <w:tcPr>
            <w:tcW w:type="dxa" w:w="4376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16" w:after="0"/>
              <w:ind w:left="896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6"/>
              </w:rPr>
              <w:t xml:space="preserve">3.2C   EVIDENCE TABLES </w:t>
            </w:r>
          </w:p>
        </w:tc>
        <w:tc>
          <w:tcPr>
            <w:tcW w:type="dxa" w:w="9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16" w:after="0"/>
              <w:ind w:left="84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6"/>
              </w:rPr>
              <w:t>47</w:t>
            </w:r>
          </w:p>
        </w:tc>
      </w:tr>
      <w:tr>
        <w:trPr>
          <w:trHeight w:hRule="exact" w:val="42"/>
        </w:trPr>
        <w:tc>
          <w:tcPr>
            <w:tcW w:type="dxa" w:w="604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0" w:after="0"/>
              <w:ind w:left="0" w:right="0" w:firstLine="0"/>
              <w:jc w:val="righ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6"/>
              </w:rPr>
              <w:t xml:space="preserve">6.0A </w:t>
            </w:r>
          </w:p>
        </w:tc>
        <w:tc>
          <w:tcPr>
            <w:tcW w:type="dxa" w:w="33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0" w:after="0"/>
              <w:ind w:left="220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6"/>
              </w:rPr>
              <w:t xml:space="preserve">DOSSIER APPENDICES </w:t>
            </w:r>
          </w:p>
        </w:tc>
        <w:tc>
          <w:tcPr>
            <w:tcW w:type="dxa" w:w="1064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0" w:after="0"/>
              <w:ind w:left="124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6"/>
              </w:rPr>
              <w:t>25</w:t>
            </w:r>
          </w:p>
        </w:tc>
        <w:tc>
          <w:tcPr>
            <w:tcW w:type="dxa" w:w="3234"/>
            <w:gridSpan w:val="2"/>
            <w:vMerge/>
            <w:tcBorders/>
          </w:tcPr>
          <w:p/>
        </w:tc>
        <w:tc>
          <w:tcPr>
            <w:tcW w:type="dxa" w:w="1617"/>
            <w:vMerge/>
            <w:tcBorders/>
          </w:tcPr>
          <w:p/>
        </w:tc>
      </w:tr>
      <w:tr>
        <w:trPr>
          <w:trHeight w:hRule="exact" w:val="226"/>
        </w:trPr>
        <w:tc>
          <w:tcPr>
            <w:tcW w:type="dxa" w:w="1617"/>
            <w:vMerge/>
            <w:tcBorders/>
          </w:tcPr>
          <w:p/>
        </w:tc>
        <w:tc>
          <w:tcPr>
            <w:tcW w:type="dxa" w:w="1617"/>
            <w:vMerge/>
            <w:tcBorders/>
          </w:tcPr>
          <w:p/>
        </w:tc>
        <w:tc>
          <w:tcPr>
            <w:tcW w:type="dxa" w:w="1617"/>
            <w:vMerge/>
            <w:tcBorders/>
          </w:tcPr>
          <w:p/>
        </w:tc>
        <w:tc>
          <w:tcPr>
            <w:tcW w:type="dxa" w:w="437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exact" w:before="16" w:after="0"/>
              <w:ind w:left="626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6"/>
              </w:rPr>
              <w:t xml:space="preserve">4.0C   ECONOMIC VALUE AND MODELING REPORT </w:t>
            </w:r>
          </w:p>
        </w:tc>
        <w:tc>
          <w:tcPr>
            <w:tcW w:type="dxa" w:w="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14" w:after="0"/>
              <w:ind w:left="84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6"/>
              </w:rPr>
              <w:t>47</w:t>
            </w:r>
          </w:p>
        </w:tc>
      </w:tr>
      <w:tr>
        <w:trPr>
          <w:trHeight w:hRule="exact" w:val="151"/>
        </w:trPr>
        <w:tc>
          <w:tcPr>
            <w:tcW w:type="dxa" w:w="398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exact" w:before="0" w:after="0"/>
              <w:ind w:left="544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6"/>
              </w:rPr>
              <w:t xml:space="preserve">6.1A   REFERENCES CONTAINED IN DOSSIERS </w:t>
            </w:r>
          </w:p>
        </w:tc>
        <w:tc>
          <w:tcPr>
            <w:tcW w:type="dxa" w:w="10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0" w:after="0"/>
              <w:ind w:left="124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6"/>
              </w:rPr>
              <w:t>25</w:t>
            </w:r>
          </w:p>
        </w:tc>
        <w:tc>
          <w:tcPr>
            <w:tcW w:type="dxa" w:w="4376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26" w:after="0"/>
              <w:ind w:left="0" w:right="0" w:firstLine="0"/>
              <w:jc w:val="center"/>
            </w:pPr>
            <w:r>
              <w:rPr>
                <w:rFonts w:ascii="Asap" w:hAnsi="Asap" w:eastAsia="Asap"/>
                <w:b w:val="0"/>
                <w:i w:val="0"/>
                <w:color w:val="000000"/>
                <w:sz w:val="16"/>
              </w:rPr>
              <w:t xml:space="preserve">5.0C   ADDITIONAL SUPPORTING EVIDENCE </w:t>
            </w:r>
          </w:p>
        </w:tc>
        <w:tc>
          <w:tcPr>
            <w:tcW w:type="dxa" w:w="9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26" w:after="0"/>
              <w:ind w:left="84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6"/>
              </w:rPr>
              <w:t>47</w:t>
            </w:r>
          </w:p>
        </w:tc>
      </w:tr>
      <w:tr>
        <w:trPr>
          <w:trHeight w:hRule="exact" w:val="80"/>
        </w:trPr>
        <w:tc>
          <w:tcPr>
            <w:tcW w:type="dxa" w:w="3984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exact" w:before="36" w:after="0"/>
              <w:ind w:left="544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6"/>
              </w:rPr>
              <w:t xml:space="preserve">6.2A   ECONOMIC MODELS </w:t>
            </w:r>
          </w:p>
        </w:tc>
        <w:tc>
          <w:tcPr>
            <w:tcW w:type="dxa" w:w="1064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32" w:after="0"/>
              <w:ind w:left="124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6"/>
              </w:rPr>
              <w:t>25</w:t>
            </w:r>
          </w:p>
        </w:tc>
        <w:tc>
          <w:tcPr>
            <w:tcW w:type="dxa" w:w="3234"/>
            <w:gridSpan w:val="2"/>
            <w:vMerge/>
            <w:tcBorders/>
          </w:tcPr>
          <w:p/>
        </w:tc>
        <w:tc>
          <w:tcPr>
            <w:tcW w:type="dxa" w:w="1617"/>
            <w:vMerge/>
            <w:tcBorders/>
          </w:tcPr>
          <w:p/>
        </w:tc>
      </w:tr>
      <w:tr>
        <w:trPr>
          <w:trHeight w:hRule="exact" w:val="160"/>
        </w:trPr>
        <w:tc>
          <w:tcPr>
            <w:tcW w:type="dxa" w:w="3234"/>
            <w:gridSpan w:val="2"/>
            <w:vMerge/>
            <w:tcBorders/>
          </w:tcPr>
          <w:p/>
        </w:tc>
        <w:tc>
          <w:tcPr>
            <w:tcW w:type="dxa" w:w="1617"/>
            <w:vMerge/>
            <w:tcBorders/>
          </w:tcPr>
          <w:p/>
        </w:tc>
        <w:tc>
          <w:tcPr>
            <w:tcW w:type="dxa" w:w="4376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exact" w:before="16" w:after="0"/>
              <w:ind w:left="896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6"/>
              </w:rPr>
              <w:t xml:space="preserve">5.1C   CLINICAL PRACTICE GUIDELINES </w:t>
            </w:r>
          </w:p>
        </w:tc>
        <w:tc>
          <w:tcPr>
            <w:tcW w:type="dxa" w:w="9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12" w:after="0"/>
              <w:ind w:left="84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6"/>
              </w:rPr>
              <w:t>48</w:t>
            </w:r>
          </w:p>
        </w:tc>
      </w:tr>
      <w:tr>
        <w:trPr>
          <w:trHeight w:hRule="exact" w:val="60"/>
        </w:trPr>
        <w:tc>
          <w:tcPr>
            <w:tcW w:type="dxa" w:w="3984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exact" w:before="30" w:after="0"/>
              <w:ind w:left="544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6"/>
              </w:rPr>
              <w:t xml:space="preserve">6.3A   MATERIAL SAFETY DATA SHEET </w:t>
            </w:r>
          </w:p>
        </w:tc>
        <w:tc>
          <w:tcPr>
            <w:tcW w:type="dxa" w:w="1064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28" w:after="0"/>
              <w:ind w:left="124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6"/>
              </w:rPr>
              <w:t>25</w:t>
            </w:r>
          </w:p>
        </w:tc>
        <w:tc>
          <w:tcPr>
            <w:tcW w:type="dxa" w:w="3234"/>
            <w:gridSpan w:val="2"/>
            <w:vMerge/>
            <w:tcBorders/>
          </w:tcPr>
          <w:p/>
        </w:tc>
        <w:tc>
          <w:tcPr>
            <w:tcW w:type="dxa" w:w="1617"/>
            <w:vMerge/>
            <w:tcBorders/>
          </w:tcPr>
          <w:p/>
        </w:tc>
      </w:tr>
      <w:tr>
        <w:trPr>
          <w:trHeight w:hRule="exact" w:val="188"/>
        </w:trPr>
        <w:tc>
          <w:tcPr>
            <w:tcW w:type="dxa" w:w="3234"/>
            <w:gridSpan w:val="2"/>
            <w:vMerge/>
            <w:tcBorders/>
          </w:tcPr>
          <w:p/>
        </w:tc>
        <w:tc>
          <w:tcPr>
            <w:tcW w:type="dxa" w:w="1617"/>
            <w:vMerge/>
            <w:tcBorders/>
          </w:tcPr>
          <w:p/>
        </w:tc>
        <w:tc>
          <w:tcPr>
            <w:tcW w:type="dxa" w:w="4376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48" w:after="0"/>
              <w:ind w:left="896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6"/>
              </w:rPr>
              <w:t xml:space="preserve">5.2C   HTAS AND SYSTEMATIC REVIEWS </w:t>
            </w:r>
          </w:p>
        </w:tc>
        <w:tc>
          <w:tcPr>
            <w:tcW w:type="dxa" w:w="9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48" w:after="0"/>
              <w:ind w:left="84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6"/>
              </w:rPr>
              <w:t>48</w:t>
            </w:r>
          </w:p>
        </w:tc>
      </w:tr>
      <w:tr>
        <w:trPr>
          <w:trHeight w:hRule="exact" w:val="72"/>
        </w:trPr>
        <w:tc>
          <w:tcPr>
            <w:tcW w:type="dxa" w:w="3984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10" w:after="0"/>
              <w:ind w:left="544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6"/>
              </w:rPr>
              <w:t xml:space="preserve">6.4A   APPENDICES SPECIFIC TO </w:t>
            </w:r>
          </w:p>
        </w:tc>
        <w:tc>
          <w:tcPr>
            <w:tcW w:type="dxa" w:w="1617"/>
            <w:vMerge/>
            <w:tcBorders/>
          </w:tcPr>
          <w:p/>
        </w:tc>
        <w:tc>
          <w:tcPr>
            <w:tcW w:type="dxa" w:w="3234"/>
            <w:gridSpan w:val="2"/>
            <w:vMerge/>
            <w:tcBorders/>
          </w:tcPr>
          <w:p/>
        </w:tc>
        <w:tc>
          <w:tcPr>
            <w:tcW w:type="dxa" w:w="1617"/>
            <w:vMerge/>
            <w:tcBorders/>
          </w:tcPr>
          <w:p/>
        </w:tc>
      </w:tr>
      <w:tr>
        <w:trPr>
          <w:trHeight w:hRule="exact" w:val="144"/>
        </w:trPr>
        <w:tc>
          <w:tcPr>
            <w:tcW w:type="dxa" w:w="3234"/>
            <w:gridSpan w:val="2"/>
            <w:vMerge/>
            <w:tcBorders/>
          </w:tcPr>
          <w:p/>
        </w:tc>
        <w:tc>
          <w:tcPr>
            <w:tcW w:type="dxa" w:w="1064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134" w:after="0"/>
              <w:ind w:left="124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6"/>
              </w:rPr>
              <w:t>25</w:t>
            </w:r>
          </w:p>
        </w:tc>
        <w:tc>
          <w:tcPr>
            <w:tcW w:type="dxa" w:w="4376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exact" w:before="26" w:after="0"/>
              <w:ind w:left="896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6"/>
              </w:rPr>
              <w:t xml:space="preserve">5.3C   COMPENDIA </w:t>
            </w:r>
          </w:p>
        </w:tc>
        <w:tc>
          <w:tcPr>
            <w:tcW w:type="dxa" w:w="9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24" w:after="0"/>
              <w:ind w:left="84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6"/>
              </w:rPr>
              <w:t>48</w:t>
            </w:r>
          </w:p>
        </w:tc>
      </w:tr>
      <w:tr>
        <w:trPr>
          <w:trHeight w:hRule="exact" w:val="102"/>
        </w:trPr>
        <w:tc>
          <w:tcPr>
            <w:tcW w:type="dxa" w:w="3984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exact" w:before="0" w:after="0"/>
              <w:ind w:left="960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6"/>
              </w:rPr>
              <w:t xml:space="preserve">DTx PRODUCTS </w:t>
            </w:r>
          </w:p>
        </w:tc>
        <w:tc>
          <w:tcPr>
            <w:tcW w:type="dxa" w:w="1617"/>
            <w:vMerge/>
            <w:tcBorders/>
          </w:tcPr>
          <w:p/>
        </w:tc>
        <w:tc>
          <w:tcPr>
            <w:tcW w:type="dxa" w:w="3234"/>
            <w:gridSpan w:val="2"/>
            <w:vMerge/>
            <w:tcBorders/>
          </w:tcPr>
          <w:p/>
        </w:tc>
        <w:tc>
          <w:tcPr>
            <w:tcW w:type="dxa" w:w="1617"/>
            <w:vMerge/>
            <w:tcBorders/>
          </w:tcPr>
          <w:p/>
        </w:tc>
      </w:tr>
      <w:tr>
        <w:trPr>
          <w:trHeight w:hRule="exact" w:val="94"/>
        </w:trPr>
        <w:tc>
          <w:tcPr>
            <w:tcW w:type="dxa" w:w="3234"/>
            <w:gridSpan w:val="2"/>
            <w:vMerge/>
            <w:tcBorders/>
          </w:tcPr>
          <w:p/>
        </w:tc>
        <w:tc>
          <w:tcPr>
            <w:tcW w:type="dxa" w:w="1617"/>
            <w:vMerge/>
            <w:tcBorders/>
          </w:tcPr>
          <w:p/>
        </w:tc>
        <w:tc>
          <w:tcPr>
            <w:tcW w:type="dxa" w:w="4376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16" w:after="0"/>
              <w:ind w:left="896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6"/>
              </w:rPr>
              <w:t xml:space="preserve">5.4C   OTHER ECONOMIC OR </w:t>
            </w:r>
          </w:p>
        </w:tc>
        <w:tc>
          <w:tcPr>
            <w:tcW w:type="dxa" w:w="1617"/>
            <w:vMerge/>
            <w:tcBorders/>
          </w:tcPr>
          <w:p/>
        </w:tc>
      </w:tr>
      <w:tr>
        <w:trPr>
          <w:trHeight w:hRule="exact" w:val="130"/>
        </w:trPr>
        <w:tc>
          <w:tcPr>
            <w:tcW w:type="dxa" w:w="3984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2" w:lineRule="exact" w:before="28" w:after="0"/>
              <w:ind w:left="4" w:right="0" w:firstLine="0"/>
              <w:jc w:val="left"/>
            </w:pPr>
            <w:r>
              <w:rPr>
                <w:rFonts w:ascii="Asap" w:hAnsi="Asap" w:eastAsia="Asap"/>
                <w:b/>
                <w:i w:val="0"/>
                <w:color w:val="6C146B"/>
                <w:sz w:val="16"/>
              </w:rPr>
              <w:t xml:space="preserve">EVIDENCE RECOMMENDATIONS FOR </w:t>
            </w:r>
          </w:p>
        </w:tc>
        <w:tc>
          <w:tcPr>
            <w:tcW w:type="dxa" w:w="1064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238" w:after="0"/>
              <w:ind w:left="124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6"/>
              </w:rPr>
              <w:t>26</w:t>
            </w:r>
          </w:p>
        </w:tc>
        <w:tc>
          <w:tcPr>
            <w:tcW w:type="dxa" w:w="3234"/>
            <w:gridSpan w:val="2"/>
            <w:vMerge/>
            <w:tcBorders/>
          </w:tcPr>
          <w:p/>
        </w:tc>
        <w:tc>
          <w:tcPr>
            <w:tcW w:type="dxa" w:w="9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112" w:after="0"/>
              <w:ind w:left="84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6"/>
              </w:rPr>
              <w:t>48</w:t>
            </w:r>
          </w:p>
        </w:tc>
      </w:tr>
      <w:tr>
        <w:trPr>
          <w:trHeight w:hRule="exact" w:val="110"/>
        </w:trPr>
        <w:tc>
          <w:tcPr>
            <w:tcW w:type="dxa" w:w="3234"/>
            <w:gridSpan w:val="2"/>
            <w:vMerge/>
            <w:tcBorders/>
          </w:tcPr>
          <w:p/>
        </w:tc>
        <w:tc>
          <w:tcPr>
            <w:tcW w:type="dxa" w:w="1617"/>
            <w:vMerge/>
            <w:tcBorders/>
          </w:tcPr>
          <w:p/>
        </w:tc>
        <w:tc>
          <w:tcPr>
            <w:tcW w:type="dxa" w:w="4376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exact" w:before="0" w:after="0"/>
              <w:ind w:left="0" w:right="1418" w:firstLine="0"/>
              <w:jc w:val="righ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6"/>
              </w:rPr>
              <w:t xml:space="preserve">OUTCOMES EVIDENCE </w:t>
            </w:r>
          </w:p>
        </w:tc>
        <w:tc>
          <w:tcPr>
            <w:tcW w:type="dxa" w:w="1617"/>
            <w:vMerge/>
            <w:tcBorders/>
          </w:tcPr>
          <w:p/>
        </w:tc>
      </w:tr>
      <w:tr>
        <w:trPr>
          <w:trHeight w:hRule="exact" w:val="80"/>
        </w:trPr>
        <w:tc>
          <w:tcPr>
            <w:tcW w:type="dxa" w:w="3984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2" w:lineRule="exact" w:before="0" w:after="0"/>
              <w:ind w:left="4" w:right="0" w:firstLine="0"/>
              <w:jc w:val="left"/>
            </w:pPr>
            <w:r>
              <w:rPr>
                <w:rFonts w:ascii="Asap" w:hAnsi="Asap" w:eastAsia="Asap"/>
                <w:b/>
                <w:i w:val="0"/>
                <w:color w:val="6C146B"/>
                <w:sz w:val="16"/>
              </w:rPr>
              <w:t xml:space="preserve">APPROVED PRODUCT DOSSIERS </w:t>
            </w:r>
          </w:p>
        </w:tc>
        <w:tc>
          <w:tcPr>
            <w:tcW w:type="dxa" w:w="1617"/>
            <w:vMerge/>
            <w:tcBorders/>
          </w:tcPr>
          <w:p/>
        </w:tc>
        <w:tc>
          <w:tcPr>
            <w:tcW w:type="dxa" w:w="3234"/>
            <w:gridSpan w:val="2"/>
            <w:vMerge/>
            <w:tcBorders/>
          </w:tcPr>
          <w:p/>
        </w:tc>
        <w:tc>
          <w:tcPr>
            <w:tcW w:type="dxa" w:w="1617"/>
            <w:vMerge/>
            <w:tcBorders/>
          </w:tcPr>
          <w:p/>
        </w:tc>
      </w:tr>
      <w:tr>
        <w:trPr>
          <w:trHeight w:hRule="exact" w:val="148"/>
        </w:trPr>
        <w:tc>
          <w:tcPr>
            <w:tcW w:type="dxa" w:w="3234"/>
            <w:gridSpan w:val="2"/>
            <w:vMerge/>
            <w:tcBorders/>
          </w:tcPr>
          <w:p/>
        </w:tc>
        <w:tc>
          <w:tcPr>
            <w:tcW w:type="dxa" w:w="1617"/>
            <w:vMerge/>
            <w:tcBorders/>
          </w:tcPr>
          <w:p/>
        </w:tc>
        <w:tc>
          <w:tcPr>
            <w:tcW w:type="dxa" w:w="4376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48" w:after="0"/>
              <w:ind w:left="896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6"/>
              </w:rPr>
              <w:t xml:space="preserve">5.5C   EFFECT ON EQUITY </w:t>
            </w:r>
          </w:p>
        </w:tc>
        <w:tc>
          <w:tcPr>
            <w:tcW w:type="dxa" w:w="9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48" w:after="0"/>
              <w:ind w:left="84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6"/>
              </w:rPr>
              <w:t>48</w:t>
            </w:r>
          </w:p>
        </w:tc>
      </w:tr>
      <w:tr>
        <w:trPr>
          <w:trHeight w:hRule="exact" w:val="112"/>
        </w:trPr>
        <w:tc>
          <w:tcPr>
            <w:tcW w:type="dxa" w:w="3984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16" w:after="0"/>
              <w:ind w:left="274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6"/>
              </w:rPr>
              <w:t xml:space="preserve">1.0B   EXECUTIVE SUMMARY: CLINICAL </w:t>
            </w:r>
          </w:p>
        </w:tc>
        <w:tc>
          <w:tcPr>
            <w:tcW w:type="dxa" w:w="1617"/>
            <w:vMerge/>
            <w:tcBorders/>
          </w:tcPr>
          <w:p/>
        </w:tc>
        <w:tc>
          <w:tcPr>
            <w:tcW w:type="dxa" w:w="3234"/>
            <w:gridSpan w:val="2"/>
            <w:vMerge/>
            <w:tcBorders/>
          </w:tcPr>
          <w:p/>
        </w:tc>
        <w:tc>
          <w:tcPr>
            <w:tcW w:type="dxa" w:w="1617"/>
            <w:vMerge/>
            <w:tcBorders/>
          </w:tcPr>
          <w:p/>
        </w:tc>
      </w:tr>
      <w:tr>
        <w:trPr>
          <w:trHeight w:hRule="exact" w:val="110"/>
        </w:trPr>
        <w:tc>
          <w:tcPr>
            <w:tcW w:type="dxa" w:w="3234"/>
            <w:gridSpan w:val="2"/>
            <w:vMerge/>
            <w:tcBorders/>
          </w:tcPr>
          <w:p/>
        </w:tc>
        <w:tc>
          <w:tcPr>
            <w:tcW w:type="dxa" w:w="1064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312" w:after="0"/>
              <w:ind w:left="124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6"/>
              </w:rPr>
              <w:t>26</w:t>
            </w:r>
          </w:p>
        </w:tc>
        <w:tc>
          <w:tcPr>
            <w:tcW w:type="dxa" w:w="4376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exact" w:before="26" w:after="0"/>
              <w:ind w:left="896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6"/>
              </w:rPr>
              <w:t xml:space="preserve">5.6C   EFFECT ON QUALITY MEASURES </w:t>
            </w:r>
          </w:p>
        </w:tc>
        <w:tc>
          <w:tcPr>
            <w:tcW w:type="dxa" w:w="9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24" w:after="0"/>
              <w:ind w:left="84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6"/>
              </w:rPr>
              <w:t>48</w:t>
            </w:r>
          </w:p>
        </w:tc>
      </w:tr>
      <w:tr>
        <w:trPr>
          <w:trHeight w:hRule="exact" w:val="137"/>
        </w:trPr>
        <w:tc>
          <w:tcPr>
            <w:tcW w:type="dxa" w:w="3984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0" w:after="0"/>
              <w:ind w:left="686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6"/>
              </w:rPr>
              <w:t xml:space="preserve">AND ECONOMIC VALUE OF </w:t>
            </w:r>
          </w:p>
        </w:tc>
        <w:tc>
          <w:tcPr>
            <w:tcW w:type="dxa" w:w="1617"/>
            <w:vMerge/>
            <w:tcBorders/>
          </w:tcPr>
          <w:p/>
        </w:tc>
        <w:tc>
          <w:tcPr>
            <w:tcW w:type="dxa" w:w="3234"/>
            <w:gridSpan w:val="2"/>
            <w:vMerge/>
            <w:tcBorders/>
          </w:tcPr>
          <w:p/>
        </w:tc>
        <w:tc>
          <w:tcPr>
            <w:tcW w:type="dxa" w:w="1617"/>
            <w:vMerge/>
            <w:tcBorders/>
          </w:tcPr>
          <w:p/>
        </w:tc>
      </w:tr>
      <w:tr>
        <w:trPr>
          <w:trHeight w:hRule="exact" w:val="67"/>
        </w:trPr>
        <w:tc>
          <w:tcPr>
            <w:tcW w:type="dxa" w:w="3234"/>
            <w:gridSpan w:val="2"/>
            <w:vMerge/>
            <w:tcBorders/>
          </w:tcPr>
          <w:p/>
        </w:tc>
        <w:tc>
          <w:tcPr>
            <w:tcW w:type="dxa" w:w="1617"/>
            <w:vMerge/>
            <w:tcBorders/>
          </w:tcPr>
          <w:p/>
        </w:tc>
        <w:tc>
          <w:tcPr>
            <w:tcW w:type="dxa" w:w="4376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16" w:after="0"/>
              <w:ind w:left="896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6"/>
              </w:rPr>
              <w:t xml:space="preserve">5.7C   OTHER EVIDENCE OR INFORMATION </w:t>
            </w:r>
          </w:p>
        </w:tc>
        <w:tc>
          <w:tcPr>
            <w:tcW w:type="dxa" w:w="9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16" w:after="0"/>
              <w:ind w:left="84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6"/>
              </w:rPr>
              <w:t>48</w:t>
            </w:r>
          </w:p>
        </w:tc>
      </w:tr>
      <w:tr>
        <w:trPr>
          <w:trHeight w:hRule="exact" w:val="166"/>
        </w:trPr>
        <w:tc>
          <w:tcPr>
            <w:tcW w:type="dxa" w:w="3984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exact" w:before="0" w:after="0"/>
              <w:ind w:left="686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6"/>
              </w:rPr>
              <w:t xml:space="preserve">THE APPROVED PRODUCT </w:t>
            </w:r>
          </w:p>
        </w:tc>
        <w:tc>
          <w:tcPr>
            <w:tcW w:type="dxa" w:w="1617"/>
            <w:vMerge/>
            <w:tcBorders/>
          </w:tcPr>
          <w:p/>
        </w:tc>
        <w:tc>
          <w:tcPr>
            <w:tcW w:type="dxa" w:w="3234"/>
            <w:gridSpan w:val="2"/>
            <w:vMerge/>
            <w:tcBorders/>
          </w:tcPr>
          <w:p/>
        </w:tc>
        <w:tc>
          <w:tcPr>
            <w:tcW w:type="dxa" w:w="1617"/>
            <w:vMerge/>
            <w:tcBorders/>
          </w:tcPr>
          <w:p/>
        </w:tc>
      </w:tr>
      <w:tr>
        <w:trPr>
          <w:trHeight w:hRule="exact" w:val="50"/>
        </w:trPr>
        <w:tc>
          <w:tcPr>
            <w:tcW w:type="dxa" w:w="3234"/>
            <w:gridSpan w:val="2"/>
            <w:vMerge/>
            <w:tcBorders/>
          </w:tcPr>
          <w:p/>
        </w:tc>
        <w:tc>
          <w:tcPr>
            <w:tcW w:type="dxa" w:w="1617"/>
            <w:vMerge/>
            <w:tcBorders/>
          </w:tcPr>
          <w:p/>
        </w:tc>
        <w:tc>
          <w:tcPr>
            <w:tcW w:type="dxa" w:w="4376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exact" w:before="20" w:after="0"/>
              <w:ind w:left="626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6"/>
              </w:rPr>
              <w:t xml:space="preserve">6.0C   DOSSIER APPENDICES </w:t>
            </w:r>
          </w:p>
        </w:tc>
        <w:tc>
          <w:tcPr>
            <w:tcW w:type="dxa" w:w="9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18" w:after="0"/>
              <w:ind w:left="84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6"/>
              </w:rPr>
              <w:t>48</w:t>
            </w:r>
          </w:p>
        </w:tc>
      </w:tr>
      <w:tr>
        <w:trPr>
          <w:trHeight w:hRule="exact" w:val="210"/>
        </w:trPr>
        <w:tc>
          <w:tcPr>
            <w:tcW w:type="dxa" w:w="398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exact" w:before="6" w:after="0"/>
              <w:ind w:left="544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6"/>
              </w:rPr>
              <w:t xml:space="preserve">1.1B   CLINICAL BENEFITS </w:t>
            </w:r>
          </w:p>
        </w:tc>
        <w:tc>
          <w:tcPr>
            <w:tcW w:type="dxa" w:w="10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2" w:after="0"/>
              <w:ind w:left="124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6"/>
              </w:rPr>
              <w:t>26</w:t>
            </w:r>
          </w:p>
        </w:tc>
        <w:tc>
          <w:tcPr>
            <w:tcW w:type="dxa" w:w="3234"/>
            <w:gridSpan w:val="2"/>
            <w:vMerge/>
            <w:tcBorders/>
          </w:tcPr>
          <w:p/>
        </w:tc>
        <w:tc>
          <w:tcPr>
            <w:tcW w:type="dxa" w:w="1617"/>
            <w:vMerge/>
            <w:tcBorders/>
          </w:tcPr>
          <w:p/>
        </w:tc>
      </w:tr>
      <w:tr>
        <w:trPr>
          <w:trHeight w:hRule="exact" w:val="237"/>
        </w:trPr>
        <w:tc>
          <w:tcPr>
            <w:tcW w:type="dxa" w:w="398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exact" w:before="34" w:after="0"/>
              <w:ind w:left="544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6"/>
              </w:rPr>
              <w:t xml:space="preserve">1.2B   ECONOMIC BENEFITS </w:t>
            </w:r>
          </w:p>
        </w:tc>
        <w:tc>
          <w:tcPr>
            <w:tcW w:type="dxa" w:w="10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30" w:after="0"/>
              <w:ind w:left="124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6"/>
              </w:rPr>
              <w:t>27</w:t>
            </w:r>
          </w:p>
        </w:tc>
        <w:tc>
          <w:tcPr>
            <w:tcW w:type="dxa" w:w="437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0" w:after="0"/>
              <w:ind w:left="896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6"/>
              </w:rPr>
              <w:t xml:space="preserve">6.1C   REFERENCES CONTAINED IN DOSSIERS </w:t>
            </w:r>
          </w:p>
        </w:tc>
        <w:tc>
          <w:tcPr>
            <w:tcW w:type="dxa" w:w="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0" w:after="0"/>
              <w:ind w:left="84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6"/>
              </w:rPr>
              <w:t>48</w:t>
            </w:r>
          </w:p>
        </w:tc>
      </w:tr>
      <w:tr>
        <w:trPr>
          <w:trHeight w:hRule="exact" w:val="203"/>
        </w:trPr>
        <w:tc>
          <w:tcPr>
            <w:tcW w:type="dxa" w:w="3984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28" w:after="0"/>
              <w:ind w:left="544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6"/>
              </w:rPr>
              <w:t xml:space="preserve">1.3B   CONCLUSIONS </w:t>
            </w:r>
          </w:p>
        </w:tc>
        <w:tc>
          <w:tcPr>
            <w:tcW w:type="dxa" w:w="1064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28" w:after="0"/>
              <w:ind w:left="124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6"/>
              </w:rPr>
              <w:t>27</w:t>
            </w:r>
          </w:p>
        </w:tc>
        <w:tc>
          <w:tcPr>
            <w:tcW w:type="dxa" w:w="437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exact" w:before="0" w:after="0"/>
              <w:ind w:left="896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6"/>
              </w:rPr>
              <w:t xml:space="preserve">6.2C   ECONOMIC MODELS </w:t>
            </w:r>
          </w:p>
        </w:tc>
        <w:tc>
          <w:tcPr>
            <w:tcW w:type="dxa" w:w="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0" w:after="0"/>
              <w:ind w:left="84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6"/>
              </w:rPr>
              <w:t>48</w:t>
            </w:r>
          </w:p>
        </w:tc>
      </w:tr>
      <w:tr>
        <w:trPr>
          <w:trHeight w:hRule="exact" w:val="44"/>
        </w:trPr>
        <w:tc>
          <w:tcPr>
            <w:tcW w:type="dxa" w:w="3234"/>
            <w:gridSpan w:val="2"/>
            <w:vMerge/>
            <w:tcBorders/>
          </w:tcPr>
          <w:p/>
        </w:tc>
        <w:tc>
          <w:tcPr>
            <w:tcW w:type="dxa" w:w="1617"/>
            <w:vMerge/>
            <w:tcBorders/>
          </w:tcPr>
          <w:p/>
        </w:tc>
        <w:tc>
          <w:tcPr>
            <w:tcW w:type="dxa" w:w="4376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30" w:after="0"/>
              <w:ind w:left="896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6"/>
              </w:rPr>
              <w:t xml:space="preserve">6.3C   PRODUCT PRESCRIBING INFORMATION </w:t>
            </w:r>
          </w:p>
        </w:tc>
        <w:tc>
          <w:tcPr>
            <w:tcW w:type="dxa" w:w="9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30" w:after="0"/>
              <w:ind w:left="84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6"/>
              </w:rPr>
              <w:t>49</w:t>
            </w:r>
          </w:p>
        </w:tc>
      </w:tr>
      <w:tr>
        <w:trPr>
          <w:trHeight w:hRule="exact" w:val="104"/>
        </w:trPr>
        <w:tc>
          <w:tcPr>
            <w:tcW w:type="dxa" w:w="604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8" w:after="0"/>
              <w:ind w:left="0" w:right="0" w:firstLine="0"/>
              <w:jc w:val="righ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6"/>
              </w:rPr>
              <w:t xml:space="preserve">2.0B </w:t>
            </w:r>
          </w:p>
        </w:tc>
        <w:tc>
          <w:tcPr>
            <w:tcW w:type="dxa" w:w="33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8" w:after="0"/>
              <w:ind w:left="220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6"/>
              </w:rPr>
              <w:t xml:space="preserve">PRODUCT INFORMATION </w:t>
            </w:r>
          </w:p>
        </w:tc>
        <w:tc>
          <w:tcPr>
            <w:tcW w:type="dxa" w:w="1617"/>
            <w:vMerge/>
            <w:tcBorders/>
          </w:tcPr>
          <w:p/>
        </w:tc>
        <w:tc>
          <w:tcPr>
            <w:tcW w:type="dxa" w:w="3234"/>
            <w:gridSpan w:val="2"/>
            <w:vMerge/>
            <w:tcBorders/>
          </w:tcPr>
          <w:p/>
        </w:tc>
        <w:tc>
          <w:tcPr>
            <w:tcW w:type="dxa" w:w="1617"/>
            <w:vMerge/>
            <w:tcBorders/>
          </w:tcPr>
          <w:p/>
        </w:tc>
      </w:tr>
      <w:tr>
        <w:trPr>
          <w:trHeight w:hRule="exact" w:val="110"/>
        </w:trPr>
        <w:tc>
          <w:tcPr>
            <w:tcW w:type="dxa" w:w="1617"/>
            <w:vMerge/>
            <w:tcBorders/>
          </w:tcPr>
          <w:p/>
        </w:tc>
        <w:tc>
          <w:tcPr>
            <w:tcW w:type="dxa" w:w="1617"/>
            <w:vMerge/>
            <w:tcBorders/>
          </w:tcPr>
          <w:p/>
        </w:tc>
        <w:tc>
          <w:tcPr>
            <w:tcW w:type="dxa" w:w="1064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104" w:after="0"/>
              <w:ind w:left="124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6"/>
              </w:rPr>
              <w:t>27</w:t>
            </w:r>
          </w:p>
        </w:tc>
        <w:tc>
          <w:tcPr>
            <w:tcW w:type="dxa" w:w="3234"/>
            <w:gridSpan w:val="2"/>
            <w:vMerge/>
            <w:tcBorders/>
          </w:tcPr>
          <w:p/>
        </w:tc>
        <w:tc>
          <w:tcPr>
            <w:tcW w:type="dxa" w:w="1617"/>
            <w:vMerge/>
            <w:tcBorders/>
          </w:tcPr>
          <w:p/>
        </w:tc>
      </w:tr>
      <w:tr>
        <w:trPr>
          <w:trHeight w:hRule="exact" w:val="202"/>
        </w:trPr>
        <w:tc>
          <w:tcPr>
            <w:tcW w:type="dxa" w:w="398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exact" w:before="0" w:after="0"/>
              <w:ind w:left="824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6"/>
              </w:rPr>
              <w:t xml:space="preserve">AND DISEASE DESCRIPTION </w:t>
            </w:r>
          </w:p>
        </w:tc>
        <w:tc>
          <w:tcPr>
            <w:tcW w:type="dxa" w:w="1617"/>
            <w:vMerge/>
            <w:tcBorders/>
          </w:tcPr>
          <w:p/>
        </w:tc>
        <w:tc>
          <w:tcPr>
            <w:tcW w:type="dxa" w:w="437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0" w:after="0"/>
              <w:ind w:left="896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6"/>
              </w:rPr>
              <w:t xml:space="preserve">6.4C   PATIENT INFORMATION </w:t>
            </w:r>
          </w:p>
        </w:tc>
        <w:tc>
          <w:tcPr>
            <w:tcW w:type="dxa" w:w="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0" w:after="0"/>
              <w:ind w:left="84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6"/>
              </w:rPr>
              <w:t>49</w:t>
            </w:r>
          </w:p>
        </w:tc>
      </w:tr>
      <w:tr>
        <w:trPr>
          <w:trHeight w:hRule="exact" w:val="220"/>
        </w:trPr>
        <w:tc>
          <w:tcPr>
            <w:tcW w:type="dxa" w:w="398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exact" w:before="16" w:after="0"/>
              <w:ind w:left="544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6"/>
              </w:rPr>
              <w:t xml:space="preserve">2.1B   PRODUCT INFORMATION </w:t>
            </w:r>
          </w:p>
        </w:tc>
        <w:tc>
          <w:tcPr>
            <w:tcW w:type="dxa" w:w="10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12" w:after="0"/>
              <w:ind w:left="124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6"/>
              </w:rPr>
              <w:t>27</w:t>
            </w:r>
          </w:p>
        </w:tc>
        <w:tc>
          <w:tcPr>
            <w:tcW w:type="dxa" w:w="4376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exact" w:before="46" w:after="0"/>
              <w:ind w:left="0" w:right="0" w:firstLine="0"/>
              <w:jc w:val="center"/>
            </w:pPr>
            <w:r>
              <w:rPr>
                <w:rFonts w:ascii="Asap" w:hAnsi="Asap" w:eastAsia="Asap"/>
                <w:b w:val="0"/>
                <w:i w:val="0"/>
                <w:color w:val="000000"/>
                <w:sz w:val="16"/>
              </w:rPr>
              <w:t xml:space="preserve">6.5C   MATERIAL SAFETY DATA SHEET </w:t>
            </w:r>
          </w:p>
        </w:tc>
        <w:tc>
          <w:tcPr>
            <w:tcW w:type="dxa" w:w="9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44" w:after="0"/>
              <w:ind w:left="84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6"/>
              </w:rPr>
              <w:t>49</w:t>
            </w:r>
          </w:p>
        </w:tc>
      </w:tr>
      <w:tr>
        <w:trPr>
          <w:trHeight w:hRule="exact" w:val="47"/>
        </w:trPr>
        <w:tc>
          <w:tcPr>
            <w:tcW w:type="dxa" w:w="3984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34" w:after="0"/>
              <w:ind w:left="544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6"/>
              </w:rPr>
              <w:t xml:space="preserve">2.2B   PLACE OF THE PRODUCT IN THERAPY </w:t>
            </w:r>
          </w:p>
        </w:tc>
        <w:tc>
          <w:tcPr>
            <w:tcW w:type="dxa" w:w="1064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32" w:after="0"/>
              <w:ind w:left="124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6"/>
              </w:rPr>
              <w:t>29</w:t>
            </w:r>
          </w:p>
        </w:tc>
        <w:tc>
          <w:tcPr>
            <w:tcW w:type="dxa" w:w="3234"/>
            <w:gridSpan w:val="2"/>
            <w:vMerge/>
            <w:tcBorders/>
          </w:tcPr>
          <w:p/>
        </w:tc>
        <w:tc>
          <w:tcPr>
            <w:tcW w:type="dxa" w:w="1617"/>
            <w:vMerge/>
            <w:tcBorders/>
          </w:tcPr>
          <w:p/>
        </w:tc>
      </w:tr>
      <w:tr>
        <w:trPr>
          <w:trHeight w:hRule="exact" w:val="193"/>
        </w:trPr>
        <w:tc>
          <w:tcPr>
            <w:tcW w:type="dxa" w:w="3234"/>
            <w:gridSpan w:val="2"/>
            <w:vMerge/>
            <w:tcBorders/>
          </w:tcPr>
          <w:p/>
        </w:tc>
        <w:tc>
          <w:tcPr>
            <w:tcW w:type="dxa" w:w="1617"/>
            <w:vMerge/>
            <w:tcBorders/>
          </w:tcPr>
          <w:p/>
        </w:tc>
        <w:tc>
          <w:tcPr>
            <w:tcW w:type="dxa" w:w="4376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16" w:after="0"/>
              <w:ind w:left="896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6"/>
              </w:rPr>
              <w:t xml:space="preserve">6.6C   APPENDICES SPECIFIC TO DTx PRODUCTS </w:t>
            </w:r>
          </w:p>
        </w:tc>
        <w:tc>
          <w:tcPr>
            <w:tcW w:type="dxa" w:w="9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16" w:after="0"/>
              <w:ind w:left="84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6"/>
              </w:rPr>
              <w:t>49</w:t>
            </w:r>
          </w:p>
        </w:tc>
      </w:tr>
      <w:tr>
        <w:trPr>
          <w:trHeight w:hRule="exact" w:val="42"/>
        </w:trPr>
        <w:tc>
          <w:tcPr>
            <w:tcW w:type="dxa" w:w="3984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34" w:after="0"/>
              <w:ind w:left="544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6"/>
              </w:rPr>
              <w:t xml:space="preserve">2.3B   EVIDENCE FOR CDTs </w:t>
            </w:r>
          </w:p>
        </w:tc>
        <w:tc>
          <w:tcPr>
            <w:tcW w:type="dxa" w:w="1064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34" w:after="0"/>
              <w:ind w:left="124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6"/>
              </w:rPr>
              <w:t>30</w:t>
            </w:r>
          </w:p>
        </w:tc>
        <w:tc>
          <w:tcPr>
            <w:tcW w:type="dxa" w:w="3234"/>
            <w:gridSpan w:val="2"/>
            <w:vMerge/>
            <w:tcBorders/>
          </w:tcPr>
          <w:p/>
        </w:tc>
        <w:tc>
          <w:tcPr>
            <w:tcW w:type="dxa" w:w="1617"/>
            <w:vMerge/>
            <w:tcBorders/>
          </w:tcPr>
          <w:p/>
        </w:tc>
      </w:tr>
      <w:tr>
        <w:trPr>
          <w:trHeight w:hRule="exact" w:val="198"/>
        </w:trPr>
        <w:tc>
          <w:tcPr>
            <w:tcW w:type="dxa" w:w="3234"/>
            <w:gridSpan w:val="2"/>
            <w:vMerge/>
            <w:tcBorders/>
          </w:tcPr>
          <w:p/>
        </w:tc>
        <w:tc>
          <w:tcPr>
            <w:tcW w:type="dxa" w:w="1617"/>
            <w:vMerge/>
            <w:tcBorders/>
          </w:tcPr>
          <w:p/>
        </w:tc>
        <w:tc>
          <w:tcPr>
            <w:tcW w:type="dxa" w:w="4376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2" w:lineRule="exact" w:before="14" w:after="0"/>
              <w:ind w:left="356" w:right="0" w:firstLine="0"/>
              <w:jc w:val="left"/>
            </w:pPr>
            <w:r>
              <w:rPr>
                <w:rFonts w:ascii="Asap" w:hAnsi="Asap" w:eastAsia="Asap"/>
                <w:b/>
                <w:i w:val="0"/>
                <w:color w:val="6C146B"/>
                <w:sz w:val="16"/>
              </w:rPr>
              <w:t xml:space="preserve">APPENDICES </w:t>
            </w:r>
          </w:p>
        </w:tc>
        <w:tc>
          <w:tcPr>
            <w:tcW w:type="dxa" w:w="9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16" w:after="0"/>
              <w:ind w:left="84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6"/>
              </w:rPr>
              <w:t>50</w:t>
            </w:r>
          </w:p>
        </w:tc>
      </w:tr>
      <w:tr>
        <w:trPr>
          <w:trHeight w:hRule="exact" w:val="50"/>
        </w:trPr>
        <w:tc>
          <w:tcPr>
            <w:tcW w:type="dxa" w:w="604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28" w:after="0"/>
              <w:ind w:left="0" w:right="0" w:firstLine="0"/>
              <w:jc w:val="righ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6"/>
              </w:rPr>
              <w:t xml:space="preserve">3.0B </w:t>
            </w:r>
          </w:p>
        </w:tc>
        <w:tc>
          <w:tcPr>
            <w:tcW w:type="dxa" w:w="33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28" w:after="0"/>
              <w:ind w:left="220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6"/>
              </w:rPr>
              <w:t xml:space="preserve">CLINICAL EVIDENCE </w:t>
            </w:r>
          </w:p>
        </w:tc>
        <w:tc>
          <w:tcPr>
            <w:tcW w:type="dxa" w:w="1064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28" w:after="0"/>
              <w:ind w:left="124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6"/>
              </w:rPr>
              <w:t>32</w:t>
            </w:r>
          </w:p>
        </w:tc>
        <w:tc>
          <w:tcPr>
            <w:tcW w:type="dxa" w:w="3234"/>
            <w:gridSpan w:val="2"/>
            <w:vMerge/>
            <w:tcBorders/>
          </w:tcPr>
          <w:p/>
        </w:tc>
        <w:tc>
          <w:tcPr>
            <w:tcW w:type="dxa" w:w="1617"/>
            <w:vMerge/>
            <w:tcBorders/>
          </w:tcPr>
          <w:p/>
        </w:tc>
      </w:tr>
      <w:tr>
        <w:trPr>
          <w:trHeight w:hRule="exact" w:val="102"/>
        </w:trPr>
        <w:tc>
          <w:tcPr>
            <w:tcW w:type="dxa" w:w="1617"/>
            <w:vMerge/>
            <w:tcBorders/>
          </w:tcPr>
          <w:p/>
        </w:tc>
        <w:tc>
          <w:tcPr>
            <w:tcW w:type="dxa" w:w="1617"/>
            <w:vMerge/>
            <w:tcBorders/>
          </w:tcPr>
          <w:p/>
        </w:tc>
        <w:tc>
          <w:tcPr>
            <w:tcW w:type="dxa" w:w="1617"/>
            <w:vMerge/>
            <w:tcBorders/>
          </w:tcPr>
          <w:p/>
        </w:tc>
        <w:tc>
          <w:tcPr>
            <w:tcW w:type="dxa" w:w="4376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8" w:after="0"/>
              <w:ind w:left="626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6"/>
              </w:rPr>
              <w:t xml:space="preserve">APPENDIX A   PRE-APPROVAL INFORMATION </w:t>
            </w:r>
          </w:p>
        </w:tc>
        <w:tc>
          <w:tcPr>
            <w:tcW w:type="dxa" w:w="1617"/>
            <w:vMerge/>
            <w:tcBorders/>
          </w:tcPr>
          <w:p/>
        </w:tc>
      </w:tr>
      <w:tr>
        <w:trPr>
          <w:trHeight w:hRule="exact" w:val="112"/>
        </w:trPr>
        <w:tc>
          <w:tcPr>
            <w:tcW w:type="dxa" w:w="1617"/>
            <w:vMerge/>
            <w:tcBorders/>
          </w:tcPr>
          <w:p/>
        </w:tc>
        <w:tc>
          <w:tcPr>
            <w:tcW w:type="dxa" w:w="1617"/>
            <w:vMerge/>
            <w:tcBorders/>
          </w:tcPr>
          <w:p/>
        </w:tc>
        <w:tc>
          <w:tcPr>
            <w:tcW w:type="dxa" w:w="1617"/>
            <w:vMerge/>
            <w:tcBorders/>
          </w:tcPr>
          <w:p/>
        </w:tc>
        <w:tc>
          <w:tcPr>
            <w:tcW w:type="dxa" w:w="3234"/>
            <w:gridSpan w:val="2"/>
            <w:vMerge/>
            <w:tcBorders/>
          </w:tcPr>
          <w:p/>
        </w:tc>
        <w:tc>
          <w:tcPr>
            <w:tcW w:type="dxa" w:w="9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128" w:after="0"/>
              <w:ind w:left="84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6"/>
              </w:rPr>
              <w:t>50</w:t>
            </w:r>
          </w:p>
        </w:tc>
      </w:tr>
      <w:tr>
        <w:trPr>
          <w:trHeight w:hRule="exact" w:val="196"/>
        </w:trPr>
        <w:tc>
          <w:tcPr>
            <w:tcW w:type="dxa" w:w="398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exact" w:before="0" w:after="0"/>
              <w:ind w:left="544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6"/>
              </w:rPr>
              <w:t xml:space="preserve">3.1B   STUDY SUMMARIES </w:t>
            </w:r>
          </w:p>
        </w:tc>
        <w:tc>
          <w:tcPr>
            <w:tcW w:type="dxa" w:w="10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0" w:after="0"/>
              <w:ind w:left="124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6"/>
              </w:rPr>
              <w:t>33</w:t>
            </w:r>
          </w:p>
        </w:tc>
        <w:tc>
          <w:tcPr>
            <w:tcW w:type="dxa" w:w="4376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16" w:after="0"/>
              <w:ind w:left="0" w:right="1098" w:firstLine="0"/>
              <w:jc w:val="righ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6"/>
              </w:rPr>
              <w:t xml:space="preserve">EXCHANGE GUIDANCE </w:t>
            </w:r>
          </w:p>
        </w:tc>
        <w:tc>
          <w:tcPr>
            <w:tcW w:type="dxa" w:w="1617"/>
            <w:vMerge/>
            <w:tcBorders/>
          </w:tcPr>
          <w:p/>
        </w:tc>
      </w:tr>
      <w:tr>
        <w:trPr>
          <w:trHeight w:hRule="exact" w:val="42"/>
        </w:trPr>
        <w:tc>
          <w:tcPr>
            <w:tcW w:type="dxa" w:w="3984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exact" w:before="32" w:after="0"/>
              <w:ind w:left="544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6"/>
              </w:rPr>
              <w:t xml:space="preserve">3.2B   EVIDENCE TABLES </w:t>
            </w:r>
          </w:p>
        </w:tc>
        <w:tc>
          <w:tcPr>
            <w:tcW w:type="dxa" w:w="1064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30" w:after="0"/>
              <w:ind w:left="124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6"/>
              </w:rPr>
              <w:t>34</w:t>
            </w:r>
          </w:p>
        </w:tc>
        <w:tc>
          <w:tcPr>
            <w:tcW w:type="dxa" w:w="3234"/>
            <w:gridSpan w:val="2"/>
            <w:vMerge/>
            <w:tcBorders/>
          </w:tcPr>
          <w:p/>
        </w:tc>
        <w:tc>
          <w:tcPr>
            <w:tcW w:type="dxa" w:w="1617"/>
            <w:vMerge/>
            <w:tcBorders/>
          </w:tcPr>
          <w:p/>
        </w:tc>
      </w:tr>
      <w:tr>
        <w:trPr>
          <w:trHeight w:hRule="exact" w:val="104"/>
        </w:trPr>
        <w:tc>
          <w:tcPr>
            <w:tcW w:type="dxa" w:w="3234"/>
            <w:gridSpan w:val="2"/>
            <w:vMerge/>
            <w:tcBorders/>
          </w:tcPr>
          <w:p/>
        </w:tc>
        <w:tc>
          <w:tcPr>
            <w:tcW w:type="dxa" w:w="1617"/>
            <w:vMerge/>
            <w:tcBorders/>
          </w:tcPr>
          <w:p/>
        </w:tc>
        <w:tc>
          <w:tcPr>
            <w:tcW w:type="dxa" w:w="4376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10" w:after="0"/>
              <w:ind w:left="626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6"/>
              </w:rPr>
              <w:t xml:space="preserve">APPENDIX B   ADDITIONAL TERMS </w:t>
            </w:r>
          </w:p>
        </w:tc>
        <w:tc>
          <w:tcPr>
            <w:tcW w:type="dxa" w:w="1617"/>
            <w:vMerge/>
            <w:tcBorders/>
          </w:tcPr>
          <w:p/>
        </w:tc>
      </w:tr>
      <w:tr>
        <w:trPr>
          <w:trHeight w:hRule="exact" w:val="111"/>
        </w:trPr>
        <w:tc>
          <w:tcPr>
            <w:tcW w:type="dxa" w:w="3234"/>
            <w:gridSpan w:val="2"/>
            <w:vMerge/>
            <w:tcBorders/>
          </w:tcPr>
          <w:p/>
        </w:tc>
        <w:tc>
          <w:tcPr>
            <w:tcW w:type="dxa" w:w="1617"/>
            <w:vMerge/>
            <w:tcBorders/>
          </w:tcPr>
          <w:p/>
        </w:tc>
        <w:tc>
          <w:tcPr>
            <w:tcW w:type="dxa" w:w="3234"/>
            <w:gridSpan w:val="2"/>
            <w:vMerge/>
            <w:tcBorders/>
          </w:tcPr>
          <w:p/>
        </w:tc>
        <w:tc>
          <w:tcPr>
            <w:tcW w:type="dxa" w:w="9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108" w:after="0"/>
              <w:ind w:left="84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6"/>
              </w:rPr>
              <w:t>51</w:t>
            </w:r>
          </w:p>
        </w:tc>
      </w:tr>
      <w:tr>
        <w:trPr>
          <w:trHeight w:hRule="exact" w:val="203"/>
        </w:trPr>
        <w:tc>
          <w:tcPr>
            <w:tcW w:type="dxa" w:w="398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exact" w:before="0" w:after="0"/>
              <w:ind w:left="274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6"/>
              </w:rPr>
              <w:t xml:space="preserve">4.0B   ECONOMIC VALUE AND MODELING REPORT </w:t>
            </w:r>
          </w:p>
        </w:tc>
        <w:tc>
          <w:tcPr>
            <w:tcW w:type="dxa" w:w="10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0" w:after="0"/>
              <w:ind w:left="124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6"/>
              </w:rPr>
              <w:t>34</w:t>
            </w:r>
          </w:p>
        </w:tc>
        <w:tc>
          <w:tcPr>
            <w:tcW w:type="dxa" w:w="437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0" w:after="0"/>
              <w:ind w:left="0" w:right="1434" w:firstLine="0"/>
              <w:jc w:val="righ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6"/>
              </w:rPr>
              <w:t xml:space="preserve">AND DEFINITIONS </w:t>
            </w:r>
          </w:p>
        </w:tc>
        <w:tc>
          <w:tcPr>
            <w:tcW w:type="dxa" w:w="1617"/>
            <w:vMerge/>
            <w:tcBorders/>
          </w:tcPr>
          <w:p/>
        </w:tc>
      </w:tr>
      <w:tr>
        <w:trPr>
          <w:trHeight w:hRule="exact" w:val="252"/>
        </w:trPr>
        <w:tc>
          <w:tcPr>
            <w:tcW w:type="dxa" w:w="398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34" w:after="0"/>
              <w:ind w:left="544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6"/>
              </w:rPr>
              <w:t xml:space="preserve">4.1B   MODELING OVERVIEW </w:t>
            </w:r>
          </w:p>
        </w:tc>
        <w:tc>
          <w:tcPr>
            <w:tcW w:type="dxa" w:w="10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34" w:after="0"/>
              <w:ind w:left="124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6"/>
              </w:rPr>
              <w:t>34</w:t>
            </w:r>
          </w:p>
        </w:tc>
        <w:tc>
          <w:tcPr>
            <w:tcW w:type="dxa" w:w="437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exact" w:before="44" w:after="0"/>
              <w:ind w:left="626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6"/>
              </w:rPr>
              <w:t xml:space="preserve">APPENDIX C   SAMPLE UNSOLICITED </w:t>
            </w:r>
          </w:p>
        </w:tc>
        <w:tc>
          <w:tcPr>
            <w:tcW w:type="dxa" w:w="9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234" w:after="0"/>
              <w:ind w:left="84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6"/>
              </w:rPr>
              <w:t>54</w:t>
            </w:r>
          </w:p>
        </w:tc>
      </w:tr>
      <w:tr>
        <w:trPr>
          <w:trHeight w:hRule="exact" w:val="187"/>
        </w:trPr>
        <w:tc>
          <w:tcPr>
            <w:tcW w:type="dxa" w:w="3984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14" w:after="0"/>
              <w:ind w:left="544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6"/>
              </w:rPr>
              <w:t xml:space="preserve">4.2B   COST-EFFECTIVENESS ANALYSIS </w:t>
            </w:r>
          </w:p>
        </w:tc>
        <w:tc>
          <w:tcPr>
            <w:tcW w:type="dxa" w:w="1064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14" w:after="0"/>
              <w:ind w:left="124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6"/>
              </w:rPr>
              <w:t>36</w:t>
            </w:r>
          </w:p>
        </w:tc>
        <w:tc>
          <w:tcPr>
            <w:tcW w:type="dxa" w:w="437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exact" w:before="0" w:after="0"/>
              <w:ind w:left="0" w:right="1488" w:firstLine="0"/>
              <w:jc w:val="righ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6"/>
              </w:rPr>
              <w:t xml:space="preserve">REQUEST LETTER </w:t>
            </w:r>
          </w:p>
        </w:tc>
        <w:tc>
          <w:tcPr>
            <w:tcW w:type="dxa" w:w="1617"/>
            <w:vMerge/>
            <w:tcBorders/>
          </w:tcPr>
          <w:p/>
        </w:tc>
      </w:tr>
      <w:tr>
        <w:trPr>
          <w:trHeight w:hRule="exact" w:val="44"/>
        </w:trPr>
        <w:tc>
          <w:tcPr>
            <w:tcW w:type="dxa" w:w="3234"/>
            <w:gridSpan w:val="2"/>
            <w:vMerge/>
            <w:tcBorders/>
          </w:tcPr>
          <w:p/>
        </w:tc>
        <w:tc>
          <w:tcPr>
            <w:tcW w:type="dxa" w:w="1617"/>
            <w:vMerge/>
            <w:tcBorders/>
          </w:tcPr>
          <w:p/>
        </w:tc>
        <w:tc>
          <w:tcPr>
            <w:tcW w:type="dxa" w:w="4376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48" w:after="0"/>
              <w:ind w:left="626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6"/>
              </w:rPr>
              <w:t xml:space="preserve">APPENDIX D   FORMULARY MONOGRAPH </w:t>
            </w:r>
          </w:p>
        </w:tc>
        <w:tc>
          <w:tcPr>
            <w:tcW w:type="dxa" w:w="9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254" w:after="0"/>
              <w:ind w:left="84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6"/>
              </w:rPr>
              <w:t>55</w:t>
            </w:r>
          </w:p>
        </w:tc>
      </w:tr>
      <w:tr>
        <w:trPr>
          <w:trHeight w:hRule="exact" w:val="222"/>
        </w:trPr>
        <w:tc>
          <w:tcPr>
            <w:tcW w:type="dxa" w:w="398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14" w:after="0"/>
              <w:ind w:left="544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6"/>
              </w:rPr>
              <w:t xml:space="preserve">4.3B   BUDGET IMPACT MODEL </w:t>
            </w:r>
          </w:p>
        </w:tc>
        <w:tc>
          <w:tcPr>
            <w:tcW w:type="dxa" w:w="1064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14" w:after="0"/>
              <w:ind w:left="124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6"/>
              </w:rPr>
              <w:t>38</w:t>
            </w:r>
          </w:p>
        </w:tc>
        <w:tc>
          <w:tcPr>
            <w:tcW w:type="dxa" w:w="3234"/>
            <w:gridSpan w:val="2"/>
            <w:vMerge/>
            <w:tcBorders/>
          </w:tcPr>
          <w:p/>
        </w:tc>
        <w:tc>
          <w:tcPr>
            <w:tcW w:type="dxa" w:w="1617"/>
            <w:vMerge/>
            <w:tcBorders/>
          </w:tcPr>
          <w:p/>
        </w:tc>
      </w:tr>
      <w:tr>
        <w:trPr>
          <w:trHeight w:hRule="exact" w:val="214"/>
        </w:trPr>
        <w:tc>
          <w:tcPr>
            <w:tcW w:type="dxa" w:w="398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8" w:after="0"/>
              <w:ind w:left="544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6"/>
              </w:rPr>
              <w:t xml:space="preserve">4.4B   MODELING REPORT AND </w:t>
            </w:r>
          </w:p>
        </w:tc>
        <w:tc>
          <w:tcPr>
            <w:tcW w:type="dxa" w:w="1617"/>
            <w:vMerge/>
            <w:tcBorders/>
          </w:tcPr>
          <w:p/>
        </w:tc>
        <w:tc>
          <w:tcPr>
            <w:tcW w:type="dxa" w:w="437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exact" w:before="0" w:after="0"/>
              <w:ind w:left="0" w:right="1964" w:firstLine="0"/>
              <w:jc w:val="righ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6"/>
              </w:rPr>
              <w:t xml:space="preserve">TEMPLATE </w:t>
            </w:r>
          </w:p>
        </w:tc>
        <w:tc>
          <w:tcPr>
            <w:tcW w:type="dxa" w:w="1617"/>
            <w:vMerge/>
            <w:tcBorders/>
          </w:tcPr>
          <w:p/>
        </w:tc>
      </w:tr>
      <w:tr>
        <w:trPr>
          <w:trHeight w:hRule="exact" w:val="280"/>
        </w:trPr>
        <w:tc>
          <w:tcPr>
            <w:tcW w:type="dxa" w:w="398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12" w:after="0"/>
              <w:ind w:left="956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6"/>
              </w:rPr>
              <w:t xml:space="preserve">INTERACTIVE MODEL </w:t>
            </w:r>
          </w:p>
        </w:tc>
        <w:tc>
          <w:tcPr>
            <w:tcW w:type="dxa" w:w="10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12" w:after="0"/>
              <w:ind w:left="124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6"/>
              </w:rPr>
              <w:t>39</w:t>
            </w:r>
          </w:p>
        </w:tc>
        <w:tc>
          <w:tcPr>
            <w:tcW w:type="dxa" w:w="437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2" w:lineRule="exact" w:before="8" w:after="0"/>
              <w:ind w:left="356" w:right="0" w:firstLine="0"/>
              <w:jc w:val="left"/>
            </w:pPr>
            <w:r>
              <w:rPr>
                <w:rFonts w:ascii="Asap" w:hAnsi="Asap" w:eastAsia="Asap"/>
                <w:b/>
                <w:i w:val="0"/>
                <w:color w:val="6C146B"/>
                <w:sz w:val="16"/>
              </w:rPr>
              <w:t xml:space="preserve">REFERENCES </w:t>
            </w:r>
          </w:p>
        </w:tc>
        <w:tc>
          <w:tcPr>
            <w:tcW w:type="dxa" w:w="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10" w:after="0"/>
              <w:ind w:left="84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6"/>
              </w:rPr>
              <w:t>60</w:t>
            </w:r>
          </w:p>
        </w:tc>
      </w:tr>
    </w:tbl>
    <w:p>
      <w:pPr>
        <w:autoSpaceDN w:val="0"/>
        <w:autoSpaceDE w:val="0"/>
        <w:widowControl/>
        <w:spacing w:line="186" w:lineRule="exact" w:before="318" w:after="0"/>
        <w:ind w:left="0" w:right="742" w:firstLine="0"/>
        <w:jc w:val="right"/>
      </w:pPr>
      <w:r>
        <w:rPr>
          <w:rFonts w:ascii="Asap" w:hAnsi="Asap" w:eastAsia="Asap"/>
          <w:b w:val="0"/>
          <w:i w:val="0"/>
          <w:color w:val="474C55"/>
          <w:sz w:val="14"/>
        </w:rPr>
        <w:t>Vol. 30, No. 4-b</w:t>
      </w:r>
      <w:r>
        <w:rPr>
          <w:rFonts w:ascii="Asap" w:hAnsi="Asap" w:eastAsia="Asap"/>
          <w:b w:val="0"/>
          <w:i w:val="0"/>
          <w:color w:val="474C55"/>
          <w:sz w:val="14"/>
        </w:rPr>
        <w:t>|</w:t>
      </w:r>
      <w:r>
        <w:rPr>
          <w:rFonts w:ascii="Asap" w:hAnsi="Asap" w:eastAsia="Asap"/>
          <w:b w:val="0"/>
          <w:i w:val="0"/>
          <w:color w:val="474C55"/>
          <w:sz w:val="14"/>
        </w:rPr>
        <w:t>April 2024</w:t>
      </w:r>
      <w:r>
        <w:rPr>
          <w:rFonts w:ascii="Asap" w:hAnsi="Asap" w:eastAsia="Asap"/>
          <w:b w:val="0"/>
          <w:i w:val="0"/>
          <w:color w:val="474C55"/>
          <w:sz w:val="14"/>
        </w:rPr>
        <w:t>|</w:t>
      </w:r>
      <w:r>
        <w:rPr>
          <w:rFonts w:ascii="Asap" w:hAnsi="Asap" w:eastAsia="Asap"/>
          <w:b/>
          <w:i w:val="0"/>
          <w:color w:val="14377D"/>
          <w:sz w:val="14"/>
        </w:rPr>
        <w:t xml:space="preserve"> JMCP</w:t>
      </w:r>
      <w:r>
        <w:rPr>
          <w:rFonts w:ascii="Asap" w:hAnsi="Asap" w:eastAsia="Asap"/>
          <w:b w:val="0"/>
          <w:i w:val="0"/>
          <w:color w:val="14377D"/>
          <w:sz w:val="14"/>
        </w:rPr>
        <w:t>.org</w:t>
      </w:r>
    </w:p>
    <w:p>
      <w:pPr>
        <w:sectPr>
          <w:pgSz w:w="11880" w:h="15660"/>
          <w:pgMar w:top="220" w:right="0" w:bottom="266" w:left="73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894"/>
        <w:gridCol w:w="4894"/>
      </w:tblGrid>
      <w:tr>
        <w:trPr>
          <w:trHeight w:hRule="exact" w:val="362"/>
        </w:trPr>
        <w:tc>
          <w:tcPr>
            <w:tcW w:type="dxa" w:w="1094"/>
            <w:tcBorders/>
            <w:shd w:fill="6b146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4" w:after="0"/>
              <w:ind w:left="0" w:right="90" w:firstLine="0"/>
              <w:jc w:val="right"/>
            </w:pPr>
            <w:r>
              <w:rPr>
                <w:rFonts w:ascii="Asap" w:hAnsi="Asap" w:eastAsia="Asap"/>
                <w:b/>
                <w:i w:val="0"/>
                <w:color w:val="FFFFFF"/>
                <w:sz w:val="18"/>
              </w:rPr>
              <w:t>4</w:t>
            </w:r>
          </w:p>
        </w:tc>
        <w:tc>
          <w:tcPr>
            <w:tcW w:type="dxa" w:w="586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4" w:after="0"/>
              <w:ind w:left="90" w:right="0" w:firstLine="0"/>
              <w:jc w:val="left"/>
            </w:pPr>
            <w:r>
              <w:rPr>
                <w:rFonts w:ascii="Asap" w:hAnsi="Asap" w:eastAsia="Asap"/>
                <w:b/>
                <w:i w:val="0"/>
                <w:color w:val="474C55"/>
                <w:sz w:val="18"/>
              </w:rPr>
              <w:t>AMCP FORMAT 5.0</w:t>
            </w:r>
          </w:p>
        </w:tc>
      </w:tr>
    </w:tbl>
    <w:p>
      <w:pPr>
        <w:autoSpaceDN w:val="0"/>
        <w:autoSpaceDE w:val="0"/>
        <w:widowControl/>
        <w:spacing w:line="14" w:lineRule="exact" w:before="0" w:after="902"/>
        <w:ind w:left="0" w:right="0"/>
      </w:pPr>
    </w:p>
    <w:p>
      <w:pPr>
        <w:sectPr>
          <w:pgSz w:w="11880" w:h="15660"/>
          <w:pgMar w:top="360" w:right="652" w:bottom="266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622" w:lineRule="exact" w:before="0" w:after="0"/>
        <w:ind w:left="718" w:right="0" w:firstLine="0"/>
        <w:jc w:val="left"/>
      </w:pPr>
      <w:r>
        <w:rPr>
          <w:rFonts w:ascii="Asap" w:hAnsi="Asap" w:eastAsia="Asap"/>
          <w:b w:val="0"/>
          <w:i w:val="0"/>
          <w:color w:val="14377D"/>
          <w:sz w:val="48"/>
        </w:rPr>
        <w:t>Acknowledgments</w:t>
      </w:r>
    </w:p>
    <w:p>
      <w:pPr>
        <w:autoSpaceDN w:val="0"/>
        <w:autoSpaceDE w:val="0"/>
        <w:widowControl/>
        <w:spacing w:line="245" w:lineRule="auto" w:before="132" w:after="0"/>
        <w:ind w:left="720" w:right="144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AMCP acknowledges the contributions of many individuals </w:t>
      </w:r>
      <w:r>
        <w:rPr>
          <w:rFonts w:ascii="Lora" w:hAnsi="Lora" w:eastAsia="Lora"/>
          <w:b w:val="0"/>
          <w:i w:val="0"/>
          <w:color w:val="000000"/>
          <w:sz w:val="18"/>
        </w:rPr>
        <w:t>who have devoted substantial time, expertise, and commit-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ment to the preparation of Version 5.0 of the AMCP Format </w:t>
      </w:r>
      <w:r>
        <w:rPr>
          <w:rFonts w:ascii="Lora" w:hAnsi="Lora" w:eastAsia="Lora"/>
          <w:b w:val="0"/>
          <w:i w:val="0"/>
          <w:color w:val="000000"/>
          <w:sz w:val="18"/>
        </w:rPr>
        <w:t>for Formulary Submissions.</w:t>
      </w:r>
    </w:p>
    <w:p>
      <w:pPr>
        <w:autoSpaceDN w:val="0"/>
        <w:autoSpaceDE w:val="0"/>
        <w:widowControl/>
        <w:spacing w:line="360" w:lineRule="exact" w:before="216" w:after="0"/>
        <w:ind w:left="720" w:right="288" w:firstLine="0"/>
        <w:jc w:val="left"/>
      </w:pPr>
      <w:r>
        <w:rPr>
          <w:rFonts w:ascii="Asap" w:hAnsi="Asap" w:eastAsia="Asap"/>
          <w:b/>
          <w:i w:val="0"/>
          <w:color w:val="6C146B"/>
          <w:sz w:val="32"/>
        </w:rPr>
        <w:t xml:space="preserve">Contributors from the AMCP </w:t>
      </w:r>
      <w:r>
        <w:br/>
      </w:r>
      <w:r>
        <w:rPr>
          <w:rFonts w:ascii="Asap" w:hAnsi="Asap" w:eastAsia="Asap"/>
          <w:b/>
          <w:i w:val="0"/>
          <w:color w:val="6C146B"/>
          <w:sz w:val="32"/>
        </w:rPr>
        <w:t xml:space="preserve">Format for Formulary Submissions </w:t>
      </w:r>
      <w:r>
        <w:rPr>
          <w:rFonts w:ascii="Asap" w:hAnsi="Asap" w:eastAsia="Asap"/>
          <w:b/>
          <w:i w:val="0"/>
          <w:color w:val="6C146B"/>
          <w:sz w:val="32"/>
        </w:rPr>
        <w:t>Committee</w:t>
      </w:r>
    </w:p>
    <w:p>
      <w:pPr>
        <w:autoSpaceDN w:val="0"/>
        <w:tabs>
          <w:tab w:pos="1180" w:val="left"/>
        </w:tabs>
        <w:autoSpaceDE w:val="0"/>
        <w:widowControl/>
        <w:spacing w:line="245" w:lineRule="auto" w:before="82" w:after="0"/>
        <w:ind w:left="960" w:right="144" w:firstLine="0"/>
        <w:jc w:val="left"/>
      </w:pPr>
      <w:r>
        <w:rPr>
          <w:rFonts w:ascii="Lora" w:hAnsi="Lora" w:eastAsia="Lora"/>
          <w:b/>
          <w:i w:val="0"/>
          <w:color w:val="000000"/>
          <w:sz w:val="18"/>
        </w:rPr>
        <w:t xml:space="preserve">2023–2024 Committee Members 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Sherry Andes, PharmD, RPh, BCPS, BCACP, BCPP, BCGP,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PAHM, FAMCP, Chair 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Elizabeth L. Brusig, PharmD, MBA, FAMCP 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Kevin Chang, PharmD, BCPS 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Timothy Chiu, PharmD, BCPS 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Elizabeth Hill, PharmD, MBA, former AMCP Staff Liaison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Adam Hoye-Simek, PharmD, CDCES, RPh 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Steven Kheloussi, PharmD, MBA, FAMCP, AMCP </w:t>
      </w:r>
      <w:r>
        <w:br/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Staff Liaison 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Stephen J. Kogut, PhD, MBA, RPh 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Jeff Lee, PharmD, FCCP 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Beth A. Lesher, PharmD, BCPS 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Dara Katcher Levy, JD 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Aimee Loucks, PharmD, BCPS, CPHQ 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Jennifer L. Mathieu, AMCP Interim Staff Liaison 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Kristen Patti, PharmD 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Alex Peaslee, PharmD 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C.E. (Gene) Reeder, PhD 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Annie Schuster, PharmD, FAMCP, AMCP Board Liaison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Sheetal Sheth, PharmD, BCOP 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Jonathan Toft, PharmD, MBA 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Ellen Whipple, PharmD, BSPharm, Vice Chair 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>Mark Wrobel, PharmD</w:t>
      </w:r>
    </w:p>
    <w:p>
      <w:pPr>
        <w:autoSpaceDN w:val="0"/>
        <w:tabs>
          <w:tab w:pos="1180" w:val="left"/>
        </w:tabs>
        <w:autoSpaceDE w:val="0"/>
        <w:widowControl/>
        <w:spacing w:line="245" w:lineRule="auto" w:before="134" w:after="0"/>
        <w:ind w:left="960" w:right="144" w:firstLine="0"/>
        <w:jc w:val="left"/>
      </w:pPr>
      <w:r>
        <w:rPr>
          <w:rFonts w:ascii="Lora" w:hAnsi="Lora" w:eastAsia="Lora"/>
          <w:b/>
          <w:i w:val="0"/>
          <w:color w:val="000000"/>
          <w:sz w:val="18"/>
        </w:rPr>
        <w:t xml:space="preserve">2022-2023 Committee Members 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Sherry Andes, PharmD, RPh, BCPS, BCACP, BCPP, BCGP,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PAHM, FAMCP, Chair 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Kevin Chang, PharmD, BCPS 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Timothy Chiu, PharmD, BCPS 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Jessica Daw, PharmD, MBA, AMCP Board Liaison 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Raulo Frear, PharmD 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Jennifer Graff, PharmD, former AMCP Staff Liaison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Elizabeth Hill, PharmD, MBA, former AMCP Staff Liaison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Adam Hoye-Simek, PharmD, CDCES, RPh 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Stephen J. Kogut, PhD, MBA, RPh 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Jeff Lee, PharmD, FCCP 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Beth A. Lesher, PharmD, BCPS 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>Dara Katcher Levy, JD</w:t>
      </w:r>
    </w:p>
    <w:p>
      <w:pPr>
        <w:autoSpaceDN w:val="0"/>
        <w:autoSpaceDE w:val="0"/>
        <w:widowControl/>
        <w:spacing w:line="186" w:lineRule="exact" w:before="532" w:after="0"/>
        <w:ind w:left="740" w:right="0" w:firstLine="0"/>
        <w:jc w:val="left"/>
      </w:pPr>
      <w:r>
        <w:rPr>
          <w:rFonts w:ascii="Asap" w:hAnsi="Asap" w:eastAsia="Asap"/>
          <w:b/>
          <w:i w:val="0"/>
          <w:color w:val="14377D"/>
          <w:sz w:val="14"/>
        </w:rPr>
        <w:t>JMCP</w:t>
      </w:r>
      <w:r>
        <w:rPr>
          <w:rFonts w:ascii="Asap" w:hAnsi="Asap" w:eastAsia="Asap"/>
          <w:b w:val="0"/>
          <w:i w:val="0"/>
          <w:color w:val="14377D"/>
          <w:sz w:val="14"/>
        </w:rPr>
        <w:t>.org</w:t>
      </w:r>
      <w:r>
        <w:rPr>
          <w:rFonts w:ascii="Asap" w:hAnsi="Asap" w:eastAsia="Asap"/>
          <w:b w:val="0"/>
          <w:i w:val="0"/>
          <w:color w:val="474C55"/>
          <w:sz w:val="14"/>
        </w:rPr>
        <w:t>|</w:t>
      </w:r>
      <w:r>
        <w:rPr>
          <w:rFonts w:ascii="Asap" w:hAnsi="Asap" w:eastAsia="Asap"/>
          <w:b w:val="0"/>
          <w:i w:val="0"/>
          <w:color w:val="474C55"/>
          <w:sz w:val="14"/>
        </w:rPr>
        <w:t>April 2024</w:t>
      </w:r>
      <w:r>
        <w:rPr>
          <w:rFonts w:ascii="Asap" w:hAnsi="Asap" w:eastAsia="Asap"/>
          <w:b w:val="0"/>
          <w:i w:val="0"/>
          <w:color w:val="474C55"/>
          <w:sz w:val="14"/>
        </w:rPr>
        <w:t>|</w:t>
      </w:r>
      <w:r>
        <w:rPr>
          <w:rFonts w:ascii="Asap" w:hAnsi="Asap" w:eastAsia="Asap"/>
          <w:b w:val="0"/>
          <w:i w:val="0"/>
          <w:color w:val="474C55"/>
          <w:sz w:val="14"/>
        </w:rPr>
        <w:t>Vol. 30, No. 4-B</w:t>
      </w:r>
    </w:p>
    <w:p>
      <w:pPr>
        <w:sectPr>
          <w:type w:val="continuous"/>
          <w:pgSz w:w="11880" w:h="15660"/>
          <w:pgMar w:top="360" w:right="652" w:bottom="266" w:left="0" w:header="720" w:footer="720" w:gutter="0"/>
          <w:cols w:num="2" w:equalWidth="0">
            <w:col w:w="5964" w:space="0"/>
            <w:col w:w="5264" w:space="0"/>
          </w:cols>
          <w:docGrid w:linePitch="360"/>
        </w:sectPr>
      </w:pPr>
    </w:p>
    <w:p>
      <w:pPr>
        <w:autoSpaceDN w:val="0"/>
        <w:autoSpaceDE w:val="0"/>
        <w:widowControl/>
        <w:spacing w:line="245" w:lineRule="auto" w:before="0" w:after="0"/>
        <w:ind w:left="396" w:right="864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Aimee Loucks, PharmD, BCPS, CPHQ 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Alex Peaslee, PharmD 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Tom Peddicord, PharmD 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C.E. (Gene) Reeder, PhD 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Patricia Thornewell, PharmD 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Jonathan Toft, PharmD, MBA 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Ellen Whipple, PharmD, BS Pharm, Vice Chair </w:t>
      </w:r>
      <w:r>
        <w:rPr>
          <w:rFonts w:ascii="Lora" w:hAnsi="Lora" w:eastAsia="Lora"/>
          <w:b w:val="0"/>
          <w:i w:val="0"/>
          <w:color w:val="000000"/>
          <w:sz w:val="18"/>
        </w:rPr>
        <w:t>Mark Wrobel, PharmD</w:t>
      </w:r>
    </w:p>
    <w:p>
      <w:pPr>
        <w:autoSpaceDN w:val="0"/>
        <w:tabs>
          <w:tab w:pos="616" w:val="left"/>
        </w:tabs>
        <w:autoSpaceDE w:val="0"/>
        <w:widowControl/>
        <w:spacing w:line="245" w:lineRule="auto" w:before="134" w:after="0"/>
        <w:ind w:left="396" w:right="0" w:firstLine="0"/>
        <w:jc w:val="left"/>
      </w:pPr>
      <w:r>
        <w:rPr>
          <w:rFonts w:ascii="Lora" w:hAnsi="Lora" w:eastAsia="Lora"/>
          <w:b/>
          <w:i w:val="0"/>
          <w:color w:val="000000"/>
          <w:sz w:val="18"/>
        </w:rPr>
        <w:t xml:space="preserve">2021–2022 Committee Members 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Sherry Andes, PharmD, RPh, BCPS, BCACP, BCPP, BCGP,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PAHM, FAMCP, Vice Chair 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Lisa Cashman, PharmD, Chair 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Kevin Chang, PharmD, BCPS 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Raulo Frear, PharmD 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Pat Gleason, PharmD, BCPS, FCCP, FAMCP, </w:t>
      </w:r>
      <w:r>
        <w:br/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AMCP Board Liaison 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Cindy Giambrone, PharmD 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Jennifer Graff, PharmD, former AMCP Staff Liaison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Beth A. Lesher, PharmD, BCPS 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Dara Katcher Levy, JD 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Amy Lugo, PharmD, BCPS, BC-ADM, FAPhA 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Pete Penna, PharmD, Observer 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Aracelis Rivera, PharmD, CPBS 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Patricia Thornewell, PharmD 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Ellen Whipple, PharmD, BSPharm 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>Stephanie Yu, PharmD, MS</w:t>
      </w:r>
    </w:p>
    <w:p>
      <w:pPr>
        <w:autoSpaceDN w:val="0"/>
        <w:autoSpaceDE w:val="0"/>
        <w:widowControl/>
        <w:spacing w:line="245" w:lineRule="auto" w:before="152" w:after="0"/>
        <w:ind w:left="156" w:right="20" w:firstLine="180"/>
        <w:jc w:val="both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AMCP Format 5.0 was updated by the AMCP Format for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Formulary Submissions Committee. Work was initiated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by the 2021-2022 Committee, continued by the 2022-2023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Committee, and completed by the 2023-2024 Committee.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The update process included a public comment period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during which time stakeholders from the pharmaceutical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industry—payers, academics, consultants, and professional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associations—submitted comments. </w:t>
      </w:r>
    </w:p>
    <w:p>
      <w:pPr>
        <w:autoSpaceDN w:val="0"/>
        <w:autoSpaceDE w:val="0"/>
        <w:widowControl/>
        <w:spacing w:line="245" w:lineRule="auto" w:before="0" w:after="0"/>
        <w:ind w:left="156" w:right="20" w:firstLine="180"/>
        <w:jc w:val="both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AMCP and the Format for Formulary Submissions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Committee wish to recognize Sean D. Sullivan, BSc Pharm,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PhD, and Richard N. Fry, RPh, for their long-standing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leadership and key contributions to previous versions of the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AMCP Format. AMCP also acknowledges the following for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their contributions to this revision: 2023-2024 AMCP Digital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Therapeutics Advisory Group; Dave Veenstra, PharmD, PhD;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Cate Lockhart, PharmD, PhD; and Adam Colborn, JD. </w:t>
      </w:r>
    </w:p>
    <w:p>
      <w:pPr>
        <w:sectPr>
          <w:type w:val="nextColumn"/>
          <w:pgSz w:w="11880" w:h="15660"/>
          <w:pgMar w:top="360" w:right="652" w:bottom="266" w:left="0" w:header="720" w:footer="720" w:gutter="0"/>
          <w:cols w:num="2" w:equalWidth="0">
            <w:col w:w="5964" w:space="0"/>
            <w:col w:w="5264" w:space="0"/>
          </w:cols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220.0" w:type="dxa"/>
      </w:tblPr>
      <w:tblGrid>
        <w:gridCol w:w="4860"/>
        <w:gridCol w:w="4860"/>
      </w:tblGrid>
      <w:tr>
        <w:trPr>
          <w:trHeight w:hRule="exact" w:val="362"/>
        </w:trPr>
        <w:tc>
          <w:tcPr>
            <w:tcW w:type="dxa" w:w="584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4" w:after="0"/>
              <w:ind w:left="0" w:right="90" w:firstLine="0"/>
              <w:jc w:val="right"/>
            </w:pPr>
            <w:r>
              <w:rPr>
                <w:rFonts w:ascii="Asap" w:hAnsi="Asap" w:eastAsia="Asap"/>
                <w:b/>
                <w:i w:val="0"/>
                <w:color w:val="474C55"/>
                <w:sz w:val="18"/>
              </w:rPr>
              <w:t>AMCP FORMAT 5.0</w:t>
            </w:r>
          </w:p>
        </w:tc>
        <w:tc>
          <w:tcPr>
            <w:tcW w:type="dxa" w:w="1094"/>
            <w:tcBorders/>
            <w:shd w:fill="6b146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72" w:after="0"/>
              <w:ind w:left="90" w:right="0" w:firstLine="0"/>
              <w:jc w:val="left"/>
            </w:pPr>
            <w:r>
              <w:rPr>
                <w:rFonts w:ascii="Asap" w:hAnsi="Asap" w:eastAsia="Asap"/>
                <w:b/>
                <w:i w:val="0"/>
                <w:color w:val="FFFFFF"/>
                <w:sz w:val="18"/>
              </w:rPr>
              <w:t>5</w:t>
            </w:r>
          </w:p>
        </w:tc>
      </w:tr>
    </w:tbl>
    <w:p>
      <w:pPr>
        <w:autoSpaceDN w:val="0"/>
        <w:autoSpaceDE w:val="0"/>
        <w:widowControl/>
        <w:spacing w:line="14" w:lineRule="exact" w:before="0" w:after="902"/>
        <w:ind w:left="0" w:right="0"/>
      </w:pPr>
    </w:p>
    <w:p>
      <w:pPr>
        <w:sectPr>
          <w:pgSz w:w="11880" w:h="15660"/>
          <w:pgMar w:top="360" w:right="0" w:bottom="266" w:left="72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622" w:lineRule="exact" w:before="0" w:after="0"/>
        <w:ind w:left="0" w:right="0" w:firstLine="0"/>
        <w:jc w:val="left"/>
      </w:pPr>
      <w:r>
        <w:rPr>
          <w:rFonts w:ascii="Asap" w:hAnsi="Asap" w:eastAsia="Asap"/>
          <w:b w:val="0"/>
          <w:i w:val="0"/>
          <w:color w:val="14377D"/>
          <w:sz w:val="48"/>
        </w:rPr>
        <w:t>Publisher’s Note</w:t>
      </w:r>
    </w:p>
    <w:p>
      <w:pPr>
        <w:autoSpaceDN w:val="0"/>
        <w:autoSpaceDE w:val="0"/>
        <w:widowControl/>
        <w:spacing w:line="245" w:lineRule="auto" w:before="192" w:after="0"/>
        <w:ind w:left="0" w:right="144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AMCP is pleased to provide this resource to its members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and other stakeholders. As with previous versions of the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AMCP </w:t>
      </w:r>
      <w:r>
        <w:rPr>
          <w:rFonts w:ascii="Lora" w:hAnsi="Lora" w:eastAsia="Lora"/>
          <w:b w:val="0"/>
          <w:i/>
          <w:color w:val="000000"/>
          <w:sz w:val="18"/>
        </w:rPr>
        <w:t>Format for Formulary Submissions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 (AMCP </w:t>
      </w:r>
      <w:r>
        <w:rPr>
          <w:rFonts w:ascii="Lora" w:hAnsi="Lora" w:eastAsia="Lora"/>
          <w:b w:val="0"/>
          <w:i/>
          <w:color w:val="000000"/>
          <w:sz w:val="18"/>
        </w:rPr>
        <w:t>Format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),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updates to product dossiers are recommended whenever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new information becomes available. However, the AMCP </w:t>
      </w:r>
      <w:r>
        <w:rPr>
          <w:rFonts w:ascii="Lora" w:hAnsi="Lora" w:eastAsia="Lora"/>
          <w:b w:val="0"/>
          <w:i w:val="0"/>
          <w:color w:val="000000"/>
          <w:sz w:val="18"/>
        </w:rPr>
        <w:t>Format is not a mandate and instead serves as guid-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ance to describe the information needs of health care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decision-makers. Development and use of dossiers are at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the discretion of the manufacturers and are subject to their </w:t>
      </w:r>
      <w:r>
        <w:rPr>
          <w:rFonts w:ascii="Lora" w:hAnsi="Lora" w:eastAsia="Lora"/>
          <w:b w:val="0"/>
          <w:i w:val="0"/>
          <w:color w:val="000000"/>
          <w:sz w:val="18"/>
        </w:rPr>
        <w:t>individual legal and regulatory compliance policies.</w:t>
      </w:r>
    </w:p>
    <w:p>
      <w:pPr>
        <w:autoSpaceDN w:val="0"/>
        <w:autoSpaceDE w:val="0"/>
        <w:widowControl/>
        <w:spacing w:line="622" w:lineRule="exact" w:before="188" w:after="0"/>
        <w:ind w:left="0" w:right="0" w:firstLine="0"/>
        <w:jc w:val="left"/>
      </w:pPr>
      <w:r>
        <w:rPr>
          <w:rFonts w:ascii="Asap" w:hAnsi="Asap" w:eastAsia="Asap"/>
          <w:b w:val="0"/>
          <w:i w:val="0"/>
          <w:color w:val="14377D"/>
          <w:sz w:val="48"/>
        </w:rPr>
        <w:t>Preface</w:t>
      </w:r>
    </w:p>
    <w:p>
      <w:pPr>
        <w:autoSpaceDN w:val="0"/>
        <w:autoSpaceDE w:val="0"/>
        <w:widowControl/>
        <w:spacing w:line="245" w:lineRule="auto" w:before="192" w:after="0"/>
        <w:ind w:left="0" w:right="144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The current need to evaluate and balance considerations </w:t>
      </w:r>
      <w:r>
        <w:rPr>
          <w:rFonts w:ascii="Lora" w:hAnsi="Lora" w:eastAsia="Lora"/>
          <w:b w:val="0"/>
          <w:i w:val="0"/>
          <w:color w:val="000000"/>
          <w:sz w:val="18"/>
        </w:rPr>
        <w:t>related to clinical benefits, cost-effectiveness, and afford-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ability has never been greater due to the development and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availability of new health technologies and treatments that </w:t>
      </w:r>
      <w:r>
        <w:rPr>
          <w:rFonts w:ascii="Lora" w:hAnsi="Lora" w:eastAsia="Lora"/>
          <w:b w:val="0"/>
          <w:i w:val="0"/>
          <w:color w:val="000000"/>
          <w:sz w:val="18"/>
        </w:rPr>
        <w:t>promise sustained durable effects and improved effective-</w:t>
      </w:r>
      <w:r>
        <w:rPr>
          <w:rFonts w:ascii="Lora" w:hAnsi="Lora" w:eastAsia="Lora"/>
          <w:b w:val="0"/>
          <w:i w:val="0"/>
          <w:color w:val="000000"/>
          <w:sz w:val="18"/>
        </w:rPr>
        <w:t>ness.</w:t>
      </w:r>
      <w:r>
        <w:rPr>
          <w:w w:val="104.94000434875488"/>
          <w:rFonts w:ascii="Lora" w:hAnsi="Lora" w:eastAsia="Lora"/>
          <w:b w:val="0"/>
          <w:i w:val="0"/>
          <w:color w:val="000000"/>
          <w:sz w:val="10"/>
        </w:rPr>
        <w:t>1,2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 Since its initial release in 2000, the AMCP Format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has provided a framework to advise manufacturers of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important evidence needed by health care decision-makers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(HCDMs) to evaluate new technologies for formulary and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coverage consideration. The AMCP Format has been the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basis for the development of dossiers by the industry to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share clinical and economic evidence and information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with HCDMs who make formulary and coverage decisions. </w:t>
      </w:r>
      <w:r>
        <w:rPr>
          <w:rFonts w:ascii="Lora" w:hAnsi="Lora" w:eastAsia="Lora"/>
          <w:b w:val="0"/>
          <w:i w:val="0"/>
          <w:color w:val="000000"/>
          <w:sz w:val="18"/>
        </w:rPr>
        <w:t>While other value assessment frameworks exist,</w:t>
      </w:r>
      <w:r>
        <w:rPr>
          <w:w w:val="104.94000434875488"/>
          <w:rFonts w:ascii="Lora" w:hAnsi="Lora" w:eastAsia="Lora"/>
          <w:b w:val="0"/>
          <w:i w:val="0"/>
          <w:color w:val="000000"/>
          <w:sz w:val="10"/>
        </w:rPr>
        <w:t>1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 the AMCP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Format is designed to provide a comprehensive evidence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framework that considers all sources of information for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formulary decision-making by HCDMs. Dossiers developed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and communicated based on the guidance in the AMCP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Format are not considered promotional communications;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rather, these dossiers are responsive to the needs of </w:t>
      </w:r>
      <w:r>
        <w:rPr>
          <w:rFonts w:ascii="Lora" w:hAnsi="Lora" w:eastAsia="Lora"/>
          <w:b w:val="0"/>
          <w:i w:val="0"/>
          <w:color w:val="000000"/>
          <w:sz w:val="18"/>
        </w:rPr>
        <w:t>HCDMs in carrying out their responsibilities for the selec-</w:t>
      </w:r>
      <w:r>
        <w:rPr>
          <w:rFonts w:ascii="Lora" w:hAnsi="Lora" w:eastAsia="Lora"/>
          <w:b w:val="0"/>
          <w:i w:val="0"/>
          <w:color w:val="000000"/>
          <w:sz w:val="18"/>
        </w:rPr>
        <w:t>tion of products for coverage or reimbursement.</w:t>
      </w:r>
    </w:p>
    <w:p>
      <w:pPr>
        <w:autoSpaceDN w:val="0"/>
        <w:tabs>
          <w:tab w:pos="180" w:val="left"/>
        </w:tabs>
        <w:autoSpaceDE w:val="0"/>
        <w:widowControl/>
        <w:spacing w:line="245" w:lineRule="auto" w:before="0" w:after="0"/>
        <w:ind w:left="0" w:right="144" w:firstLine="0"/>
        <w:jc w:val="left"/>
      </w:pP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In 2020, the AMCP Format for Formulary Submissions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Committee updated the AMCP Format to Version 4.1 to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focus and modernize the bidirectional communication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between manufacturers and HCDMs specifically as it relates </w:t>
      </w:r>
      <w:r>
        <w:rPr>
          <w:rFonts w:ascii="Lora" w:hAnsi="Lora" w:eastAsia="Lora"/>
          <w:b w:val="0"/>
          <w:i w:val="0"/>
          <w:color w:val="000000"/>
          <w:sz w:val="18"/>
        </w:rPr>
        <w:t>to communication of pre-approval information.</w:t>
      </w:r>
      <w:r>
        <w:rPr>
          <w:w w:val="104.94000434875488"/>
          <w:rFonts w:ascii="Lora" w:hAnsi="Lora" w:eastAsia="Lora"/>
          <w:b w:val="0"/>
          <w:i w:val="0"/>
          <w:color w:val="000000"/>
          <w:sz w:val="10"/>
        </w:rPr>
        <w:t xml:space="preserve">3 </w:t>
      </w:r>
      <w:r>
        <w:br/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The AMCP Format Version 5.0 provides guidance on </w:t>
      </w:r>
      <w:r>
        <w:rPr>
          <w:rFonts w:ascii="Lora" w:hAnsi="Lora" w:eastAsia="Lora"/>
          <w:b w:val="0"/>
          <w:i w:val="0"/>
          <w:color w:val="000000"/>
          <w:sz w:val="18"/>
        </w:rPr>
        <w:t>developing pre-approval information exchange (PIE) docu-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ments; addresses digital therapeutics (DTx), real-world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evidence, and health disparities; and encourages brevity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and streamlining of information throughout the dossier.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HCDMs need and are interested in receiving information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from manufacturers about products seeking but having not </w:t>
      </w:r>
    </w:p>
    <w:p>
      <w:pPr>
        <w:sectPr>
          <w:type w:val="continuous"/>
          <w:pgSz w:w="11880" w:h="15660"/>
          <w:pgMar w:top="360" w:right="0" w:bottom="266" w:left="720" w:header="720" w:footer="720" w:gutter="0"/>
          <w:cols w:num="2" w:equalWidth="0">
            <w:col w:w="5244" w:space="0"/>
            <w:col w:w="5916" w:space="0"/>
          </w:cols>
          <w:docGrid w:linePitch="360"/>
        </w:sectPr>
      </w:pPr>
    </w:p>
    <w:p>
      <w:pPr>
        <w:autoSpaceDN w:val="0"/>
        <w:autoSpaceDE w:val="0"/>
        <w:widowControl/>
        <w:spacing w:line="245" w:lineRule="auto" w:before="0" w:after="0"/>
        <w:ind w:left="156" w:right="576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yet received United States Food and Drug Administration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(FDA) approval (also known as pipeline or unapproved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products) and unapproved uses of approved products for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which FDA approval is being sought. This information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assists HCDMs with their plans and budgets for future </w:t>
      </w:r>
      <w:r>
        <w:rPr>
          <w:rFonts w:ascii="Lora" w:hAnsi="Lora" w:eastAsia="Lora"/>
          <w:b w:val="0"/>
          <w:i w:val="0"/>
          <w:color w:val="000000"/>
          <w:sz w:val="18"/>
        </w:rPr>
        <w:t>coverage and reimbursement decisions well before prod-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ucts and new uses are approved by the FDA. The FDA final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guidance “Drug and Device Manufacturer Communications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with Payors, Formulary Committees, and Similar Entities”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(FDA Final Guidance) released in June 2018 acknowledges </w:t>
      </w:r>
      <w:r>
        <w:rPr>
          <w:rFonts w:ascii="Lora" w:hAnsi="Lora" w:eastAsia="Lora"/>
          <w:b w:val="0"/>
          <w:i w:val="0"/>
          <w:color w:val="000000"/>
          <w:sz w:val="18"/>
        </w:rPr>
        <w:t>the needs of HCDMs to receive information about prod-</w:t>
      </w:r>
      <w:r>
        <w:rPr>
          <w:rFonts w:ascii="Lora" w:hAnsi="Lora" w:eastAsia="Lora"/>
          <w:b w:val="0"/>
          <w:i w:val="0"/>
          <w:color w:val="000000"/>
          <w:sz w:val="18"/>
        </w:rPr>
        <w:t>ucts in development.</w:t>
      </w:r>
      <w:r>
        <w:rPr>
          <w:w w:val="104.94000434875488"/>
          <w:rFonts w:ascii="Lora" w:hAnsi="Lora" w:eastAsia="Lora"/>
          <w:b w:val="0"/>
          <w:i w:val="0"/>
          <w:color w:val="000000"/>
          <w:sz w:val="10"/>
        </w:rPr>
        <w:t>3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 Although that guidance applies to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manufacturer communications that may otherwise be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considered “promotion,” the AMCP Format applies to the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development and communication of dossiers that  have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generally been considered responsive to HCDM needs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for evidence and information for population health care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decision-making. In December 2022, the Pre-Approval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Information Exchange Act of 2022 (PIE Act) was signed </w:t>
      </w:r>
      <w:r>
        <w:rPr>
          <w:rFonts w:ascii="Lora" w:hAnsi="Lora" w:eastAsia="Lora"/>
          <w:b w:val="0"/>
          <w:i w:val="0"/>
          <w:color w:val="000000"/>
          <w:sz w:val="18"/>
        </w:rPr>
        <w:t>into law.</w:t>
      </w:r>
      <w:r>
        <w:rPr>
          <w:w w:val="104.94000434875488"/>
          <w:rFonts w:ascii="Lora" w:hAnsi="Lora" w:eastAsia="Lora"/>
          <w:b w:val="0"/>
          <w:i w:val="0"/>
          <w:color w:val="000000"/>
          <w:sz w:val="10"/>
        </w:rPr>
        <w:t>4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 This legislation provided a clinical framework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by which pharmaceutical manufacturers could proactively </w:t>
      </w:r>
      <w:r>
        <w:rPr>
          <w:rFonts w:ascii="Lora" w:hAnsi="Lora" w:eastAsia="Lora"/>
          <w:b w:val="0"/>
          <w:i w:val="0"/>
          <w:color w:val="000000"/>
          <w:sz w:val="18"/>
        </w:rPr>
        <w:t>communicate pre-approval information to HCDMs.</w:t>
      </w:r>
    </w:p>
    <w:p>
      <w:pPr>
        <w:autoSpaceDN w:val="0"/>
        <w:autoSpaceDE w:val="0"/>
        <w:widowControl/>
        <w:spacing w:line="245" w:lineRule="auto" w:before="0" w:after="0"/>
        <w:ind w:left="156" w:right="672" w:firstLine="180"/>
        <w:jc w:val="both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AMCP encourages the use of dossiers based on the AMCP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Format Version 5.0 as a mechanism for manufacturers to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communicate information about unapproved products,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approved products, and unapproved uses of approved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products to HCDMs. Dossiers based on the AMCP Format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may serve as a continuously evolving source of objective,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credible, and relevant information during the development </w:t>
      </w:r>
      <w:r>
        <w:rPr>
          <w:rFonts w:ascii="Lora" w:hAnsi="Lora" w:eastAsia="Lora"/>
          <w:b w:val="0"/>
          <w:i w:val="0"/>
          <w:color w:val="000000"/>
          <w:sz w:val="18"/>
        </w:rPr>
        <w:t>and commercial life cycle of products.</w:t>
      </w:r>
    </w:p>
    <w:p>
      <w:pPr>
        <w:autoSpaceDN w:val="0"/>
        <w:tabs>
          <w:tab w:pos="336" w:val="left"/>
        </w:tabs>
        <w:autoSpaceDE w:val="0"/>
        <w:widowControl/>
        <w:spacing w:line="245" w:lineRule="auto" w:before="0" w:after="0"/>
        <w:ind w:left="156" w:right="576" w:firstLine="0"/>
        <w:jc w:val="left"/>
      </w:pP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To avoid confusion, throughout this document, the AMCP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Format for Formulary Submissions Committee has adopted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the terminology used in the FDA Final Guidance to describe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the approval status of a product or indication: unapproved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product, approved product, and unapproved use of an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approved product for which FDA approval is being sought.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For manufacturers of drug products that have been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selected for Medicare negotiation under the Inflation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Reduction Act, there may be portions of this document that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are useful for the provision of related information to the </w:t>
      </w:r>
      <w:r>
        <w:rPr>
          <w:rFonts w:ascii="Lora" w:hAnsi="Lora" w:eastAsia="Lora"/>
          <w:b w:val="0"/>
          <w:i w:val="0"/>
          <w:color w:val="000000"/>
          <w:sz w:val="18"/>
        </w:rPr>
        <w:t>Centers for Medicare &amp; Medicaid Services (CMS).</w:t>
      </w:r>
      <w:r>
        <w:rPr>
          <w:w w:val="104.94000434875488"/>
          <w:rFonts w:ascii="Lora" w:hAnsi="Lora" w:eastAsia="Lora"/>
          <w:b w:val="0"/>
          <w:i w:val="0"/>
          <w:color w:val="000000"/>
          <w:sz w:val="10"/>
        </w:rPr>
        <w:t>5</w:t>
      </w:r>
    </w:p>
    <w:p>
      <w:pPr>
        <w:autoSpaceDN w:val="0"/>
        <w:autoSpaceDE w:val="0"/>
        <w:widowControl/>
        <w:spacing w:line="186" w:lineRule="exact" w:before="2954" w:after="0"/>
        <w:ind w:left="0" w:right="742" w:firstLine="0"/>
        <w:jc w:val="right"/>
      </w:pPr>
      <w:r>
        <w:rPr>
          <w:rFonts w:ascii="Asap" w:hAnsi="Asap" w:eastAsia="Asap"/>
          <w:b w:val="0"/>
          <w:i w:val="0"/>
          <w:color w:val="474C55"/>
          <w:sz w:val="14"/>
        </w:rPr>
        <w:t>Vol. 30, No. 4-b</w:t>
      </w:r>
      <w:r>
        <w:rPr>
          <w:rFonts w:ascii="Asap" w:hAnsi="Asap" w:eastAsia="Asap"/>
          <w:b w:val="0"/>
          <w:i w:val="0"/>
          <w:color w:val="474C55"/>
          <w:sz w:val="14"/>
        </w:rPr>
        <w:t>|</w:t>
      </w:r>
      <w:r>
        <w:rPr>
          <w:rFonts w:ascii="Asap" w:hAnsi="Asap" w:eastAsia="Asap"/>
          <w:b w:val="0"/>
          <w:i w:val="0"/>
          <w:color w:val="474C55"/>
          <w:sz w:val="14"/>
        </w:rPr>
        <w:t>April 2024</w:t>
      </w:r>
      <w:r>
        <w:rPr>
          <w:rFonts w:ascii="Asap" w:hAnsi="Asap" w:eastAsia="Asap"/>
          <w:b w:val="0"/>
          <w:i w:val="0"/>
          <w:color w:val="474C55"/>
          <w:sz w:val="14"/>
        </w:rPr>
        <w:t>|</w:t>
      </w:r>
      <w:r>
        <w:rPr>
          <w:rFonts w:ascii="Asap" w:hAnsi="Asap" w:eastAsia="Asap"/>
          <w:b/>
          <w:i w:val="0"/>
          <w:color w:val="14377D"/>
          <w:sz w:val="14"/>
        </w:rPr>
        <w:t xml:space="preserve"> JMCP</w:t>
      </w:r>
      <w:r>
        <w:rPr>
          <w:rFonts w:ascii="Asap" w:hAnsi="Asap" w:eastAsia="Asap"/>
          <w:b w:val="0"/>
          <w:i w:val="0"/>
          <w:color w:val="14377D"/>
          <w:sz w:val="14"/>
        </w:rPr>
        <w:t>.org</w:t>
      </w:r>
    </w:p>
    <w:p>
      <w:pPr>
        <w:sectPr>
          <w:type w:val="nextColumn"/>
          <w:pgSz w:w="11880" w:h="15660"/>
          <w:pgMar w:top="360" w:right="0" w:bottom="266" w:left="720" w:header="720" w:footer="720" w:gutter="0"/>
          <w:cols w:num="2" w:equalWidth="0">
            <w:col w:w="5244" w:space="0"/>
            <w:col w:w="5916" w:space="0"/>
          </w:cols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894"/>
        <w:gridCol w:w="4894"/>
      </w:tblGrid>
      <w:tr>
        <w:trPr>
          <w:trHeight w:hRule="exact" w:val="382"/>
        </w:trPr>
        <w:tc>
          <w:tcPr>
            <w:tcW w:type="dxa" w:w="1094"/>
            <w:tcBorders/>
            <w:shd w:fill="6b146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4" w:after="0"/>
              <w:ind w:left="0" w:right="90" w:firstLine="0"/>
              <w:jc w:val="right"/>
            </w:pPr>
            <w:r>
              <w:rPr>
                <w:rFonts w:ascii="Asap" w:hAnsi="Asap" w:eastAsia="Asap"/>
                <w:b/>
                <w:i w:val="0"/>
                <w:color w:val="FFFFFF"/>
                <w:sz w:val="18"/>
              </w:rPr>
              <w:t>6</w:t>
            </w:r>
          </w:p>
        </w:tc>
        <w:tc>
          <w:tcPr>
            <w:tcW w:type="dxa" w:w="586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4" w:after="0"/>
              <w:ind w:left="90" w:right="0" w:firstLine="0"/>
              <w:jc w:val="left"/>
            </w:pPr>
            <w:r>
              <w:rPr>
                <w:rFonts w:ascii="Asap" w:hAnsi="Asap" w:eastAsia="Asap"/>
                <w:b/>
                <w:i w:val="0"/>
                <w:color w:val="474C55"/>
                <w:sz w:val="18"/>
              </w:rPr>
              <w:t>AMCP FORMAT 5.0</w:t>
            </w:r>
          </w:p>
        </w:tc>
      </w:tr>
    </w:tbl>
    <w:p>
      <w:pPr>
        <w:autoSpaceDN w:val="0"/>
        <w:autoSpaceDE w:val="0"/>
        <w:widowControl/>
        <w:spacing w:line="622" w:lineRule="exact" w:before="902" w:after="132"/>
        <w:ind w:left="718" w:right="0" w:firstLine="0"/>
        <w:jc w:val="left"/>
      </w:pPr>
      <w:r>
        <w:rPr>
          <w:rFonts w:ascii="Asap" w:hAnsi="Asap" w:eastAsia="Asap"/>
          <w:b w:val="0"/>
          <w:i w:val="0"/>
          <w:color w:val="14377D"/>
          <w:sz w:val="48"/>
        </w:rPr>
        <w:t>Role of the AMCP Format</w:t>
      </w:r>
    </w:p>
    <w:p>
      <w:pPr>
        <w:sectPr>
          <w:pgSz w:w="11880" w:h="15660"/>
          <w:pgMar w:top="360" w:right="652" w:bottom="266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45" w:lineRule="auto" w:before="0" w:after="0"/>
        <w:ind w:left="720" w:right="144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The evidentiary recommendations and guidelines outlined </w:t>
      </w:r>
      <w:r>
        <w:rPr>
          <w:rFonts w:ascii="Lora" w:hAnsi="Lora" w:eastAsia="Lora"/>
          <w:b w:val="0"/>
          <w:i w:val="0"/>
          <w:color w:val="000000"/>
          <w:sz w:val="18"/>
        </w:rPr>
        <w:t>in the AMCP Format are intended for use by manufactur-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ers to communicate clinical and economic evidence and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information to HCDMs who make or influence formulary,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coverage, policy, and reimbursement decisions for new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and existing products. The AMCP Format is guidance, not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 mandate. Manufacturers have final discretion on how to </w:t>
      </w:r>
      <w:r>
        <w:rPr>
          <w:rFonts w:ascii="Lora" w:hAnsi="Lora" w:eastAsia="Lora"/>
          <w:b w:val="0"/>
          <w:i w:val="0"/>
          <w:color w:val="000000"/>
          <w:sz w:val="18"/>
        </w:rPr>
        <w:t>communicate information for consideration by HCDMs.</w:t>
      </w:r>
    </w:p>
    <w:p>
      <w:pPr>
        <w:autoSpaceDN w:val="0"/>
        <w:tabs>
          <w:tab w:pos="900" w:val="left"/>
          <w:tab w:pos="1080" w:val="left"/>
        </w:tabs>
        <w:autoSpaceDE w:val="0"/>
        <w:widowControl/>
        <w:spacing w:line="245" w:lineRule="auto" w:before="0" w:after="0"/>
        <w:ind w:left="720" w:right="144" w:firstLine="0"/>
        <w:jc w:val="left"/>
      </w:pP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The AMCP Format supports the informed review, assess-</w:t>
      </w:r>
      <w:r>
        <w:rPr>
          <w:rFonts w:ascii="Lora" w:hAnsi="Lora" w:eastAsia="Lora"/>
          <w:b w:val="0"/>
          <w:i w:val="0"/>
          <w:color w:val="000000"/>
          <w:sz w:val="18"/>
        </w:rPr>
        <w:t>ment, selection, and payment of medical products by:</w:t>
      </w:r>
      <w:r>
        <w:br/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• Identifying the evidence needed for evaluating the </w:t>
      </w:r>
      <w:r>
        <w:tab/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clinical and economic value of medical products.</w:t>
      </w:r>
    </w:p>
    <w:p>
      <w:pPr>
        <w:autoSpaceDN w:val="0"/>
        <w:autoSpaceDE w:val="0"/>
        <w:widowControl/>
        <w:spacing w:line="245" w:lineRule="auto" w:before="0" w:after="0"/>
        <w:ind w:left="1080" w:right="144" w:hanging="18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• Standardizing the synthesis and organization of the </w:t>
      </w:r>
      <w:r>
        <w:rPr>
          <w:rFonts w:ascii="Lora" w:hAnsi="Lora" w:eastAsia="Lora"/>
          <w:b w:val="0"/>
          <w:i w:val="0"/>
          <w:color w:val="000000"/>
          <w:sz w:val="18"/>
        </w:rPr>
        <w:t>evidence and information in a concise living docu-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ment, known as the “AMCP dossier” or “product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dossier,” that evolves with the life cycle of the product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from the pre-approval phase through the post- </w:t>
      </w:r>
      <w:r>
        <w:rPr>
          <w:rFonts w:ascii="Lora" w:hAnsi="Lora" w:eastAsia="Lora"/>
          <w:b w:val="0"/>
          <w:i w:val="0"/>
          <w:color w:val="000000"/>
          <w:sz w:val="18"/>
        </w:rPr>
        <w:t>approval period.</w:t>
      </w:r>
    </w:p>
    <w:p>
      <w:pPr>
        <w:autoSpaceDN w:val="0"/>
        <w:autoSpaceDE w:val="0"/>
        <w:widowControl/>
        <w:spacing w:line="245" w:lineRule="auto" w:before="0" w:after="0"/>
        <w:ind w:left="1080" w:right="156" w:hanging="180"/>
        <w:jc w:val="both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• Establishing a framework for the provision of objective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and credible clinical and economic information needed </w:t>
      </w:r>
      <w:r>
        <w:rPr>
          <w:rFonts w:ascii="Lora" w:hAnsi="Lora" w:eastAsia="Lora"/>
          <w:b w:val="0"/>
          <w:i w:val="0"/>
          <w:color w:val="000000"/>
          <w:sz w:val="18"/>
        </w:rPr>
        <w:t>by HCDMs.</w:t>
      </w:r>
    </w:p>
    <w:p>
      <w:pPr>
        <w:autoSpaceDN w:val="0"/>
        <w:autoSpaceDE w:val="0"/>
        <w:widowControl/>
        <w:spacing w:line="245" w:lineRule="auto" w:before="0" w:after="0"/>
        <w:ind w:left="1080" w:right="156" w:hanging="180"/>
        <w:jc w:val="both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• Recommending economic analyses and models to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project the cost-effectiveness and budgetary impact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on the HCDM’s organization and its patient or member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population, as well as to assess the overall economic </w:t>
      </w:r>
      <w:r>
        <w:rPr>
          <w:rFonts w:ascii="Lora" w:hAnsi="Lora" w:eastAsia="Lora"/>
          <w:b w:val="0"/>
          <w:i w:val="0"/>
          <w:color w:val="000000"/>
          <w:sz w:val="18"/>
        </w:rPr>
        <w:t>value of an approved product.</w:t>
      </w:r>
    </w:p>
    <w:p>
      <w:pPr>
        <w:autoSpaceDN w:val="0"/>
        <w:autoSpaceDE w:val="0"/>
        <w:widowControl/>
        <w:spacing w:line="245" w:lineRule="auto" w:before="0" w:after="0"/>
        <w:ind w:left="1080" w:right="144" w:hanging="18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• Encouraging a clear and transparent bidirectional </w:t>
      </w:r>
      <w:r>
        <w:rPr>
          <w:rFonts w:ascii="Lora" w:hAnsi="Lora" w:eastAsia="Lora"/>
          <w:b w:val="0"/>
          <w:i w:val="0"/>
          <w:color w:val="000000"/>
          <w:sz w:val="18"/>
        </w:rPr>
        <w:t>communication and sharing process between manu-</w:t>
      </w:r>
      <w:r>
        <w:rPr>
          <w:rFonts w:ascii="Lora" w:hAnsi="Lora" w:eastAsia="Lora"/>
          <w:b w:val="0"/>
          <w:i w:val="0"/>
          <w:color w:val="000000"/>
          <w:sz w:val="18"/>
        </w:rPr>
        <w:t>facturers and HCDMs.</w:t>
      </w:r>
    </w:p>
    <w:p>
      <w:pPr>
        <w:autoSpaceDN w:val="0"/>
        <w:tabs>
          <w:tab w:pos="900" w:val="left"/>
          <w:tab w:pos="1080" w:val="left"/>
        </w:tabs>
        <w:autoSpaceDE w:val="0"/>
        <w:widowControl/>
        <w:spacing w:line="245" w:lineRule="auto" w:before="0" w:after="0"/>
        <w:ind w:left="720" w:right="144" w:firstLine="0"/>
        <w:jc w:val="left"/>
      </w:pP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The aim of the AMCP Format is to identify comprehensive </w:t>
      </w:r>
      <w:r>
        <w:rPr>
          <w:rFonts w:ascii="Lora" w:hAnsi="Lora" w:eastAsia="Lora"/>
          <w:b w:val="0"/>
          <w:i w:val="0"/>
          <w:color w:val="000000"/>
          <w:sz w:val="18"/>
        </w:rPr>
        <w:t>evidence and information elements that meet the evi-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dentiary needs of HCDMs. The AMCP Format is designed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to encourage sharing of objective, credible, and relevant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information on medical products. Specifically, the AMCP </w:t>
      </w:r>
      <w:r>
        <w:rPr>
          <w:rFonts w:ascii="Lora" w:hAnsi="Lora" w:eastAsia="Lora"/>
          <w:b w:val="0"/>
          <w:i w:val="0"/>
          <w:color w:val="000000"/>
          <w:sz w:val="18"/>
        </w:rPr>
        <w:t>Format seeks to meet two important goals:</w:t>
      </w:r>
      <w:r>
        <w:br/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• Improve the timeliness, scope, quality, and relevance of </w:t>
      </w:r>
      <w:r>
        <w:tab/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clinical and economic evidence and information pro-</w:t>
      </w:r>
      <w:r>
        <w:tab/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vided by manufacturers to HCDMs to enable HCDMs to </w:t>
      </w:r>
      <w:r>
        <w:tab/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assess and compare the clinical outcomes and economic </w:t>
      </w:r>
      <w:r>
        <w:tab/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consequences of a product relative to existing alterna-</w:t>
      </w:r>
      <w:r>
        <w:tab/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tives. The AMCP Format furnishes manufacturers with </w:t>
      </w:r>
      <w:r>
        <w:tab/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recommendations and guidelines on the nature and </w:t>
      </w:r>
      <w:r>
        <w:tab/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presentation of evidence and information expected.</w:t>
      </w:r>
    </w:p>
    <w:p>
      <w:pPr>
        <w:autoSpaceDN w:val="0"/>
        <w:autoSpaceDE w:val="0"/>
        <w:widowControl/>
        <w:spacing w:line="245" w:lineRule="auto" w:before="0" w:after="0"/>
        <w:ind w:left="1080" w:right="144" w:hanging="18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• Streamline the evidence and information acquisition </w:t>
      </w:r>
      <w:r>
        <w:rPr>
          <w:rFonts w:ascii="Lora" w:hAnsi="Lora" w:eastAsia="Lora"/>
          <w:b w:val="0"/>
          <w:i w:val="0"/>
          <w:color w:val="000000"/>
          <w:sz w:val="18"/>
        </w:rPr>
        <w:t>and review process for HCDMs. A product’s manu-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facturer may be a valuable source of evidence and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information needed by HCDMs when planning for or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assessing a product for formulary, coverage, policy,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and reimbursement decisions. The standardized </w:t>
      </w:r>
    </w:p>
    <w:p>
      <w:pPr>
        <w:autoSpaceDN w:val="0"/>
        <w:autoSpaceDE w:val="0"/>
        <w:widowControl/>
        <w:spacing w:line="186" w:lineRule="exact" w:before="416" w:after="0"/>
        <w:ind w:left="740" w:right="0" w:firstLine="0"/>
        <w:jc w:val="left"/>
      </w:pPr>
      <w:r>
        <w:rPr>
          <w:rFonts w:ascii="Asap" w:hAnsi="Asap" w:eastAsia="Asap"/>
          <w:b/>
          <w:i w:val="0"/>
          <w:color w:val="14377D"/>
          <w:sz w:val="14"/>
        </w:rPr>
        <w:t>JMCP</w:t>
      </w:r>
      <w:r>
        <w:rPr>
          <w:rFonts w:ascii="Asap" w:hAnsi="Asap" w:eastAsia="Asap"/>
          <w:b w:val="0"/>
          <w:i w:val="0"/>
          <w:color w:val="14377D"/>
          <w:sz w:val="14"/>
        </w:rPr>
        <w:t>.org</w:t>
      </w:r>
      <w:r>
        <w:rPr>
          <w:rFonts w:ascii="Asap" w:hAnsi="Asap" w:eastAsia="Asap"/>
          <w:b w:val="0"/>
          <w:i w:val="0"/>
          <w:color w:val="474C55"/>
          <w:sz w:val="14"/>
        </w:rPr>
        <w:t>|</w:t>
      </w:r>
      <w:r>
        <w:rPr>
          <w:rFonts w:ascii="Asap" w:hAnsi="Asap" w:eastAsia="Asap"/>
          <w:b w:val="0"/>
          <w:i w:val="0"/>
          <w:color w:val="474C55"/>
          <w:sz w:val="14"/>
        </w:rPr>
        <w:t>April 2024</w:t>
      </w:r>
      <w:r>
        <w:rPr>
          <w:rFonts w:ascii="Asap" w:hAnsi="Asap" w:eastAsia="Asap"/>
          <w:b w:val="0"/>
          <w:i w:val="0"/>
          <w:color w:val="474C55"/>
          <w:sz w:val="14"/>
        </w:rPr>
        <w:t>|</w:t>
      </w:r>
      <w:r>
        <w:rPr>
          <w:rFonts w:ascii="Asap" w:hAnsi="Asap" w:eastAsia="Asap"/>
          <w:b w:val="0"/>
          <w:i w:val="0"/>
          <w:color w:val="474C55"/>
          <w:sz w:val="14"/>
        </w:rPr>
        <w:t>Vol. 30, No. 4-B</w:t>
      </w:r>
    </w:p>
    <w:p>
      <w:pPr>
        <w:sectPr>
          <w:type w:val="continuous"/>
          <w:pgSz w:w="11880" w:h="15660"/>
          <w:pgMar w:top="360" w:right="652" w:bottom="266" w:left="0" w:header="720" w:footer="720" w:gutter="0"/>
          <w:cols w:num="2" w:equalWidth="0">
            <w:col w:w="5964" w:space="0"/>
            <w:col w:w="5264" w:space="0"/>
          </w:cols>
          <w:docGrid w:linePitch="360"/>
        </w:sectPr>
      </w:pPr>
    </w:p>
    <w:p>
      <w:pPr>
        <w:autoSpaceDN w:val="0"/>
        <w:autoSpaceDE w:val="0"/>
        <w:widowControl/>
        <w:spacing w:line="245" w:lineRule="auto" w:before="0" w:after="0"/>
        <w:ind w:left="516" w:right="20" w:firstLine="0"/>
        <w:jc w:val="both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presentation allows HCDMs to formally evaluate the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completeness of submissions received and to easily add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to the results of their own systematic literature reviews </w:t>
      </w:r>
      <w:r>
        <w:rPr>
          <w:rFonts w:ascii="Lora" w:hAnsi="Lora" w:eastAsia="Lora"/>
          <w:b w:val="0"/>
          <w:i w:val="0"/>
          <w:color w:val="000000"/>
          <w:sz w:val="18"/>
        </w:rPr>
        <w:t>and analyses.</w:t>
      </w:r>
    </w:p>
    <w:p>
      <w:pPr>
        <w:autoSpaceDN w:val="0"/>
        <w:autoSpaceDE w:val="0"/>
        <w:widowControl/>
        <w:spacing w:line="245" w:lineRule="auto" w:before="0" w:after="0"/>
        <w:ind w:left="156" w:right="20" w:firstLine="180"/>
        <w:jc w:val="both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AMCP developed the AMCP Format as a template and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guidance for developing dossiers, which have become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among the most widely recognized standard source of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clinical and economic evidence and information for HCDMs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to request and receive from manufacturers for evaluating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products. AMCP encourages manufacturers to develop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and communicate dossiers according to the AMCP Format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and for HCDMs to use dossiers in their product evaluation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process. AMCP and the Format for Formulary Submissions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Committee recognize that, while other organizations may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release formats, guidelines, and value frameworks, the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adoption and use of dossiers developed according to the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AMCP Format should be regarded as a best practice for the </w:t>
      </w:r>
      <w:r>
        <w:rPr>
          <w:rFonts w:ascii="Lora" w:hAnsi="Lora" w:eastAsia="Lora"/>
          <w:b w:val="0"/>
          <w:i w:val="0"/>
          <w:color w:val="000000"/>
          <w:sz w:val="18"/>
        </w:rPr>
        <w:t>formulary review process by health care organizations.</w:t>
      </w:r>
    </w:p>
    <w:p>
      <w:pPr>
        <w:autoSpaceDN w:val="0"/>
        <w:tabs>
          <w:tab w:pos="336" w:val="left"/>
        </w:tabs>
        <w:autoSpaceDE w:val="0"/>
        <w:widowControl/>
        <w:spacing w:line="245" w:lineRule="auto" w:before="0" w:after="0"/>
        <w:ind w:left="156" w:right="0" w:firstLine="0"/>
        <w:jc w:val="left"/>
      </w:pP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The AMCP Format provides recommendations for pre-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senting evidence and information in a dossier that are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necessary to support a comprehensive assessment of a </w:t>
      </w:r>
      <w:r>
        <w:rPr>
          <w:rFonts w:ascii="Lora" w:hAnsi="Lora" w:eastAsia="Lora"/>
          <w:b w:val="0"/>
          <w:i w:val="0"/>
          <w:color w:val="000000"/>
          <w:sz w:val="18"/>
        </w:rPr>
        <w:t>medical product such as clinical benefit, safety, and eco-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nomic impact. It is the manufacturer’s responsibility to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convey such evidence and information in a truthful and </w:t>
      </w:r>
      <w:r>
        <w:rPr>
          <w:rFonts w:ascii="Lora" w:hAnsi="Lora" w:eastAsia="Lora"/>
          <w:b w:val="0"/>
          <w:i w:val="0"/>
          <w:color w:val="000000"/>
          <w:sz w:val="18"/>
        </w:rPr>
        <w:t>nonmisleading way that meets currently accepted stan-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dards for evidence-based medicine and health technology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assessment (HTA). Likewise, it is the HCDM’s responsibility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to critically evaluate the evidence supplied according to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currently accepted and published approaches to Pharmacy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and Therapeutics (P&amp;T) Committee review processes and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formulary decision-making best practices, which have been </w:t>
      </w:r>
      <w:r>
        <w:rPr>
          <w:rFonts w:ascii="Lora" w:hAnsi="Lora" w:eastAsia="Lora"/>
          <w:b w:val="0"/>
          <w:i w:val="0"/>
          <w:color w:val="000000"/>
          <w:sz w:val="18"/>
        </w:rPr>
        <w:t>reported in the literature.</w:t>
      </w:r>
      <w:r>
        <w:rPr>
          <w:w w:val="104.94000434875488"/>
          <w:rFonts w:ascii="Lora" w:hAnsi="Lora" w:eastAsia="Lora"/>
          <w:b w:val="0"/>
          <w:i w:val="0"/>
          <w:color w:val="000000"/>
          <w:sz w:val="10"/>
        </w:rPr>
        <w:t>6-8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 Submission of dossiers based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on the AMCP Format by manufacturers to HCDMs does not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guarantee positive decisions or formulary acceptance.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Since 2000, the AMCP Format has provided guidance to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manufacturers on the development of approved product </w:t>
      </w:r>
      <w:r>
        <w:rPr>
          <w:rFonts w:ascii="Lora" w:hAnsi="Lora" w:eastAsia="Lora"/>
          <w:b w:val="0"/>
          <w:i w:val="0"/>
          <w:color w:val="000000"/>
          <w:sz w:val="18"/>
        </w:rPr>
        <w:t>dossiers, which are communicated to HCDMs only by unso-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licited requests (reactive communication), because these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dossiers may contain information that extends beyond,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and are sometimes inconsistent with, products’ prescribing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information/package insert (PI) or FDA-approved labeling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(i.e., any and all off-label uses). The increasing need for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HCDMs to evaluate products before regulatory approval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and market launch has long been a concern and has been </w:t>
      </w:r>
      <w:r>
        <w:rPr>
          <w:rFonts w:ascii="Lora" w:hAnsi="Lora" w:eastAsia="Lora"/>
          <w:b w:val="0"/>
          <w:i w:val="0"/>
          <w:color w:val="000000"/>
          <w:sz w:val="18"/>
        </w:rPr>
        <w:t>recognized by the FDA and Congress.</w:t>
      </w:r>
      <w:r>
        <w:rPr>
          <w:w w:val="104.94000434875488"/>
          <w:rFonts w:ascii="Lora" w:hAnsi="Lora" w:eastAsia="Lora"/>
          <w:b w:val="0"/>
          <w:i w:val="0"/>
          <w:color w:val="000000"/>
          <w:sz w:val="10"/>
        </w:rPr>
        <w:t>3,9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 The AMCP Format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Version 5.0 provides guidance on developing PIE resources </w:t>
      </w:r>
      <w:r>
        <w:rPr>
          <w:rFonts w:ascii="Lora" w:hAnsi="Lora" w:eastAsia="Lora"/>
          <w:b w:val="0"/>
          <w:i w:val="0"/>
          <w:color w:val="000000"/>
          <w:sz w:val="18"/>
        </w:rPr>
        <w:t>and addressing DTx, real-world evidence, and health dis-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parities, while encouraging brevity. </w:t>
      </w:r>
    </w:p>
    <w:p>
      <w:pPr>
        <w:sectPr>
          <w:type w:val="nextColumn"/>
          <w:pgSz w:w="11880" w:h="15660"/>
          <w:pgMar w:top="360" w:right="652" w:bottom="266" w:left="0" w:header="720" w:footer="720" w:gutter="0"/>
          <w:cols w:num="2" w:equalWidth="0">
            <w:col w:w="5964" w:space="0"/>
            <w:col w:w="5264" w:space="0"/>
          </w:cols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242.0" w:type="dxa"/>
      </w:tblPr>
      <w:tblGrid>
        <w:gridCol w:w="4871"/>
        <w:gridCol w:w="4871"/>
      </w:tblGrid>
      <w:tr>
        <w:trPr>
          <w:trHeight w:hRule="exact" w:val="382"/>
        </w:trPr>
        <w:tc>
          <w:tcPr>
            <w:tcW w:type="dxa" w:w="584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4" w:after="0"/>
              <w:ind w:left="0" w:right="90" w:firstLine="0"/>
              <w:jc w:val="right"/>
            </w:pPr>
            <w:r>
              <w:rPr>
                <w:rFonts w:ascii="Asap" w:hAnsi="Asap" w:eastAsia="Asap"/>
                <w:b/>
                <w:i w:val="0"/>
                <w:color w:val="474C55"/>
                <w:sz w:val="18"/>
              </w:rPr>
              <w:t>AMCP FORMAT 5.0</w:t>
            </w:r>
          </w:p>
        </w:tc>
        <w:tc>
          <w:tcPr>
            <w:tcW w:type="dxa" w:w="1094"/>
            <w:tcBorders/>
            <w:shd w:fill="6b146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72" w:after="0"/>
              <w:ind w:left="90" w:right="0" w:firstLine="0"/>
              <w:jc w:val="left"/>
            </w:pPr>
            <w:r>
              <w:rPr>
                <w:rFonts w:ascii="Asap" w:hAnsi="Asap" w:eastAsia="Asap"/>
                <w:b/>
                <w:i w:val="0"/>
                <w:color w:val="FFFFFF"/>
                <w:sz w:val="18"/>
              </w:rPr>
              <w:t>7</w:t>
            </w:r>
          </w:p>
        </w:tc>
      </w:tr>
    </w:tbl>
    <w:p>
      <w:pPr>
        <w:autoSpaceDN w:val="0"/>
        <w:autoSpaceDE w:val="0"/>
        <w:widowControl/>
        <w:spacing w:line="622" w:lineRule="exact" w:before="902" w:after="132"/>
        <w:ind w:left="0" w:right="0" w:firstLine="0"/>
        <w:jc w:val="left"/>
      </w:pPr>
      <w:r>
        <w:rPr>
          <w:rFonts w:ascii="Asap" w:hAnsi="Asap" w:eastAsia="Asap"/>
          <w:b w:val="0"/>
          <w:i w:val="0"/>
          <w:color w:val="14377D"/>
          <w:sz w:val="48"/>
        </w:rPr>
        <w:t>General Definitions And Considerations</w:t>
      </w:r>
    </w:p>
    <w:p>
      <w:pPr>
        <w:sectPr>
          <w:pgSz w:w="11880" w:h="15660"/>
          <w:pgMar w:top="360" w:right="0" w:bottom="266" w:left="698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45" w:lineRule="auto" w:before="0" w:after="0"/>
        <w:ind w:left="22" w:right="144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This section defines certain key terms—dossier, health care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decision-maker (HCDM), manufacturer, product, approval, </w:t>
      </w:r>
      <w:r>
        <w:rPr>
          <w:rFonts w:ascii="Lora" w:hAnsi="Lora" w:eastAsia="Lora"/>
          <w:b w:val="0"/>
          <w:i w:val="0"/>
          <w:color w:val="000000"/>
          <w:sz w:val="18"/>
        </w:rPr>
        <w:t>communication between manufacturers and HCDMs, confi-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dentiality, updating dossiers, dossier page limits, submission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of dossiers, and pre-approval information exchange—that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are used throughout the AMCP Format and provide certain </w:t>
      </w:r>
      <w:r>
        <w:rPr>
          <w:rFonts w:ascii="Lora" w:hAnsi="Lora" w:eastAsia="Lora"/>
          <w:b w:val="0"/>
          <w:i w:val="0"/>
          <w:color w:val="000000"/>
          <w:sz w:val="18"/>
        </w:rPr>
        <w:t>logistical considerations on the development and com-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munication of dossiers based on the AMCP Format. </w:t>
      </w:r>
    </w:p>
    <w:p>
      <w:pPr>
        <w:autoSpaceDN w:val="0"/>
        <w:autoSpaceDE w:val="0"/>
        <w:widowControl/>
        <w:spacing w:line="424" w:lineRule="exact" w:before="152" w:after="0"/>
        <w:ind w:left="22" w:right="0" w:firstLine="0"/>
        <w:jc w:val="left"/>
      </w:pPr>
      <w:r>
        <w:rPr>
          <w:rFonts w:ascii="Asap" w:hAnsi="Asap" w:eastAsia="Asap"/>
          <w:b/>
          <w:i w:val="0"/>
          <w:color w:val="6C146B"/>
          <w:sz w:val="32"/>
        </w:rPr>
        <w:t>Dossier</w:t>
      </w:r>
    </w:p>
    <w:p>
      <w:pPr>
        <w:autoSpaceDN w:val="0"/>
        <w:autoSpaceDE w:val="0"/>
        <w:widowControl/>
        <w:spacing w:line="245" w:lineRule="auto" w:before="98" w:after="0"/>
        <w:ind w:left="22" w:right="144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According to the AMCP Format, a “dossier” refers to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 comprehensive and concise report containing clinical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and economic evidence and information about a medical </w:t>
      </w:r>
      <w:r>
        <w:rPr>
          <w:rFonts w:ascii="Lora" w:hAnsi="Lora" w:eastAsia="Lora"/>
          <w:b w:val="0"/>
          <w:i w:val="0"/>
          <w:color w:val="000000"/>
          <w:sz w:val="18"/>
        </w:rPr>
        <w:t>product that is developed and communicated by the manu-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facturer to HCDMs for the purpose of formulary, coverage, </w:t>
      </w:r>
      <w:r>
        <w:rPr>
          <w:rFonts w:ascii="Lora" w:hAnsi="Lora" w:eastAsia="Lora"/>
          <w:b w:val="0"/>
          <w:i w:val="0"/>
          <w:color w:val="000000"/>
          <w:sz w:val="18"/>
        </w:rPr>
        <w:t>policy, and reimbursement decision-making.</w:t>
      </w:r>
    </w:p>
    <w:p>
      <w:pPr>
        <w:autoSpaceDN w:val="0"/>
        <w:autoSpaceDE w:val="0"/>
        <w:widowControl/>
        <w:spacing w:line="245" w:lineRule="auto" w:before="0" w:after="0"/>
        <w:ind w:left="22" w:right="144" w:firstLine="18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>In 2019, the AMCP Format Version 4.1</w:t>
      </w:r>
      <w:r>
        <w:rPr>
          <w:w w:val="104.94000434875488"/>
          <w:rFonts w:ascii="Lora" w:hAnsi="Lora" w:eastAsia="Lora"/>
          <w:b w:val="0"/>
          <w:i w:val="0"/>
          <w:color w:val="000000"/>
          <w:sz w:val="10"/>
        </w:rPr>
        <w:t>10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 expanded its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recommendations to provide guidance on the development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and communication of dossiers for unapproved products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and unapproved uses of approved products for which FDA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approval is being sought in order to meet HCDMs’ evidence </w:t>
      </w:r>
      <w:r>
        <w:rPr>
          <w:rFonts w:ascii="Lora" w:hAnsi="Lora" w:eastAsia="Lora"/>
          <w:b w:val="0"/>
          <w:i w:val="0"/>
          <w:color w:val="000000"/>
          <w:sz w:val="18"/>
        </w:rPr>
        <w:t>and information needs, adding to the long-standing guid-</w:t>
      </w:r>
      <w:r>
        <w:rPr>
          <w:rFonts w:ascii="Lora" w:hAnsi="Lora" w:eastAsia="Lora"/>
          <w:b w:val="0"/>
          <w:i w:val="0"/>
          <w:color w:val="000000"/>
          <w:sz w:val="18"/>
        </w:rPr>
        <w:t>ance for the traditional dossier for approved products.</w:t>
      </w:r>
      <w:r>
        <w:rPr>
          <w:w w:val="104.94000434875488"/>
          <w:rFonts w:ascii="Lora" w:hAnsi="Lora" w:eastAsia="Lora"/>
          <w:b w:val="0"/>
          <w:i w:val="0"/>
          <w:color w:val="000000"/>
          <w:sz w:val="10"/>
        </w:rPr>
        <w:t>3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 It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is important to understand the characteristics of dossiers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developed at different  phases of a product’s life cycle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and the rationale for such differences. However, it is also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important to highlight that while HCDMs’ evidentiary needs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are generally the same whenever they are reviewing and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assessing products for formulary, coverage, policy, and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reimbursement decisions, the type and amount of available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evidence and information is dependent on the life cycle </w:t>
      </w:r>
      <w:r>
        <w:rPr>
          <w:rFonts w:ascii="Lora" w:hAnsi="Lora" w:eastAsia="Lora"/>
          <w:b w:val="0"/>
          <w:i w:val="0"/>
          <w:color w:val="000000"/>
          <w:sz w:val="18"/>
        </w:rPr>
        <w:t>of the product (e.g., clinical development phase vs. post-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marketing phase vs. loss of patent exclusivity). Thus, it is </w:t>
      </w:r>
      <w:r>
        <w:rPr>
          <w:rFonts w:ascii="Lora" w:hAnsi="Lora" w:eastAsia="Lora"/>
          <w:b w:val="0"/>
          <w:i w:val="0"/>
          <w:color w:val="000000"/>
          <w:sz w:val="18"/>
        </w:rPr>
        <w:t>important to define the following:</w:t>
      </w:r>
    </w:p>
    <w:p>
      <w:pPr>
        <w:autoSpaceDN w:val="0"/>
        <w:tabs>
          <w:tab w:pos="382" w:val="left"/>
          <w:tab w:pos="562" w:val="left"/>
        </w:tabs>
        <w:autoSpaceDE w:val="0"/>
        <w:widowControl/>
        <w:spacing w:line="245" w:lineRule="auto" w:before="96" w:after="0"/>
        <w:ind w:left="202" w:right="144" w:firstLine="0"/>
        <w:jc w:val="left"/>
      </w:pPr>
      <w:r>
        <w:rPr>
          <w:rFonts w:ascii="Lora" w:hAnsi="Lora" w:eastAsia="Lora"/>
          <w:b w:val="0"/>
          <w:i/>
          <w:color w:val="000000"/>
          <w:sz w:val="18"/>
        </w:rPr>
        <w:t>1. Unapproved Product Dossier</w:t>
      </w:r>
      <w:r>
        <w:br/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• Contains information about a product for which </w:t>
      </w:r>
      <w:r>
        <w:tab/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initial FDA approval will be or is being sought.</w:t>
      </w:r>
    </w:p>
    <w:p>
      <w:pPr>
        <w:autoSpaceDN w:val="0"/>
        <w:autoSpaceDE w:val="0"/>
        <w:widowControl/>
        <w:spacing w:line="245" w:lineRule="auto" w:before="0" w:after="0"/>
        <w:ind w:left="288" w:right="144" w:firstLine="0"/>
        <w:jc w:val="center"/>
      </w:pPr>
      <w:r>
        <w:rPr>
          <w:rFonts w:ascii="Lora" w:hAnsi="Lora" w:eastAsia="Lora"/>
          <w:b w:val="0"/>
          <w:i w:val="0"/>
          <w:color w:val="000000"/>
          <w:sz w:val="18"/>
        </w:rPr>
        <w:t>• Is used by manufacturers to communicate informa-</w:t>
      </w:r>
      <w:r>
        <w:rPr>
          <w:rFonts w:ascii="Lora" w:hAnsi="Lora" w:eastAsia="Lora"/>
          <w:b w:val="0"/>
          <w:i w:val="0"/>
          <w:color w:val="000000"/>
          <w:sz w:val="18"/>
        </w:rPr>
        <w:t>tion to HCDMs before FDA approval of the product.</w:t>
      </w:r>
    </w:p>
    <w:p>
      <w:pPr>
        <w:autoSpaceDN w:val="0"/>
        <w:tabs>
          <w:tab w:pos="382" w:val="left"/>
          <w:tab w:pos="562" w:val="left"/>
        </w:tabs>
        <w:autoSpaceDE w:val="0"/>
        <w:widowControl/>
        <w:spacing w:line="245" w:lineRule="auto" w:before="4" w:after="0"/>
        <w:ind w:left="202" w:right="144" w:firstLine="0"/>
        <w:jc w:val="left"/>
      </w:pPr>
      <w:r>
        <w:rPr>
          <w:rFonts w:ascii="Lora" w:hAnsi="Lora" w:eastAsia="Lora"/>
          <w:b w:val="0"/>
          <w:i/>
          <w:color w:val="000000"/>
          <w:sz w:val="18"/>
        </w:rPr>
        <w:t>2. Approved Product Dossier</w:t>
      </w:r>
      <w:r>
        <w:br/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• Contains information about a product that has </w:t>
      </w:r>
      <w:r>
        <w:tab/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received FDA approval.</w:t>
      </w:r>
    </w:p>
    <w:p>
      <w:pPr>
        <w:autoSpaceDN w:val="0"/>
        <w:autoSpaceDE w:val="0"/>
        <w:widowControl/>
        <w:spacing w:line="245" w:lineRule="auto" w:before="0" w:after="0"/>
        <w:ind w:left="562" w:right="144" w:hanging="18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• Is used by manufacturers to respond to unsolicited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requests from HCDMs after FDA approval of the </w:t>
      </w:r>
      <w:r>
        <w:rPr>
          <w:rFonts w:ascii="Lora" w:hAnsi="Lora" w:eastAsia="Lora"/>
          <w:b w:val="0"/>
          <w:i w:val="0"/>
          <w:color w:val="000000"/>
          <w:sz w:val="18"/>
        </w:rPr>
        <w:t>product (dossier contains on-label and any/all off-</w:t>
      </w:r>
      <w:r>
        <w:rPr>
          <w:rFonts w:ascii="Lora" w:hAnsi="Lora" w:eastAsia="Lora"/>
          <w:b w:val="0"/>
          <w:i w:val="0"/>
          <w:color w:val="000000"/>
          <w:sz w:val="18"/>
        </w:rPr>
        <w:t>label information).</w:t>
      </w:r>
    </w:p>
    <w:p>
      <w:pPr>
        <w:autoSpaceDN w:val="0"/>
        <w:tabs>
          <w:tab w:pos="382" w:val="left"/>
        </w:tabs>
        <w:autoSpaceDE w:val="0"/>
        <w:widowControl/>
        <w:spacing w:line="245" w:lineRule="auto" w:before="6" w:after="0"/>
        <w:ind w:left="202" w:right="144" w:firstLine="0"/>
        <w:jc w:val="left"/>
      </w:pPr>
      <w:r>
        <w:rPr>
          <w:rFonts w:ascii="Lora" w:hAnsi="Lora" w:eastAsia="Lora"/>
          <w:b w:val="0"/>
          <w:i/>
          <w:color w:val="000000"/>
          <w:sz w:val="18"/>
        </w:rPr>
        <w:t>3. Unapproved Use Dossier</w:t>
      </w:r>
      <w:r>
        <w:br/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• Contains information about off-label uses for which </w:t>
      </w:r>
    </w:p>
    <w:p>
      <w:pPr>
        <w:sectPr>
          <w:type w:val="continuous"/>
          <w:pgSz w:w="11880" w:h="15660"/>
          <w:pgMar w:top="360" w:right="0" w:bottom="266" w:left="698" w:header="720" w:footer="720" w:gutter="0"/>
          <w:cols w:num="2" w:equalWidth="0">
            <w:col w:w="5254" w:space="0"/>
            <w:col w:w="5928" w:space="0"/>
          </w:cols>
          <w:docGrid w:linePitch="360"/>
        </w:sectPr>
      </w:pPr>
    </w:p>
    <w:p>
      <w:pPr>
        <w:autoSpaceDN w:val="0"/>
        <w:autoSpaceDE w:val="0"/>
        <w:widowControl/>
        <w:spacing w:line="221" w:lineRule="auto" w:before="0" w:after="0"/>
        <w:ind w:left="686" w:right="0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>the manufacturer is seeking FDA approval.</w:t>
      </w:r>
    </w:p>
    <w:p>
      <w:pPr>
        <w:autoSpaceDN w:val="0"/>
        <w:autoSpaceDE w:val="0"/>
        <w:widowControl/>
        <w:spacing w:line="245" w:lineRule="auto" w:before="0" w:after="0"/>
        <w:ind w:left="686" w:right="576" w:hanging="18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>• Is used by manufacturers to communicate informa-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tion to HCDMs about unapproved uses of an approved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product for which the manufacturer is seeking FDA </w:t>
      </w:r>
      <w:r>
        <w:rPr>
          <w:rFonts w:ascii="Lora" w:hAnsi="Lora" w:eastAsia="Lora"/>
          <w:b w:val="0"/>
          <w:i w:val="0"/>
          <w:color w:val="000000"/>
          <w:sz w:val="18"/>
        </w:rPr>
        <w:t>approval.</w:t>
      </w:r>
    </w:p>
    <w:p>
      <w:pPr>
        <w:autoSpaceDN w:val="0"/>
        <w:autoSpaceDE w:val="0"/>
        <w:widowControl/>
        <w:spacing w:line="242" w:lineRule="exact" w:before="220" w:after="0"/>
        <w:ind w:left="146" w:right="576" w:firstLine="0"/>
        <w:jc w:val="left"/>
      </w:pPr>
      <w:r>
        <w:rPr>
          <w:rFonts w:ascii="Asap" w:hAnsi="Asap" w:eastAsia="Asap"/>
          <w:b/>
          <w:i w:val="0"/>
          <w:color w:val="14377D"/>
          <w:sz w:val="20"/>
        </w:rPr>
        <w:t xml:space="preserve">PRODUCT DOSSIER LIFE CYCLE 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Product dossiers developed by manufacturers can be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viewed as living documents that evolve and are updated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when new evidence and information become available over </w:t>
      </w:r>
      <w:r>
        <w:rPr>
          <w:rFonts w:ascii="Lora" w:hAnsi="Lora" w:eastAsia="Lora"/>
          <w:b w:val="0"/>
          <w:i w:val="0"/>
          <w:color w:val="000000"/>
          <w:sz w:val="18"/>
        </w:rPr>
        <w:t>the course of the product’s life cycle.</w:t>
      </w:r>
    </w:p>
    <w:p>
      <w:pPr>
        <w:autoSpaceDN w:val="0"/>
        <w:autoSpaceDE w:val="0"/>
        <w:widowControl/>
        <w:spacing w:line="245" w:lineRule="auto" w:before="0" w:after="0"/>
        <w:ind w:left="146" w:right="694" w:firstLine="180"/>
        <w:jc w:val="both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To illustrate, if the manufacturer chooses to develop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an Unapproved Product Dossier, it is updated during the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pre-approval period as evidence and information become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available. At the time of FDA approval of the product,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the manufacturer should retire the Unapproved Product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Dossier by converting it to an Approved Product Dossier.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The Approved Product Dossier is then updated throughout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the post-approval period. An Unapproved Product Dossier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and an Approved Product Dossier do not coexist during the </w:t>
      </w:r>
      <w:r>
        <w:rPr>
          <w:rFonts w:ascii="Lora" w:hAnsi="Lora" w:eastAsia="Lora"/>
          <w:b w:val="0"/>
          <w:i w:val="0"/>
          <w:color w:val="000000"/>
          <w:sz w:val="18"/>
        </w:rPr>
        <w:t>product life cycle. See Figure 1.</w:t>
      </w:r>
    </w:p>
    <w:p>
      <w:pPr>
        <w:autoSpaceDN w:val="0"/>
        <w:autoSpaceDE w:val="0"/>
        <w:widowControl/>
        <w:spacing w:line="245" w:lineRule="auto" w:before="0" w:after="0"/>
        <w:ind w:left="146" w:right="576" w:firstLine="18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Subsequently, the manufacturer may choose to develop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an Unapproved Use Dossier during the post-approval </w:t>
      </w:r>
      <w:r>
        <w:rPr>
          <w:rFonts w:ascii="Lora" w:hAnsi="Lora" w:eastAsia="Lora"/>
          <w:b w:val="0"/>
          <w:i w:val="0"/>
          <w:color w:val="000000"/>
          <w:sz w:val="18"/>
        </w:rPr>
        <w:t>period. The Unapproved Use Dossier is a separate docu-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ment that the manufacturer may use to communicate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information with HCDMs on an unapproved use for which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the manufacturer is seeking FDA approval. While the </w:t>
      </w:r>
      <w:r>
        <w:rPr>
          <w:rFonts w:ascii="Lora" w:hAnsi="Lora" w:eastAsia="Lora"/>
          <w:b w:val="0"/>
          <w:i w:val="0"/>
          <w:color w:val="000000"/>
          <w:sz w:val="18"/>
        </w:rPr>
        <w:t>Approved Product Dossier includes evidence and informa-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tion about the approved uses and any and all unapproved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uses that are supported by evidence, an Unapproved Use </w:t>
      </w:r>
      <w:r>
        <w:rPr>
          <w:rFonts w:ascii="Lora" w:hAnsi="Lora" w:eastAsia="Lora"/>
          <w:b w:val="0"/>
          <w:i w:val="0"/>
          <w:color w:val="000000"/>
          <w:sz w:val="18"/>
        </w:rPr>
        <w:t>dossier only includes information on any and all unap-</w:t>
      </w:r>
      <w:r>
        <w:rPr>
          <w:rFonts w:ascii="Lora" w:hAnsi="Lora" w:eastAsia="Lora"/>
          <w:b w:val="0"/>
          <w:i w:val="0"/>
          <w:color w:val="000000"/>
          <w:sz w:val="18"/>
        </w:rPr>
        <w:t>proved uses for which FDA approval is being sought.</w:t>
      </w:r>
      <w:r>
        <w:rPr>
          <w:w w:val="104.94000434875488"/>
          <w:rFonts w:ascii="Lora" w:hAnsi="Lora" w:eastAsia="Lora"/>
          <w:b w:val="0"/>
          <w:i w:val="0"/>
          <w:color w:val="000000"/>
          <w:sz w:val="10"/>
        </w:rPr>
        <w:t xml:space="preserve">3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The AMCP Format for Formulary Submissions Committee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recognizes that the manufacturer may need to maintain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two documents during the post-marketing period (e.g.,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the Approved Product Dossier containing all approved and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unapproved information and the Unapproved Use Dossier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containing information on only the unapproved use for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which FDA approval is being sought). If there are multiple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unapproved uses for which FDA approval is being sought, </w:t>
      </w:r>
      <w:r>
        <w:rPr>
          <w:rFonts w:ascii="Lora" w:hAnsi="Lora" w:eastAsia="Lora"/>
          <w:b w:val="0"/>
          <w:i w:val="0"/>
          <w:color w:val="000000"/>
          <w:sz w:val="18"/>
        </w:rPr>
        <w:t>it is at the manufacturer’s discretion to include all unap-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proved uses in one Unapproved Use Dossier or develop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separate Unapproved Use Dossiers for each unapproved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use. Finally, once an unapproved use is approved by the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FDA, the Approved Product Dossier should be updated, and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the Unapproved Use Dossier should be retired for that use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or updated by removing information for the newly approved </w:t>
      </w:r>
      <w:r>
        <w:rPr>
          <w:rFonts w:ascii="Lora" w:hAnsi="Lora" w:eastAsia="Lora"/>
          <w:b w:val="0"/>
          <w:i w:val="0"/>
          <w:color w:val="000000"/>
          <w:sz w:val="18"/>
        </w:rPr>
        <w:t>use from the Unapproved Use Dossier.</w:t>
      </w:r>
    </w:p>
    <w:p>
      <w:pPr>
        <w:autoSpaceDN w:val="0"/>
        <w:autoSpaceDE w:val="0"/>
        <w:widowControl/>
        <w:spacing w:line="186" w:lineRule="exact" w:before="662" w:after="0"/>
        <w:ind w:left="0" w:right="742" w:firstLine="0"/>
        <w:jc w:val="right"/>
      </w:pPr>
      <w:r>
        <w:rPr>
          <w:rFonts w:ascii="Asap" w:hAnsi="Asap" w:eastAsia="Asap"/>
          <w:b w:val="0"/>
          <w:i w:val="0"/>
          <w:color w:val="474C55"/>
          <w:sz w:val="14"/>
        </w:rPr>
        <w:t>Vol. 30, No. 4-b</w:t>
      </w:r>
      <w:r>
        <w:rPr>
          <w:rFonts w:ascii="Asap" w:hAnsi="Asap" w:eastAsia="Asap"/>
          <w:b w:val="0"/>
          <w:i w:val="0"/>
          <w:color w:val="474C55"/>
          <w:sz w:val="14"/>
        </w:rPr>
        <w:t>|</w:t>
      </w:r>
      <w:r>
        <w:rPr>
          <w:rFonts w:ascii="Asap" w:hAnsi="Asap" w:eastAsia="Asap"/>
          <w:b w:val="0"/>
          <w:i w:val="0"/>
          <w:color w:val="474C55"/>
          <w:sz w:val="14"/>
        </w:rPr>
        <w:t>April 2024</w:t>
      </w:r>
      <w:r>
        <w:rPr>
          <w:rFonts w:ascii="Asap" w:hAnsi="Asap" w:eastAsia="Asap"/>
          <w:b w:val="0"/>
          <w:i w:val="0"/>
          <w:color w:val="474C55"/>
          <w:sz w:val="14"/>
        </w:rPr>
        <w:t>|</w:t>
      </w:r>
      <w:r>
        <w:rPr>
          <w:rFonts w:ascii="Asap" w:hAnsi="Asap" w:eastAsia="Asap"/>
          <w:b/>
          <w:i w:val="0"/>
          <w:color w:val="14377D"/>
          <w:sz w:val="14"/>
        </w:rPr>
        <w:t xml:space="preserve"> JMCP</w:t>
      </w:r>
      <w:r>
        <w:rPr>
          <w:rFonts w:ascii="Asap" w:hAnsi="Asap" w:eastAsia="Asap"/>
          <w:b w:val="0"/>
          <w:i w:val="0"/>
          <w:color w:val="14377D"/>
          <w:sz w:val="14"/>
        </w:rPr>
        <w:t>.org</w:t>
      </w:r>
    </w:p>
    <w:p>
      <w:pPr>
        <w:sectPr>
          <w:type w:val="nextColumn"/>
          <w:pgSz w:w="11880" w:h="15660"/>
          <w:pgMar w:top="360" w:right="0" w:bottom="266" w:left="698" w:header="720" w:footer="720" w:gutter="0"/>
          <w:cols w:num="2" w:equalWidth="0">
            <w:col w:w="5254" w:space="0"/>
            <w:col w:w="5928" w:space="0"/>
          </w:cols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546100</wp:posOffset>
            </wp:positionH>
            <wp:positionV relativeFrom="page">
              <wp:posOffset>1981200</wp:posOffset>
            </wp:positionV>
            <wp:extent cx="6464300" cy="1041400"/>
            <wp:wrapNone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64300" cy="10414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4381500</wp:posOffset>
            </wp:positionH>
            <wp:positionV relativeFrom="page">
              <wp:posOffset>3073400</wp:posOffset>
            </wp:positionV>
            <wp:extent cx="1790700" cy="469900"/>
            <wp:wrapNone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790700" cy="469900"/>
                    </a:xfrm>
                    <a:prstGeom prst="rect"/>
                  </pic:spPr>
                </pic:pic>
              </a:graphicData>
            </a:graphic>
          </wp:anchor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700.0" w:type="dxa"/>
      </w:tblPr>
      <w:tblGrid>
        <w:gridCol w:w="3263"/>
        <w:gridCol w:w="3263"/>
        <w:gridCol w:w="3263"/>
      </w:tblGrid>
      <w:tr>
        <w:trPr>
          <w:trHeight w:hRule="exact" w:val="1444"/>
        </w:trPr>
        <w:tc>
          <w:tcPr>
            <w:tcW w:type="dxa" w:w="394"/>
            <w:tcBorders>
              <w:bottom w:sz="3.5999999046325684" w:val="single" w:color="#474B5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4" w:after="0"/>
              <w:ind w:left="0" w:right="90" w:firstLine="0"/>
              <w:jc w:val="right"/>
            </w:pPr>
            <w:r>
              <w:rPr>
                <w:rFonts w:ascii="Asap" w:hAnsi="Asap" w:eastAsia="Asap"/>
                <w:b/>
                <w:i w:val="0"/>
                <w:color w:val="FFFFFF"/>
                <w:sz w:val="18"/>
              </w:rPr>
              <w:t>8</w:t>
            </w:r>
          </w:p>
        </w:tc>
        <w:tc>
          <w:tcPr>
            <w:tcW w:type="dxa" w:w="10086"/>
            <w:gridSpan w:val="2"/>
            <w:tcBorders>
              <w:bottom w:sz="3.5999999046325684" w:val="single" w:color="#474B55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4" w:after="0"/>
              <w:ind w:left="90" w:right="0" w:firstLine="0"/>
              <w:jc w:val="left"/>
            </w:pPr>
            <w:r>
              <w:rPr>
                <w:rFonts w:ascii="Asap" w:hAnsi="Asap" w:eastAsia="Asap"/>
                <w:b/>
                <w:i w:val="0"/>
                <w:color w:val="474C55"/>
                <w:sz w:val="18"/>
              </w:rPr>
              <w:t>AMCP FORMAT 5.0</w:t>
            </w:r>
          </w:p>
        </w:tc>
      </w:tr>
      <w:tr>
        <w:trPr>
          <w:trHeight w:hRule="exact" w:val="390"/>
        </w:trPr>
        <w:tc>
          <w:tcPr>
            <w:tcW w:type="dxa" w:w="1380"/>
            <w:gridSpan w:val="2"/>
            <w:tcBorders>
              <w:top w:sz="3.5999999046325684" w:val="single" w:color="#474B55"/>
              <w:bottom w:sz="16.0" w:val="single" w:color="#474B55"/>
            </w:tcBorders>
            <w:shd w:fill="474b55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6" w:after="0"/>
              <w:ind w:left="0" w:right="0" w:firstLine="0"/>
              <w:jc w:val="center"/>
            </w:pPr>
            <w:r>
              <w:rPr>
                <w:rFonts w:ascii="Asap" w:hAnsi="Asap" w:eastAsia="Asap"/>
                <w:b/>
                <w:i w:val="0"/>
                <w:color w:val="FFFFFF"/>
                <w:sz w:val="20"/>
              </w:rPr>
              <w:t>FIGURE 1</w:t>
            </w:r>
          </w:p>
        </w:tc>
        <w:tc>
          <w:tcPr>
            <w:tcW w:type="dxa" w:w="9100"/>
            <w:tcBorders>
              <w:top w:sz="3.5999999046325684" w:val="single" w:color="#474B55"/>
              <w:bottom w:sz="16.0" w:val="single" w:color="#474B5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8" w:lineRule="exact" w:before="40" w:after="0"/>
              <w:ind w:left="188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14377D"/>
                <w:sz w:val="20"/>
              </w:rPr>
              <w:t>AMCP Dossier Relative to Major Milestone Events of a Product’s Life Cycle</w:t>
            </w:r>
          </w:p>
        </w:tc>
      </w:tr>
    </w:tbl>
    <w:p>
      <w:pPr>
        <w:autoSpaceDN w:val="0"/>
        <w:autoSpaceDE w:val="0"/>
        <w:widowControl/>
        <w:spacing w:line="33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20.0" w:type="dxa"/>
      </w:tblPr>
      <w:tblGrid>
        <w:gridCol w:w="1223"/>
        <w:gridCol w:w="1223"/>
        <w:gridCol w:w="1223"/>
        <w:gridCol w:w="1223"/>
        <w:gridCol w:w="1223"/>
        <w:gridCol w:w="1223"/>
        <w:gridCol w:w="1223"/>
        <w:gridCol w:w="1223"/>
      </w:tblGrid>
      <w:tr>
        <w:trPr>
          <w:trHeight w:hRule="exact" w:val="210"/>
        </w:trPr>
        <w:tc>
          <w:tcPr>
            <w:tcW w:type="dxa" w:w="21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2" w:lineRule="exact" w:before="202" w:after="0"/>
              <w:ind w:left="658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4"/>
              </w:rPr>
              <w:t xml:space="preserve">Product Dossier </w:t>
            </w:r>
            <w:r>
              <w:br/>
            </w:r>
            <w:r>
              <w:rPr>
                <w:rFonts w:ascii="Asap" w:hAnsi="Asap" w:eastAsia="Asap"/>
                <w:b w:val="0"/>
                <w:i w:val="0"/>
                <w:color w:val="000000"/>
                <w:sz w:val="14"/>
              </w:rPr>
              <w:t xml:space="preserve">is a living document </w:t>
            </w:r>
            <w:r>
              <w:br/>
            </w:r>
            <w:r>
              <w:rPr>
                <w:rFonts w:ascii="Asap" w:hAnsi="Asap" w:eastAsia="Asap"/>
                <w:b w:val="0"/>
                <w:i w:val="0"/>
                <w:color w:val="000000"/>
                <w:sz w:val="14"/>
              </w:rPr>
              <w:t>that evolves over time.</w:t>
            </w:r>
          </w:p>
        </w:tc>
        <w:tc>
          <w:tcPr>
            <w:tcW w:type="dxa" w:w="3140"/>
            <w:gridSpan w:val="3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04" w:lineRule="exact" w:before="130" w:after="0"/>
              <w:ind w:left="580" w:right="2016" w:hanging="44"/>
              <w:jc w:val="left"/>
            </w:pPr>
            <w:r>
              <w:rPr>
                <w:rFonts w:ascii="Asap" w:hAnsi="Asap" w:eastAsia="Asap"/>
                <w:b/>
                <w:i w:val="0"/>
                <w:color w:val="223D7C"/>
                <w:sz w:val="7"/>
              </w:rPr>
              <w:t xml:space="preserve">UNAPPROVED </w:t>
            </w:r>
            <w:r>
              <w:br/>
            </w:r>
            <w:r>
              <w:rPr>
                <w:rFonts w:ascii="Asap" w:hAnsi="Asap" w:eastAsia="Asap"/>
                <w:b/>
                <w:i w:val="0"/>
                <w:color w:val="223D7C"/>
                <w:sz w:val="7"/>
              </w:rPr>
              <w:t xml:space="preserve">PRODUCT </w:t>
            </w:r>
            <w:r>
              <w:br/>
            </w:r>
            <w:r>
              <w:rPr>
                <w:rFonts w:ascii="Asap" w:hAnsi="Asap" w:eastAsia="Asap"/>
                <w:b/>
                <w:i w:val="0"/>
                <w:color w:val="223D7C"/>
                <w:sz w:val="7"/>
              </w:rPr>
              <w:t>DOSSIER</w:t>
            </w:r>
          </w:p>
        </w:tc>
        <w:tc>
          <w:tcPr>
            <w:tcW w:type="dxa" w:w="9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94" w:lineRule="exact" w:before="140" w:after="0"/>
              <w:ind w:left="194" w:right="0" w:firstLine="0"/>
              <w:jc w:val="left"/>
            </w:pPr>
            <w:r>
              <w:rPr>
                <w:rFonts w:ascii="Asap" w:hAnsi="Asap" w:eastAsia="Asap"/>
                <w:b/>
                <w:i w:val="0"/>
                <w:color w:val="223D7C"/>
                <w:sz w:val="7"/>
              </w:rPr>
              <w:t>APPROVED</w:t>
            </w:r>
          </w:p>
        </w:tc>
        <w:tc>
          <w:tcPr>
            <w:tcW w:type="dxa" w:w="16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18" w:lineRule="exact" w:before="1302" w:after="0"/>
              <w:ind w:left="144" w:right="576" w:firstLine="0"/>
              <w:jc w:val="center"/>
            </w:pPr>
            <w:r>
              <w:rPr>
                <w:w w:val="98.0066696802775"/>
                <w:rFonts w:ascii="Asap" w:hAnsi="Asap" w:eastAsia="Asap"/>
                <w:b/>
                <w:i w:val="0"/>
                <w:color w:val="FFFFFF"/>
                <w:sz w:val="12"/>
              </w:rPr>
              <w:t xml:space="preserve">sNDA </w:t>
            </w:r>
            <w:r>
              <w:br/>
            </w:r>
            <w:r>
              <w:rPr>
                <w:w w:val="98.0066696802775"/>
                <w:rFonts w:ascii="Asap" w:hAnsi="Asap" w:eastAsia="Asap"/>
                <w:b/>
                <w:i w:val="0"/>
                <w:color w:val="FFFFFF"/>
                <w:sz w:val="12"/>
              </w:rPr>
              <w:t>SUBMISSION</w:t>
            </w:r>
          </w:p>
        </w:tc>
        <w:tc>
          <w:tcPr>
            <w:tcW w:type="dxa" w:w="1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70" w:lineRule="exact" w:before="70" w:after="0"/>
              <w:ind w:left="720" w:right="288" w:firstLine="0"/>
              <w:jc w:val="center"/>
            </w:pPr>
            <w:r>
              <w:rPr>
                <w:rFonts w:ascii="Asap" w:hAnsi="Asap" w:eastAsia="Asap"/>
                <w:b/>
                <w:i w:val="0"/>
                <w:color w:val="223D7C"/>
                <w:sz w:val="7"/>
              </w:rPr>
              <w:t xml:space="preserve">REVISED </w:t>
            </w:r>
            <w:r>
              <w:br/>
            </w:r>
            <w:r>
              <w:rPr>
                <w:rFonts w:ascii="Asap" w:hAnsi="Asap" w:eastAsia="Asap"/>
                <w:b/>
                <w:i w:val="0"/>
                <w:color w:val="223D7C"/>
                <w:sz w:val="7"/>
              </w:rPr>
              <w:t>APPROVED</w:t>
            </w:r>
          </w:p>
        </w:tc>
        <w:tc>
          <w:tcPr>
            <w:tcW w:type="dxa" w:w="12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4" w:lineRule="exact" w:before="1676" w:after="0"/>
              <w:ind w:left="0" w:right="0" w:firstLine="0"/>
              <w:jc w:val="center"/>
            </w:pPr>
            <w:r>
              <w:rPr>
                <w:w w:val="98.0066696802775"/>
                <w:rFonts w:ascii="Asap" w:hAnsi="Asap" w:eastAsia="Asap"/>
                <w:b/>
                <w:i w:val="0"/>
                <w:color w:val="000000"/>
                <w:sz w:val="12"/>
              </w:rPr>
              <w:t>PATENT EXPIRY</w:t>
            </w:r>
          </w:p>
        </w:tc>
      </w:tr>
      <w:tr>
        <w:trPr>
          <w:trHeight w:hRule="exact" w:val="46"/>
        </w:trPr>
        <w:tc>
          <w:tcPr>
            <w:tcW w:type="dxa" w:w="1223"/>
            <w:vMerge/>
            <w:tcBorders/>
          </w:tcPr>
          <w:p/>
        </w:tc>
        <w:tc>
          <w:tcPr>
            <w:tcW w:type="dxa" w:w="3669"/>
            <w:gridSpan w:val="3"/>
            <w:vMerge/>
            <w:tcBorders/>
          </w:tcPr>
          <w:p/>
        </w:tc>
        <w:tc>
          <w:tcPr>
            <w:tcW w:type="dxa" w:w="1223"/>
            <w:vMerge/>
            <w:tcBorders/>
          </w:tcPr>
          <w:p/>
        </w:tc>
        <w:tc>
          <w:tcPr>
            <w:tcW w:type="dxa" w:w="1223"/>
            <w:vMerge/>
            <w:tcBorders/>
          </w:tcPr>
          <w:p/>
        </w:tc>
        <w:tc>
          <w:tcPr>
            <w:tcW w:type="dxa" w:w="15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70" w:lineRule="exact" w:before="92" w:after="0"/>
              <w:ind w:left="720" w:right="288" w:firstLine="0"/>
              <w:jc w:val="center"/>
            </w:pPr>
            <w:r>
              <w:rPr>
                <w:rFonts w:ascii="Asap" w:hAnsi="Asap" w:eastAsia="Asap"/>
                <w:b/>
                <w:i w:val="0"/>
                <w:color w:val="223D7C"/>
                <w:sz w:val="7"/>
              </w:rPr>
              <w:t xml:space="preserve">PRODUCT </w:t>
            </w:r>
            <w:r>
              <w:br/>
            </w:r>
            <w:r>
              <w:rPr>
                <w:rFonts w:ascii="Asap" w:hAnsi="Asap" w:eastAsia="Asap"/>
                <w:b/>
                <w:i w:val="0"/>
                <w:color w:val="223D7C"/>
                <w:sz w:val="7"/>
              </w:rPr>
              <w:t>DOSSIER</w:t>
            </w:r>
          </w:p>
        </w:tc>
        <w:tc>
          <w:tcPr>
            <w:tcW w:type="dxa" w:w="1223"/>
            <w:vMerge/>
            <w:tcBorders/>
          </w:tcPr>
          <w:p/>
        </w:tc>
      </w:tr>
      <w:tr>
        <w:trPr>
          <w:trHeight w:hRule="exact" w:val="674"/>
        </w:trPr>
        <w:tc>
          <w:tcPr>
            <w:tcW w:type="dxa" w:w="1223"/>
            <w:vMerge/>
            <w:tcBorders/>
          </w:tcPr>
          <w:p/>
        </w:tc>
        <w:tc>
          <w:tcPr>
            <w:tcW w:type="dxa" w:w="3669"/>
            <w:gridSpan w:val="3"/>
            <w:vMerge/>
            <w:tcBorders/>
          </w:tcPr>
          <w:p/>
        </w:tc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70" w:lineRule="exact" w:before="46" w:after="0"/>
              <w:ind w:left="144" w:right="432" w:firstLine="0"/>
              <w:jc w:val="center"/>
            </w:pPr>
            <w:r>
              <w:rPr>
                <w:rFonts w:ascii="Asap" w:hAnsi="Asap" w:eastAsia="Asap"/>
                <w:b/>
                <w:i w:val="0"/>
                <w:color w:val="223D7C"/>
                <w:sz w:val="7"/>
              </w:rPr>
              <w:t xml:space="preserve">PRODUCT </w:t>
            </w:r>
            <w:r>
              <w:br/>
            </w:r>
            <w:r>
              <w:rPr>
                <w:rFonts w:ascii="Asap" w:hAnsi="Asap" w:eastAsia="Asap"/>
                <w:b/>
                <w:i w:val="0"/>
                <w:color w:val="223D7C"/>
                <w:sz w:val="7"/>
              </w:rPr>
              <w:t>DOSSIER</w:t>
            </w:r>
          </w:p>
        </w:tc>
        <w:tc>
          <w:tcPr>
            <w:tcW w:type="dxa" w:w="1223"/>
            <w:vMerge/>
            <w:tcBorders/>
          </w:tcPr>
          <w:p/>
        </w:tc>
        <w:tc>
          <w:tcPr>
            <w:tcW w:type="dxa" w:w="1223"/>
            <w:vMerge/>
            <w:tcBorders/>
          </w:tcPr>
          <w:p/>
        </w:tc>
        <w:tc>
          <w:tcPr>
            <w:tcW w:type="dxa" w:w="1223"/>
            <w:vMerge/>
            <w:tcBorders/>
          </w:tcPr>
          <w:p/>
        </w:tc>
      </w:tr>
      <w:tr>
        <w:trPr>
          <w:trHeight w:hRule="exact" w:val="700"/>
        </w:trPr>
        <w:tc>
          <w:tcPr>
            <w:tcW w:type="dxa" w:w="2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8" w:lineRule="exact" w:before="402" w:after="0"/>
              <w:ind w:left="0" w:right="374" w:firstLine="0"/>
              <w:jc w:val="right"/>
            </w:pPr>
            <w:r>
              <w:rPr>
                <w:rFonts w:ascii="Asap" w:hAnsi="Asap" w:eastAsia="Asap"/>
                <w:b/>
                <w:i w:val="0"/>
                <w:color w:val="FFFFFF"/>
                <w:sz w:val="14"/>
              </w:rPr>
              <w:t>PHASE 1</w:t>
            </w:r>
          </w:p>
        </w:tc>
        <w:tc>
          <w:tcPr>
            <w:tcW w:type="dxa" w:w="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8" w:lineRule="exact" w:before="402" w:after="0"/>
              <w:ind w:left="34" w:right="0" w:firstLine="0"/>
              <w:jc w:val="left"/>
            </w:pPr>
            <w:r>
              <w:rPr>
                <w:rFonts w:ascii="Asap" w:hAnsi="Asap" w:eastAsia="Asap"/>
                <w:b/>
                <w:i w:val="0"/>
                <w:color w:val="FFFFFF"/>
                <w:sz w:val="14"/>
              </w:rPr>
              <w:t>PHASE 2</w:t>
            </w:r>
          </w:p>
        </w:tc>
        <w:tc>
          <w:tcPr>
            <w:tcW w:type="dxa" w:w="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8" w:lineRule="exact" w:before="402" w:after="0"/>
              <w:ind w:left="0" w:right="0" w:firstLine="0"/>
              <w:jc w:val="center"/>
            </w:pPr>
            <w:r>
              <w:rPr>
                <w:rFonts w:ascii="Asap" w:hAnsi="Asap" w:eastAsia="Asap"/>
                <w:b/>
                <w:i w:val="0"/>
                <w:color w:val="FFFFFF"/>
                <w:sz w:val="14"/>
              </w:rPr>
              <w:t>PHASE 3</w:t>
            </w:r>
          </w:p>
        </w:tc>
        <w:tc>
          <w:tcPr>
            <w:tcW w:type="dxa" w:w="1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18" w:lineRule="exact" w:before="372" w:after="0"/>
              <w:ind w:left="144" w:right="432" w:firstLine="0"/>
              <w:jc w:val="center"/>
            </w:pPr>
            <w:r>
              <w:rPr>
                <w:w w:val="98.0066696802775"/>
                <w:rFonts w:ascii="Asap" w:hAnsi="Asap" w:eastAsia="Asap"/>
                <w:b/>
                <w:i w:val="0"/>
                <w:color w:val="FFFFFF"/>
                <w:sz w:val="12"/>
              </w:rPr>
              <w:t xml:space="preserve">NDA </w:t>
            </w:r>
            <w:r>
              <w:br/>
            </w:r>
            <w:r>
              <w:rPr>
                <w:w w:val="98.0066696802775"/>
                <w:rFonts w:ascii="Asap" w:hAnsi="Asap" w:eastAsia="Asap"/>
                <w:b/>
                <w:i w:val="0"/>
                <w:color w:val="FFFFFF"/>
                <w:sz w:val="12"/>
              </w:rPr>
              <w:t>SUBMISSION</w:t>
            </w:r>
          </w:p>
        </w:tc>
        <w:tc>
          <w:tcPr>
            <w:tcW w:type="dxa" w:w="9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16" w:lineRule="exact" w:before="330" w:after="0"/>
              <w:ind w:left="0" w:right="144" w:firstLine="0"/>
              <w:jc w:val="center"/>
            </w:pPr>
            <w:r>
              <w:rPr>
                <w:w w:val="98.0066696802775"/>
                <w:rFonts w:ascii="Asap" w:hAnsi="Asap" w:eastAsia="Asap"/>
                <w:b/>
                <w:i w:val="0"/>
                <w:color w:val="FFFFFF"/>
                <w:sz w:val="12"/>
              </w:rPr>
              <w:t xml:space="preserve">FDA </w:t>
            </w:r>
            <w:r>
              <w:br/>
            </w:r>
            <w:r>
              <w:rPr>
                <w:w w:val="98.0066696802775"/>
                <w:rFonts w:ascii="Asap" w:hAnsi="Asap" w:eastAsia="Asap"/>
                <w:b/>
                <w:i w:val="0"/>
                <w:color w:val="FFFFFF"/>
                <w:sz w:val="12"/>
              </w:rPr>
              <w:t xml:space="preserve">APPROVAL </w:t>
            </w:r>
            <w:r>
              <w:br/>
            </w:r>
            <w:r>
              <w:rPr>
                <w:w w:val="98.0066696802775"/>
                <w:rFonts w:ascii="Asap" w:hAnsi="Asap" w:eastAsia="Asap"/>
                <w:b/>
                <w:i w:val="0"/>
                <w:color w:val="FFFFFF"/>
                <w:sz w:val="12"/>
              </w:rPr>
              <w:t>of PRODUCT</w:t>
            </w:r>
          </w:p>
        </w:tc>
        <w:tc>
          <w:tcPr>
            <w:tcW w:type="dxa" w:w="1223"/>
            <w:vMerge/>
            <w:tcBorders/>
          </w:tcPr>
          <w:p/>
        </w:tc>
        <w:tc>
          <w:tcPr>
            <w:tcW w:type="dxa" w:w="1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16" w:lineRule="exact" w:before="330" w:after="0"/>
              <w:ind w:left="576" w:right="144" w:firstLine="0"/>
              <w:jc w:val="center"/>
            </w:pPr>
            <w:r>
              <w:rPr>
                <w:w w:val="98.0066696802775"/>
                <w:rFonts w:ascii="Asap" w:hAnsi="Asap" w:eastAsia="Asap"/>
                <w:b/>
                <w:i w:val="0"/>
                <w:color w:val="FFFFFF"/>
                <w:sz w:val="12"/>
              </w:rPr>
              <w:t xml:space="preserve">FDA </w:t>
            </w:r>
            <w:r>
              <w:br/>
            </w:r>
            <w:r>
              <w:rPr>
                <w:w w:val="98.0066696802775"/>
                <w:rFonts w:ascii="Asap" w:hAnsi="Asap" w:eastAsia="Asap"/>
                <w:b/>
                <w:i w:val="0"/>
                <w:color w:val="FFFFFF"/>
                <w:sz w:val="12"/>
              </w:rPr>
              <w:t xml:space="preserve">APPROVAL </w:t>
            </w:r>
            <w:r>
              <w:br/>
            </w:r>
            <w:r>
              <w:rPr>
                <w:w w:val="98.0066696802775"/>
                <w:rFonts w:ascii="Asap" w:hAnsi="Asap" w:eastAsia="Asap"/>
                <w:b/>
                <w:i w:val="0"/>
                <w:color w:val="FFFFFF"/>
                <w:sz w:val="12"/>
              </w:rPr>
              <w:t>of NEW USE</w:t>
            </w:r>
          </w:p>
        </w:tc>
        <w:tc>
          <w:tcPr>
            <w:tcW w:type="dxa" w:w="1223"/>
            <w:vMerge/>
            <w:tcBorders/>
          </w:tcPr>
          <w:p/>
        </w:tc>
      </w:tr>
      <w:tr>
        <w:trPr>
          <w:trHeight w:hRule="exact" w:val="300"/>
        </w:trPr>
        <w:tc>
          <w:tcPr>
            <w:tcW w:type="dxa" w:w="524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8" w:after="0"/>
              <w:ind w:left="450" w:right="0" w:firstLine="0"/>
              <w:jc w:val="left"/>
            </w:pPr>
            <w:r>
              <w:rPr>
                <w:w w:val="98.0066696802775"/>
                <w:rFonts w:ascii="Lora" w:hAnsi="Lora" w:eastAsia="Lora"/>
                <w:b/>
                <w:i w:val="0"/>
                <w:color w:val="000000"/>
                <w:sz w:val="12"/>
              </w:rPr>
              <w:t>EARLY</w:t>
            </w:r>
          </w:p>
        </w:tc>
        <w:tc>
          <w:tcPr>
            <w:tcW w:type="dxa" w:w="1223"/>
            <w:vMerge/>
            <w:tcBorders/>
          </w:tcPr>
          <w:p/>
        </w:tc>
        <w:tc>
          <w:tcPr>
            <w:tcW w:type="dxa" w:w="16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94" w:lineRule="exact" w:before="240" w:after="0"/>
              <w:ind w:left="246" w:right="0" w:firstLine="0"/>
              <w:jc w:val="left"/>
            </w:pPr>
            <w:r>
              <w:rPr>
                <w:rFonts w:ascii="Asap" w:hAnsi="Asap" w:eastAsia="Asap"/>
                <w:b/>
                <w:i w:val="0"/>
                <w:color w:val="82C341"/>
                <w:sz w:val="7"/>
              </w:rPr>
              <w:t>UNAPPROVED USE</w:t>
            </w:r>
          </w:p>
        </w:tc>
        <w:tc>
          <w:tcPr>
            <w:tcW w:type="dxa" w:w="15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94" w:lineRule="exact" w:before="240" w:after="0"/>
              <w:ind w:left="0" w:right="228" w:firstLine="0"/>
              <w:jc w:val="right"/>
            </w:pPr>
            <w:r>
              <w:rPr>
                <w:rFonts w:ascii="Asap" w:hAnsi="Asap" w:eastAsia="Asap"/>
                <w:b/>
                <w:i w:val="0"/>
                <w:color w:val="82C341"/>
                <w:sz w:val="7"/>
              </w:rPr>
              <w:t>UNAPPROVED USE</w:t>
            </w:r>
          </w:p>
        </w:tc>
        <w:tc>
          <w:tcPr>
            <w:tcW w:type="dxa" w:w="1223"/>
            <w:vMerge/>
            <w:tcBorders/>
          </w:tcPr>
          <w:p/>
        </w:tc>
      </w:tr>
      <w:tr>
        <w:trPr>
          <w:trHeight w:hRule="exact" w:val="56"/>
        </w:trPr>
        <w:tc>
          <w:tcPr>
            <w:tcW w:type="dxa" w:w="5240"/>
            <w:gridSpan w:val="4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2" w:lineRule="exact" w:before="30" w:after="0"/>
              <w:ind w:left="434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4"/>
              </w:rPr>
              <w:t xml:space="preserve">An Unapproved Use Dossier is a separate document that may coexist with an </w:t>
            </w:r>
            <w:r>
              <w:rPr>
                <w:rFonts w:ascii="Asap" w:hAnsi="Asap" w:eastAsia="Asap"/>
                <w:b w:val="0"/>
                <w:i w:val="0"/>
                <w:color w:val="000000"/>
                <w:sz w:val="14"/>
              </w:rPr>
              <w:t>Approved Product Dossier while seeking FDA for the unapproved use</w:t>
            </w:r>
          </w:p>
        </w:tc>
        <w:tc>
          <w:tcPr>
            <w:tcW w:type="dxa" w:w="1223"/>
            <w:vMerge/>
            <w:tcBorders/>
          </w:tcPr>
          <w:p/>
        </w:tc>
        <w:tc>
          <w:tcPr>
            <w:tcW w:type="dxa" w:w="1223"/>
            <w:vMerge/>
            <w:tcBorders/>
          </w:tcPr>
          <w:p/>
        </w:tc>
        <w:tc>
          <w:tcPr>
            <w:tcW w:type="dxa" w:w="1223"/>
            <w:vMerge/>
            <w:tcBorders/>
          </w:tcPr>
          <w:p/>
        </w:tc>
        <w:tc>
          <w:tcPr>
            <w:tcW w:type="dxa" w:w="1223"/>
            <w:vMerge/>
            <w:tcBorders/>
          </w:tcPr>
          <w:p/>
        </w:tc>
      </w:tr>
      <w:tr>
        <w:trPr>
          <w:trHeight w:hRule="exact" w:val="332"/>
        </w:trPr>
        <w:tc>
          <w:tcPr>
            <w:tcW w:type="dxa" w:w="4892"/>
            <w:gridSpan w:val="4"/>
            <w:vMerge/>
            <w:tcBorders/>
          </w:tcPr>
          <w:p/>
        </w:tc>
        <w:tc>
          <w:tcPr>
            <w:tcW w:type="dxa" w:w="1223"/>
            <w:vMerge/>
            <w:tcBorders/>
          </w:tcPr>
          <w:p/>
        </w:tc>
        <w:tc>
          <w:tcPr>
            <w:tcW w:type="dxa" w:w="1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70" w:lineRule="exact" w:before="46" w:after="0"/>
              <w:ind w:left="288" w:right="864" w:firstLine="0"/>
              <w:jc w:val="center"/>
            </w:pPr>
            <w:r>
              <w:rPr>
                <w:rFonts w:ascii="Asap" w:hAnsi="Asap" w:eastAsia="Asap"/>
                <w:b/>
                <w:i w:val="0"/>
                <w:color w:val="82C341"/>
                <w:sz w:val="7"/>
              </w:rPr>
              <w:t xml:space="preserve">PRODUCT </w:t>
            </w:r>
            <w:r>
              <w:br/>
            </w:r>
            <w:r>
              <w:rPr>
                <w:rFonts w:ascii="Asap" w:hAnsi="Asap" w:eastAsia="Asap"/>
                <w:b/>
                <w:i w:val="0"/>
                <w:color w:val="82C341"/>
                <w:sz w:val="7"/>
              </w:rPr>
              <w:t>DOSSIER</w:t>
            </w:r>
          </w:p>
        </w:tc>
        <w:tc>
          <w:tcPr>
            <w:tcW w:type="dxa" w:w="1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70" w:lineRule="exact" w:before="46" w:after="0"/>
              <w:ind w:left="720" w:right="288" w:firstLine="0"/>
              <w:jc w:val="center"/>
            </w:pPr>
            <w:r>
              <w:rPr>
                <w:rFonts w:ascii="Asap" w:hAnsi="Asap" w:eastAsia="Asap"/>
                <w:b/>
                <w:i w:val="0"/>
                <w:color w:val="82C341"/>
                <w:sz w:val="7"/>
              </w:rPr>
              <w:t xml:space="preserve">PRODUCT </w:t>
            </w:r>
            <w:r>
              <w:br/>
            </w:r>
            <w:r>
              <w:rPr>
                <w:rFonts w:ascii="Asap" w:hAnsi="Asap" w:eastAsia="Asap"/>
                <w:b/>
                <w:i w:val="0"/>
                <w:color w:val="82C341"/>
                <w:sz w:val="7"/>
              </w:rPr>
              <w:t>DOSSIER</w:t>
            </w:r>
          </w:p>
        </w:tc>
        <w:tc>
          <w:tcPr>
            <w:tcW w:type="dxa" w:w="1223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211" w:lineRule="auto" w:before="702" w:after="0"/>
        <w:ind w:left="720" w:right="0" w:firstLine="0"/>
        <w:jc w:val="left"/>
      </w:pPr>
      <w:r>
        <w:rPr>
          <w:rFonts w:ascii="Lora" w:hAnsi="Lora" w:eastAsia="Lora"/>
          <w:b w:val="0"/>
          <w:i/>
          <w:color w:val="000000"/>
          <w:sz w:val="16"/>
        </w:rPr>
        <w:t>For illustrative purposes only. Timeline is not to scale.</w:t>
      </w:r>
    </w:p>
    <w:p>
      <w:pPr>
        <w:autoSpaceDN w:val="0"/>
        <w:autoSpaceDE w:val="0"/>
        <w:widowControl/>
        <w:spacing w:line="245" w:lineRule="auto" w:before="0" w:after="0"/>
        <w:ind w:left="720" w:right="0" w:firstLine="0"/>
        <w:jc w:val="left"/>
      </w:pPr>
      <w:r>
        <w:rPr>
          <w:rFonts w:ascii="Lora" w:hAnsi="Lora" w:eastAsia="Lora"/>
          <w:b w:val="0"/>
          <w:i/>
          <w:color w:val="000000"/>
          <w:sz w:val="16"/>
        </w:rPr>
        <w:t xml:space="preserve">Milestone events shown may vary and may not be all-inclusive of a product’s life cycle. Manufacturer has discretion on the development of </w:t>
      </w:r>
      <w:r>
        <w:rPr>
          <w:rFonts w:ascii="Lora" w:hAnsi="Lora" w:eastAsia="Lora"/>
          <w:b w:val="0"/>
          <w:i/>
          <w:color w:val="000000"/>
          <w:sz w:val="16"/>
        </w:rPr>
        <w:t>dossiers at all stages of the product’s life cycle.</w:t>
      </w:r>
    </w:p>
    <w:p>
      <w:pPr>
        <w:autoSpaceDN w:val="0"/>
        <w:autoSpaceDE w:val="0"/>
        <w:widowControl/>
        <w:spacing w:line="245" w:lineRule="auto" w:before="0" w:after="434"/>
        <w:ind w:left="720" w:right="1440" w:firstLine="0"/>
        <w:jc w:val="left"/>
      </w:pPr>
      <w:r>
        <w:rPr>
          <w:rFonts w:ascii="Lora" w:hAnsi="Lora" w:eastAsia="Lora"/>
          <w:b w:val="0"/>
          <w:i w:val="0"/>
          <w:color w:val="000000"/>
          <w:sz w:val="16"/>
        </w:rPr>
        <w:t xml:space="preserve">AMCP = Academy of Managed Care Pharmacy; FDA = U.S. Food and Drug Administration; NDA = new drug application; </w:t>
      </w:r>
      <w:r>
        <w:rPr>
          <w:rFonts w:ascii="Lora" w:hAnsi="Lora" w:eastAsia="Lora"/>
          <w:b w:val="0"/>
          <w:i w:val="0"/>
          <w:color w:val="000000"/>
          <w:sz w:val="16"/>
        </w:rPr>
        <w:t>sNDA = supplemental new drug application.</w:t>
      </w:r>
    </w:p>
    <w:p>
      <w:pPr>
        <w:sectPr>
          <w:pgSz w:w="11880" w:h="15660"/>
          <w:pgMar w:top="360" w:right="652" w:bottom="266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45" w:lineRule="auto" w:before="0" w:after="0"/>
        <w:ind w:left="720" w:right="144" w:firstLine="18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>In summary, an Unapproved Product Dossier is con-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verted into the Approved Product Dossier at the time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of FDA approval. During the post-marketing period, an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Unapproved Use Dossier may be developed separately from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the Approved Product Dossier if FDA approval is being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sought for the unapproved use. Following FDA approval of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that new use, the Unapproved Use Dossier is either retired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or updated (if it contains more than one unapproved use)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and the Approved Product Dossier is updated to reflect the </w:t>
      </w:r>
      <w:r>
        <w:rPr>
          <w:rFonts w:ascii="Lora" w:hAnsi="Lora" w:eastAsia="Lora"/>
          <w:b w:val="0"/>
          <w:i w:val="0"/>
          <w:color w:val="000000"/>
          <w:sz w:val="18"/>
        </w:rPr>
        <w:t>approved use.</w:t>
      </w:r>
    </w:p>
    <w:p>
      <w:pPr>
        <w:autoSpaceDN w:val="0"/>
        <w:autoSpaceDE w:val="0"/>
        <w:widowControl/>
        <w:spacing w:line="245" w:lineRule="auto" w:before="0" w:after="0"/>
        <w:ind w:left="720" w:right="156" w:firstLine="180"/>
        <w:jc w:val="both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The evidence and information elements recommended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in the AMCP Format are guidelines only; there is room for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manufacturer discretion. It is fully understood that certain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elements may not be provided by manufacturers for a </w:t>
      </w:r>
    </w:p>
    <w:p>
      <w:pPr>
        <w:autoSpaceDN w:val="0"/>
        <w:autoSpaceDE w:val="0"/>
        <w:widowControl/>
        <w:spacing w:line="186" w:lineRule="exact" w:before="4252" w:after="0"/>
        <w:ind w:left="740" w:right="0" w:firstLine="0"/>
        <w:jc w:val="left"/>
      </w:pPr>
      <w:r>
        <w:rPr>
          <w:rFonts w:ascii="Asap" w:hAnsi="Asap" w:eastAsia="Asap"/>
          <w:b/>
          <w:i w:val="0"/>
          <w:color w:val="14377D"/>
          <w:sz w:val="14"/>
        </w:rPr>
        <w:t>JMCP</w:t>
      </w:r>
      <w:r>
        <w:rPr>
          <w:rFonts w:ascii="Asap" w:hAnsi="Asap" w:eastAsia="Asap"/>
          <w:b w:val="0"/>
          <w:i w:val="0"/>
          <w:color w:val="14377D"/>
          <w:sz w:val="14"/>
        </w:rPr>
        <w:t>.org</w:t>
      </w:r>
      <w:r>
        <w:rPr>
          <w:rFonts w:ascii="Asap" w:hAnsi="Asap" w:eastAsia="Asap"/>
          <w:b w:val="0"/>
          <w:i w:val="0"/>
          <w:color w:val="474C55"/>
          <w:sz w:val="14"/>
        </w:rPr>
        <w:t>|</w:t>
      </w:r>
      <w:r>
        <w:rPr>
          <w:rFonts w:ascii="Asap" w:hAnsi="Asap" w:eastAsia="Asap"/>
          <w:b w:val="0"/>
          <w:i w:val="0"/>
          <w:color w:val="474C55"/>
          <w:sz w:val="14"/>
        </w:rPr>
        <w:t>April 2024</w:t>
      </w:r>
      <w:r>
        <w:rPr>
          <w:rFonts w:ascii="Asap" w:hAnsi="Asap" w:eastAsia="Asap"/>
          <w:b w:val="0"/>
          <w:i w:val="0"/>
          <w:color w:val="474C55"/>
          <w:sz w:val="14"/>
        </w:rPr>
        <w:t>|</w:t>
      </w:r>
      <w:r>
        <w:rPr>
          <w:rFonts w:ascii="Asap" w:hAnsi="Asap" w:eastAsia="Asap"/>
          <w:b w:val="0"/>
          <w:i w:val="0"/>
          <w:color w:val="474C55"/>
          <w:sz w:val="14"/>
        </w:rPr>
        <w:t>Vol. 30, No. 4-B</w:t>
      </w:r>
    </w:p>
    <w:p>
      <w:pPr>
        <w:sectPr>
          <w:type w:val="continuous"/>
          <w:pgSz w:w="11880" w:h="15660"/>
          <w:pgMar w:top="360" w:right="652" w:bottom="266" w:left="0" w:header="720" w:footer="720" w:gutter="0"/>
          <w:cols w:num="2" w:equalWidth="0">
            <w:col w:w="5964" w:space="0"/>
            <w:col w:w="5264" w:space="0"/>
          </w:cols>
          <w:docGrid w:linePitch="360"/>
        </w:sectPr>
      </w:pPr>
    </w:p>
    <w:p>
      <w:pPr>
        <w:autoSpaceDN w:val="0"/>
        <w:autoSpaceDE w:val="0"/>
        <w:widowControl/>
        <w:spacing w:line="245" w:lineRule="auto" w:before="0" w:after="0"/>
        <w:ind w:left="156" w:right="0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variety of reasons (e.g., timing, availability, regulatory, legal,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compliance, confidentiality, or manufacturer discretion). </w:t>
      </w:r>
    </w:p>
    <w:p>
      <w:pPr>
        <w:autoSpaceDN w:val="0"/>
        <w:autoSpaceDE w:val="0"/>
        <w:widowControl/>
        <w:spacing w:line="245" w:lineRule="auto" w:before="0" w:after="0"/>
        <w:ind w:left="156" w:right="0" w:firstLine="18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>Creation and communication of dossiers by manufactur-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ers must comply with current laws, regulations, and the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manufacturers’ own policies, procedures, and compliance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programs. At all times, development and communication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of dossiers are at the discretion of manufacturers (e.g., a </w:t>
      </w:r>
      <w:r>
        <w:rPr>
          <w:rFonts w:ascii="Lora" w:hAnsi="Lora" w:eastAsia="Lora"/>
          <w:b w:val="0"/>
          <w:i w:val="0"/>
          <w:color w:val="000000"/>
          <w:sz w:val="18"/>
        </w:rPr>
        <w:t>manufacturer may opt out of creating and providing dos-</w:t>
      </w:r>
      <w:r>
        <w:rPr>
          <w:rFonts w:ascii="Lora" w:hAnsi="Lora" w:eastAsia="Lora"/>
          <w:b w:val="0"/>
          <w:i w:val="0"/>
          <w:color w:val="000000"/>
          <w:sz w:val="18"/>
        </w:rPr>
        <w:t>siers to HCDMs).</w:t>
      </w:r>
    </w:p>
    <w:p>
      <w:pPr>
        <w:autoSpaceDN w:val="0"/>
        <w:autoSpaceDE w:val="0"/>
        <w:widowControl/>
        <w:spacing w:line="245" w:lineRule="auto" w:before="0" w:after="0"/>
        <w:ind w:left="156" w:right="20" w:firstLine="180"/>
        <w:jc w:val="both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Table 1 summarizes key characteristics of each type of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dossier. Readers should refer to the more detailed guidance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on the evidentiary needs and recommendations about each </w:t>
      </w:r>
      <w:r>
        <w:rPr>
          <w:rFonts w:ascii="Lora" w:hAnsi="Lora" w:eastAsia="Lora"/>
          <w:b w:val="0"/>
          <w:i w:val="0"/>
          <w:color w:val="000000"/>
          <w:sz w:val="18"/>
        </w:rPr>
        <w:t>type of dossier described later within the AMCP Format.</w:t>
      </w:r>
    </w:p>
    <w:p>
      <w:pPr>
        <w:sectPr>
          <w:type w:val="nextColumn"/>
          <w:pgSz w:w="11880" w:h="15660"/>
          <w:pgMar w:top="360" w:right="652" w:bottom="266" w:left="0" w:header="720" w:footer="720" w:gutter="0"/>
          <w:cols w:num="2" w:equalWidth="0">
            <w:col w:w="5964" w:space="0"/>
            <w:col w:w="5264" w:space="0"/>
          </w:cols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22.00000000000003" w:type="dxa"/>
      </w:tblPr>
      <w:tblGrid>
        <w:gridCol w:w="3247"/>
        <w:gridCol w:w="3247"/>
        <w:gridCol w:w="3247"/>
      </w:tblGrid>
      <w:tr>
        <w:trPr>
          <w:trHeight w:hRule="exact" w:val="1444"/>
        </w:trPr>
        <w:tc>
          <w:tcPr>
            <w:tcW w:type="dxa" w:w="1194"/>
            <w:tcBorders>
              <w:bottom w:sz="3.5999999046325684" w:val="single" w:color="#474B55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770"/>
            <w:tcBorders>
              <w:bottom w:sz="3.5999999046325684" w:val="single" w:color="#474B5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4" w:after="0"/>
              <w:ind w:left="0" w:right="90" w:firstLine="0"/>
              <w:jc w:val="right"/>
            </w:pPr>
            <w:r>
              <w:rPr>
                <w:rFonts w:ascii="Asap" w:hAnsi="Asap" w:eastAsia="Asap"/>
                <w:b/>
                <w:i w:val="0"/>
                <w:color w:val="474C55"/>
                <w:sz w:val="18"/>
              </w:rPr>
              <w:t>AMCP FORMAT 5.0</w:t>
            </w:r>
          </w:p>
        </w:tc>
        <w:tc>
          <w:tcPr>
            <w:tcW w:type="dxa" w:w="378"/>
            <w:tcBorders>
              <w:bottom w:sz="3.5999999046325684" w:val="single" w:color="#474B5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72" w:after="0"/>
              <w:ind w:left="90" w:right="0" w:firstLine="0"/>
              <w:jc w:val="left"/>
            </w:pPr>
            <w:r>
              <w:rPr>
                <w:rFonts w:ascii="Asap" w:hAnsi="Asap" w:eastAsia="Asap"/>
                <w:b/>
                <w:i w:val="0"/>
                <w:color w:val="FFFFFF"/>
                <w:sz w:val="18"/>
              </w:rPr>
              <w:t>9</w:t>
            </w:r>
          </w:p>
        </w:tc>
      </w:tr>
      <w:tr>
        <w:trPr>
          <w:trHeight w:hRule="exact" w:val="562"/>
        </w:trPr>
        <w:tc>
          <w:tcPr>
            <w:tcW w:type="dxa" w:w="1194"/>
            <w:tcBorders>
              <w:top w:sz="3.5999999046325684" w:val="single" w:color="#474B5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6" w:after="0"/>
              <w:ind w:left="184" w:right="0" w:firstLine="0"/>
              <w:jc w:val="left"/>
            </w:pPr>
            <w:r>
              <w:rPr>
                <w:rFonts w:ascii="Asap" w:hAnsi="Asap" w:eastAsia="Asap"/>
                <w:b/>
                <w:i w:val="0"/>
                <w:color w:val="FFFFFF"/>
                <w:sz w:val="20"/>
              </w:rPr>
              <w:t>TABLE 1</w:t>
            </w:r>
          </w:p>
        </w:tc>
        <w:tc>
          <w:tcPr>
            <w:tcW w:type="dxa" w:w="8770"/>
            <w:tcBorders>
              <w:top w:sz="3.5999999046325684" w:val="single" w:color="#474B5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58" w:after="0"/>
              <w:ind w:left="160" w:right="1152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14377D"/>
                <w:sz w:val="20"/>
              </w:rPr>
              <w:t xml:space="preserve">Comparison of Dossiers Developed for an Unapproved Product, Approved Product, </w:t>
            </w:r>
            <w:r>
              <w:rPr>
                <w:rFonts w:ascii="Asap" w:hAnsi="Asap" w:eastAsia="Asap"/>
                <w:b w:val="0"/>
                <w:i w:val="0"/>
                <w:color w:val="14377D"/>
                <w:sz w:val="20"/>
              </w:rPr>
              <w:t>and Unapproved Use of an Approved Product</w:t>
            </w:r>
          </w:p>
        </w:tc>
        <w:tc>
          <w:tcPr>
            <w:tcW w:type="dxa" w:w="378"/>
            <w:tcBorders>
              <w:top w:sz="3.5999999046325684" w:val="single" w:color="#474B55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0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623"/>
        <w:gridCol w:w="1623"/>
        <w:gridCol w:w="1623"/>
        <w:gridCol w:w="1623"/>
        <w:gridCol w:w="1623"/>
        <w:gridCol w:w="1623"/>
      </w:tblGrid>
      <w:tr>
        <w:trPr>
          <w:trHeight w:hRule="exact" w:val="326"/>
        </w:trPr>
        <w:tc>
          <w:tcPr>
            <w:tcW w:type="dxa" w:w="2686"/>
            <w:tcBorders>
              <w:top w:sz="16.0" w:val="single" w:color="#474B55"/>
              <w:end w:sz="4.4079999923706055" w:val="single" w:color="#FFFFFF"/>
              <w:bottom w:sz="8.824000358581543" w:val="single" w:color="#FFFFFF"/>
            </w:tcBorders>
            <w:shd w:fill="c6c8c7"/>
            <w:tcMar>
              <w:start w:w="0" w:type="dxa"/>
              <w:end w:w="0" w:type="dxa"/>
            </w:tcMar>
          </w:tcPr>
          <w:p/>
        </w:tc>
        <w:tc>
          <w:tcPr>
            <w:tcW w:type="dxa" w:w="2750"/>
            <w:gridSpan w:val="2"/>
            <w:tcBorders>
              <w:start w:sz="4.4079999923706055" w:val="single" w:color="#FFFFFF"/>
              <w:top w:sz="16.0" w:val="single" w:color="#474B55"/>
              <w:end w:sz="4.4079999923706055" w:val="single" w:color="#FFFFFF"/>
              <w:bottom w:sz="8.824000358581543" w:val="single" w:color="#FFFFFF"/>
            </w:tcBorders>
            <w:shd w:fill="c6c8c7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2" w:lineRule="exact" w:before="46" w:after="0"/>
              <w:ind w:left="0" w:right="0" w:firstLine="0"/>
              <w:jc w:val="center"/>
            </w:pPr>
            <w:r>
              <w:rPr>
                <w:w w:val="102.46950387954712"/>
                <w:rFonts w:ascii="Asap" w:hAnsi="Asap" w:eastAsia="Asap"/>
                <w:b/>
                <w:i w:val="0"/>
                <w:color w:val="000000"/>
                <w:sz w:val="16"/>
              </w:rPr>
              <w:t>Unapproved Product Dossier</w:t>
            </w:r>
          </w:p>
        </w:tc>
        <w:tc>
          <w:tcPr>
            <w:tcW w:type="dxa" w:w="2272"/>
            <w:tcBorders>
              <w:start w:sz="4.4079999923706055" w:val="single" w:color="#FFFFFF"/>
              <w:top w:sz="16.0" w:val="single" w:color="#474B55"/>
              <w:end w:sz="4.4079999923706055" w:val="single" w:color="#FFFFFF"/>
              <w:bottom w:sz="8.824000358581543" w:val="single" w:color="#FFFFFF"/>
            </w:tcBorders>
            <w:shd w:fill="c6c8c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2" w:lineRule="exact" w:before="46" w:after="0"/>
              <w:ind w:left="0" w:right="0" w:firstLine="0"/>
              <w:jc w:val="center"/>
            </w:pPr>
            <w:r>
              <w:rPr>
                <w:w w:val="102.46950387954712"/>
                <w:rFonts w:ascii="Asap" w:hAnsi="Asap" w:eastAsia="Asap"/>
                <w:b/>
                <w:i w:val="0"/>
                <w:color w:val="000000"/>
                <w:sz w:val="16"/>
              </w:rPr>
              <w:t>Approved Product Dossier</w:t>
            </w:r>
          </w:p>
        </w:tc>
        <w:tc>
          <w:tcPr>
            <w:tcW w:type="dxa" w:w="2768"/>
            <w:gridSpan w:val="2"/>
            <w:tcBorders>
              <w:start w:sz="4.4079999923706055" w:val="single" w:color="#FFFFFF"/>
              <w:top w:sz="16.0" w:val="single" w:color="#474B55"/>
              <w:bottom w:sz="8.824000358581543" w:val="single" w:color="#FFFFFF"/>
            </w:tcBorders>
            <w:shd w:fill="c6c8c7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2" w:lineRule="exact" w:before="46" w:after="0"/>
              <w:ind w:left="0" w:right="0" w:firstLine="0"/>
              <w:jc w:val="center"/>
            </w:pPr>
            <w:r>
              <w:rPr>
                <w:w w:val="102.46950387954712"/>
                <w:rFonts w:ascii="Asap" w:hAnsi="Asap" w:eastAsia="Asap"/>
                <w:b/>
                <w:i w:val="0"/>
                <w:color w:val="000000"/>
                <w:sz w:val="16"/>
              </w:rPr>
              <w:t>Unapproved Use Dossier</w:t>
            </w:r>
          </w:p>
        </w:tc>
      </w:tr>
      <w:tr>
        <w:trPr>
          <w:trHeight w:hRule="exact" w:val="1916"/>
        </w:trPr>
        <w:tc>
          <w:tcPr>
            <w:tcW w:type="dxa" w:w="2686"/>
            <w:tcBorders>
              <w:top w:sz="8.824000358581543" w:val="single" w:color="#FFFFFF"/>
              <w:end w:sz="4.4079999923706055" w:val="single" w:color="#FFFFFF"/>
              <w:bottom w:sz="4.4079999923706055" w:val="single" w:color="#FFFFFF"/>
            </w:tcBorders>
            <w:shd w:fill="eaea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852" w:after="0"/>
              <w:ind w:left="108" w:right="0" w:firstLine="0"/>
              <w:jc w:val="left"/>
            </w:pPr>
            <w:r>
              <w:rPr>
                <w:rFonts w:ascii="Asap" w:hAnsi="Asap" w:eastAsia="Asap"/>
                <w:b/>
                <w:i w:val="0"/>
                <w:color w:val="000000"/>
                <w:sz w:val="16"/>
              </w:rPr>
              <w:t>What is it?</w:t>
            </w:r>
          </w:p>
        </w:tc>
        <w:tc>
          <w:tcPr>
            <w:tcW w:type="dxa" w:w="2750"/>
            <w:gridSpan w:val="2"/>
            <w:tcBorders>
              <w:start w:sz="4.4079999923706055" w:val="single" w:color="#FFFFFF"/>
              <w:top w:sz="8.824000358581543" w:val="single" w:color="#FFFFFF"/>
              <w:end w:sz="4.4079999923706055" w:val="single" w:color="#FFFFFF"/>
              <w:bottom w:sz="4.4079999923706055" w:val="single" w:color="#FFFFFF"/>
            </w:tcBorders>
            <w:shd w:fill="eaeaf2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0" w:lineRule="exact" w:before="250" w:after="0"/>
              <w:ind w:left="84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 xml:space="preserve">A document containing factual </w:t>
            </w:r>
            <w:r>
              <w:br/>
            </w: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 xml:space="preserve">presentations of evidence supporting </w:t>
            </w: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 xml:space="preserve">the development of an unapproved </w:t>
            </w: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>product</w:t>
            </w:r>
          </w:p>
          <w:p>
            <w:pPr>
              <w:autoSpaceDN w:val="0"/>
              <w:autoSpaceDE w:val="0"/>
              <w:widowControl/>
              <w:spacing w:line="170" w:lineRule="exact" w:before="72" w:after="0"/>
              <w:ind w:left="84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 xml:space="preserve">No characterizations/ conclusions </w:t>
            </w: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 xml:space="preserve">should be made regarding the safety </w:t>
            </w: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 xml:space="preserve">or effectiveness of the unapproved </w:t>
            </w: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>product</w:t>
            </w:r>
          </w:p>
        </w:tc>
        <w:tc>
          <w:tcPr>
            <w:tcW w:type="dxa" w:w="2272"/>
            <w:tcBorders>
              <w:start w:sz="4.4079999923706055" w:val="single" w:color="#FFFFFF"/>
              <w:top w:sz="8.824000358581543" w:val="single" w:color="#FFFFFF"/>
              <w:end w:sz="4.4079999923706055" w:val="single" w:color="#FFFFFF"/>
              <w:bottom w:sz="4.4079999923706055" w:val="single" w:color="#FFFFFF"/>
            </w:tcBorders>
            <w:shd w:fill="eaea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0" w:lineRule="exact" w:before="80" w:after="0"/>
              <w:ind w:left="82" w:right="144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 xml:space="preserve">Comprehensive document </w:t>
            </w: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 xml:space="preserve">containing clinical and </w:t>
            </w:r>
            <w:r>
              <w:br/>
            </w: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 xml:space="preserve">economic evidence and </w:t>
            </w:r>
            <w:r>
              <w:br/>
            </w: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>information about an FDA-</w:t>
            </w: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 xml:space="preserve">approved product, including </w:t>
            </w: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 xml:space="preserve">unapproved use information </w:t>
            </w: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>supported by evidence</w:t>
            </w:r>
          </w:p>
          <w:p>
            <w:pPr>
              <w:autoSpaceDN w:val="0"/>
              <w:autoSpaceDE w:val="0"/>
              <w:widowControl/>
              <w:spacing w:line="170" w:lineRule="exact" w:before="72" w:after="0"/>
              <w:ind w:left="82" w:right="288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 xml:space="preserve">Used to convey the overall </w:t>
            </w: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 xml:space="preserve">value proposition of the </w:t>
            </w:r>
            <w:r>
              <w:br/>
            </w: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>product</w:t>
            </w:r>
          </w:p>
        </w:tc>
        <w:tc>
          <w:tcPr>
            <w:tcW w:type="dxa" w:w="2768"/>
            <w:gridSpan w:val="2"/>
            <w:tcBorders>
              <w:start w:sz="4.4079999923706055" w:val="single" w:color="#FFFFFF"/>
              <w:top w:sz="8.824000358581543" w:val="single" w:color="#FFFFFF"/>
              <w:bottom w:sz="4.4079999923706055" w:val="single" w:color="#FFFFFF"/>
            </w:tcBorders>
            <w:shd w:fill="eaeaf2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0" w:lineRule="exact" w:before="80" w:after="0"/>
              <w:ind w:left="82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 xml:space="preserve">A document containing factual </w:t>
            </w:r>
            <w:r>
              <w:br/>
            </w: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 xml:space="preserve">presentations of evidence supporting </w:t>
            </w: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 xml:space="preserve">the development of unapproved </w:t>
            </w:r>
            <w:r>
              <w:br/>
            </w: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 xml:space="preserve">use(s) for which FDA approval is </w:t>
            </w:r>
            <w:r>
              <w:br/>
            </w: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 xml:space="preserve">being sought for an FDA-approved </w:t>
            </w: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>product</w:t>
            </w:r>
          </w:p>
          <w:p>
            <w:pPr>
              <w:autoSpaceDN w:val="0"/>
              <w:autoSpaceDE w:val="0"/>
              <w:widowControl/>
              <w:spacing w:line="170" w:lineRule="exact" w:before="72" w:after="0"/>
              <w:ind w:left="82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 xml:space="preserve">No characterizations/ conclusions </w:t>
            </w: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 xml:space="preserve">should be made regarding the safety </w:t>
            </w: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 xml:space="preserve">or effectiveness of the approved </w:t>
            </w:r>
            <w:r>
              <w:br/>
            </w: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>product for unapproved use(s)</w:t>
            </w:r>
          </w:p>
        </w:tc>
      </w:tr>
      <w:tr>
        <w:trPr>
          <w:trHeight w:hRule="exact" w:val="1338"/>
        </w:trPr>
        <w:tc>
          <w:tcPr>
            <w:tcW w:type="dxa" w:w="2686"/>
            <w:tcBorders>
              <w:top w:sz="4.4079999923706055" w:val="single" w:color="#FFFFFF"/>
              <w:end w:sz="4.4079999923706055" w:val="single" w:color="#C6C8C7"/>
              <w:bottom w:sz="8.824000358581543" w:val="single" w:color="#FFFFF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570" w:after="0"/>
              <w:ind w:left="108" w:right="0" w:firstLine="0"/>
              <w:jc w:val="left"/>
            </w:pPr>
            <w:r>
              <w:rPr>
                <w:rFonts w:ascii="Asap" w:hAnsi="Asap" w:eastAsia="Asap"/>
                <w:b/>
                <w:i w:val="0"/>
                <w:color w:val="000000"/>
                <w:sz w:val="16"/>
              </w:rPr>
              <w:t>How is it used?</w:t>
            </w:r>
          </w:p>
        </w:tc>
        <w:tc>
          <w:tcPr>
            <w:tcW w:type="dxa" w:w="2750"/>
            <w:gridSpan w:val="2"/>
            <w:tcBorders>
              <w:start w:sz="4.4079999923706055" w:val="single" w:color="#C6C8C7"/>
              <w:top w:sz="4.4079999923706055" w:val="single" w:color="#FFFFFF"/>
              <w:end w:sz="4.4079999923706055" w:val="single" w:color="#C6C8C7"/>
              <w:bottom w:sz="8.824000358581543" w:val="single" w:color="#FFFFFF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0" w:lineRule="exact" w:before="344" w:after="0"/>
              <w:ind w:left="84" w:right="144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>Used per the manufacturer’s discre-</w:t>
            </w: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 xml:space="preserve">tion to communicate information to </w:t>
            </w: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 xml:space="preserve">HCDMs before FDA approval of the </w:t>
            </w: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>product</w:t>
            </w:r>
          </w:p>
        </w:tc>
        <w:tc>
          <w:tcPr>
            <w:tcW w:type="dxa" w:w="2272"/>
            <w:tcBorders>
              <w:start w:sz="4.4079999923706055" w:val="single" w:color="#C6C8C7"/>
              <w:top w:sz="4.4079999923706055" w:val="single" w:color="#FFFFFF"/>
              <w:end w:sz="4.4079999923706055" w:val="single" w:color="#C6C8C7"/>
              <w:bottom w:sz="8.824000358581543" w:val="single" w:color="#FFFFF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0" w:lineRule="exact" w:before="90" w:after="0"/>
              <w:ind w:left="82" w:right="144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 xml:space="preserve">Used by the manufacturer </w:t>
            </w: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 xml:space="preserve">to respond to unsolicited </w:t>
            </w:r>
            <w:r>
              <w:br/>
            </w: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 xml:space="preserve">requests from HCDMs after </w:t>
            </w: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 xml:space="preserve">FDA approval of the product </w:t>
            </w: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 xml:space="preserve">(dossier contains approved </w:t>
            </w: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 xml:space="preserve">and unapproved use[s] </w:t>
            </w:r>
            <w:r>
              <w:br/>
            </w: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>information)</w:t>
            </w:r>
          </w:p>
        </w:tc>
        <w:tc>
          <w:tcPr>
            <w:tcW w:type="dxa" w:w="2768"/>
            <w:gridSpan w:val="2"/>
            <w:tcBorders>
              <w:start w:sz="4.4079999923706055" w:val="single" w:color="#C6C8C7"/>
              <w:top w:sz="4.4079999923706055" w:val="single" w:color="#FFFFFF"/>
              <w:bottom w:sz="8.824000358581543" w:val="single" w:color="#FFFFFF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0" w:lineRule="exact" w:before="258" w:after="0"/>
              <w:ind w:left="82" w:right="144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>Used per the manufacturer’s discre-</w:t>
            </w: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 xml:space="preserve">tion to communicate information to </w:t>
            </w: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 xml:space="preserve">HCDMs about unapproved use(s) for </w:t>
            </w: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 xml:space="preserve">which FDA approval is being sought </w:t>
            </w: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>for an FDA-approved product</w:t>
            </w:r>
          </w:p>
        </w:tc>
      </w:tr>
      <w:tr>
        <w:trPr>
          <w:trHeight w:hRule="exact" w:val="1408"/>
        </w:trPr>
        <w:tc>
          <w:tcPr>
            <w:tcW w:type="dxa" w:w="2686"/>
            <w:tcBorders>
              <w:top w:sz="8.824000358581543" w:val="single" w:color="#FFFFFF"/>
              <w:end w:sz="4.4079999923706055" w:val="single" w:color="#FFFFFF"/>
              <w:bottom w:sz="4.4079999923706055" w:val="single" w:color="#FFFFFF"/>
            </w:tcBorders>
            <w:shd w:fill="eaea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538" w:after="0"/>
              <w:ind w:left="108" w:right="0" w:firstLine="0"/>
              <w:jc w:val="left"/>
            </w:pPr>
            <w:r>
              <w:rPr>
                <w:rFonts w:ascii="Asap" w:hAnsi="Asap" w:eastAsia="Asap"/>
                <w:b/>
                <w:i w:val="0"/>
                <w:color w:val="000000"/>
                <w:sz w:val="16"/>
              </w:rPr>
              <w:t xml:space="preserve">Can the product value proposition </w:t>
            </w:r>
            <w:r>
              <w:rPr>
                <w:rFonts w:ascii="Asap" w:hAnsi="Asap" w:eastAsia="Asap"/>
                <w:b/>
                <w:i w:val="0"/>
                <w:color w:val="000000"/>
                <w:sz w:val="16"/>
              </w:rPr>
              <w:t>or value story be communicated?</w:t>
            </w:r>
          </w:p>
        </w:tc>
        <w:tc>
          <w:tcPr>
            <w:tcW w:type="dxa" w:w="2750"/>
            <w:gridSpan w:val="2"/>
            <w:tcBorders>
              <w:start w:sz="4.4079999923706055" w:val="single" w:color="#FFFFFF"/>
              <w:top w:sz="8.824000358581543" w:val="single" w:color="#FFFFFF"/>
              <w:end w:sz="4.4079999923706055" w:val="single" w:color="#FFFFFF"/>
              <w:bottom w:sz="4.4079999923706055" w:val="single" w:color="#FFFFFF"/>
            </w:tcBorders>
            <w:shd w:fill="eaeaf2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0" w:lineRule="exact" w:before="82" w:after="0"/>
              <w:ind w:left="84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 xml:space="preserve">Factual evidence grounded in clinical </w:t>
            </w: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>and economic evidence and informa-</w:t>
            </w: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>tion may be provided.</w:t>
            </w:r>
          </w:p>
          <w:p>
            <w:pPr>
              <w:autoSpaceDN w:val="0"/>
              <w:autoSpaceDE w:val="0"/>
              <w:widowControl/>
              <w:spacing w:line="170" w:lineRule="exact" w:before="72" w:after="0"/>
              <w:ind w:left="84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 xml:space="preserve">No characterizations or conclusions </w:t>
            </w: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 xml:space="preserve">should be made regarding the safety </w:t>
            </w: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 xml:space="preserve">or effectiveness of the unapproved </w:t>
            </w: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>product</w:t>
            </w:r>
          </w:p>
        </w:tc>
        <w:tc>
          <w:tcPr>
            <w:tcW w:type="dxa" w:w="2272"/>
            <w:tcBorders>
              <w:start w:sz="4.4079999923706055" w:val="single" w:color="#FFFFFF"/>
              <w:top w:sz="8.824000358581543" w:val="single" w:color="#FFFFFF"/>
              <w:end w:sz="4.4079999923706055" w:val="single" w:color="#FFFFFF"/>
              <w:bottom w:sz="4.4079999923706055" w:val="single" w:color="#FFFFFF"/>
            </w:tcBorders>
            <w:shd w:fill="eaea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0" w:lineRule="exact" w:before="372" w:after="0"/>
              <w:ind w:left="82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>Value that is grounded in clini-</w:t>
            </w: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 xml:space="preserve">cal and economic evidence </w:t>
            </w: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 xml:space="preserve">and information should be </w:t>
            </w:r>
            <w:r>
              <w:br/>
            </w: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>described</w:t>
            </w:r>
          </w:p>
        </w:tc>
        <w:tc>
          <w:tcPr>
            <w:tcW w:type="dxa" w:w="2768"/>
            <w:gridSpan w:val="2"/>
            <w:tcBorders>
              <w:start w:sz="4.4079999923706055" w:val="single" w:color="#FFFFFF"/>
              <w:top w:sz="8.824000358581543" w:val="single" w:color="#FFFFFF"/>
              <w:bottom w:sz="4.4079999923706055" w:val="single" w:color="#FFFFFF"/>
            </w:tcBorders>
            <w:shd w:fill="eaeaf2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0" w:lineRule="exact" w:before="82" w:after="0"/>
              <w:ind w:left="82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 xml:space="preserve">Factual evidence grounded in clinical </w:t>
            </w: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 xml:space="preserve">and economic information may be </w:t>
            </w: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>provided</w:t>
            </w:r>
          </w:p>
          <w:p>
            <w:pPr>
              <w:autoSpaceDN w:val="0"/>
              <w:autoSpaceDE w:val="0"/>
              <w:widowControl/>
              <w:spacing w:line="170" w:lineRule="exact" w:before="72" w:after="0"/>
              <w:ind w:left="82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 xml:space="preserve">No characterizations or conclusions </w:t>
            </w: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 xml:space="preserve">should be made regarding the safety </w:t>
            </w: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 xml:space="preserve">or effectiveness of the approved </w:t>
            </w:r>
            <w:r>
              <w:br/>
            </w: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>product for unapproved use(s)</w:t>
            </w:r>
          </w:p>
        </w:tc>
      </w:tr>
      <w:tr>
        <w:trPr>
          <w:trHeight w:hRule="exact" w:val="1408"/>
        </w:trPr>
        <w:tc>
          <w:tcPr>
            <w:tcW w:type="dxa" w:w="2686"/>
            <w:tcBorders>
              <w:top w:sz="4.4079999923706055" w:val="single" w:color="#FFFFFF"/>
              <w:end w:sz="4.4079999923706055" w:val="single" w:color="#C6C8C7"/>
              <w:bottom w:sz="8.824000358581543" w:val="single" w:color="#FFFFFF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54" w:after="0"/>
              <w:ind w:left="108" w:right="144" w:firstLine="0"/>
              <w:jc w:val="left"/>
            </w:pPr>
            <w:r>
              <w:rPr>
                <w:rFonts w:ascii="Asap" w:hAnsi="Asap" w:eastAsia="Asap"/>
                <w:b/>
                <w:i w:val="0"/>
                <w:color w:val="000000"/>
                <w:sz w:val="16"/>
              </w:rPr>
              <w:t xml:space="preserve">When should the manufacturer </w:t>
            </w:r>
            <w:r>
              <w:rPr>
                <w:rFonts w:ascii="Asap" w:hAnsi="Asap" w:eastAsia="Asap"/>
                <w:b/>
                <w:i w:val="0"/>
                <w:color w:val="000000"/>
                <w:sz w:val="16"/>
              </w:rPr>
              <w:t xml:space="preserve">have the dossier ready for </w:t>
            </w:r>
            <w:r>
              <w:br/>
            </w:r>
            <w:r>
              <w:rPr>
                <w:rFonts w:ascii="Asap" w:hAnsi="Asap" w:eastAsia="Asap"/>
                <w:b/>
                <w:i w:val="0"/>
                <w:color w:val="000000"/>
                <w:sz w:val="16"/>
              </w:rPr>
              <w:t>HCDMs?</w:t>
            </w:r>
          </w:p>
        </w:tc>
        <w:tc>
          <w:tcPr>
            <w:tcW w:type="dxa" w:w="2750"/>
            <w:gridSpan w:val="2"/>
            <w:tcBorders>
              <w:start w:sz="4.4079999923706055" w:val="single" w:color="#C6C8C7"/>
              <w:top w:sz="4.4079999923706055" w:val="single" w:color="#FFFFFF"/>
              <w:end w:sz="4.4079999923706055" w:val="single" w:color="#C6C8C7"/>
              <w:bottom w:sz="8.824000358581543" w:val="single" w:color="#FFFFFF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392" w:after="0"/>
              <w:ind w:left="84" w:right="432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 xml:space="preserve">At the manufacturer’s discretion </w:t>
            </w: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 xml:space="preserve">Typically, 6-12 months prior to </w:t>
            </w: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>anticipated FDA approval.</w:t>
            </w:r>
          </w:p>
        </w:tc>
        <w:tc>
          <w:tcPr>
            <w:tcW w:type="dxa" w:w="2272"/>
            <w:tcBorders>
              <w:start w:sz="4.4079999923706055" w:val="single" w:color="#C6C8C7"/>
              <w:top w:sz="4.4079999923706055" w:val="single" w:color="#FFFFFF"/>
              <w:end w:sz="4.4079999923706055" w:val="single" w:color="#C6C8C7"/>
              <w:bottom w:sz="8.824000358581543" w:val="single" w:color="#FFFFFF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0" w:lineRule="exact" w:before="88" w:after="0"/>
              <w:ind w:left="82" w:right="144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 xml:space="preserve">Any time after FDA approval </w:t>
            </w: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>of the product; at the discre-</w:t>
            </w: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>tion of the manufacturer</w:t>
            </w:r>
          </w:p>
          <w:p>
            <w:pPr>
              <w:autoSpaceDN w:val="0"/>
              <w:autoSpaceDE w:val="0"/>
              <w:widowControl/>
              <w:spacing w:line="170" w:lineRule="exact" w:before="72" w:after="0"/>
              <w:ind w:left="82" w:right="144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 xml:space="preserve">Typically, soon after FDA </w:t>
            </w:r>
            <w:r>
              <w:br/>
            </w: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 xml:space="preserve">approval and availability of </w:t>
            </w: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 xml:space="preserve">the product approved label </w:t>
            </w: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>and price</w:t>
            </w:r>
          </w:p>
        </w:tc>
        <w:tc>
          <w:tcPr>
            <w:tcW w:type="dxa" w:w="2768"/>
            <w:gridSpan w:val="2"/>
            <w:tcBorders>
              <w:start w:sz="4.4079999923706055" w:val="single" w:color="#C6C8C7"/>
              <w:top w:sz="4.4079999923706055" w:val="single" w:color="#FFFFFF"/>
              <w:bottom w:sz="8.824000358581543" w:val="single" w:color="#FFFFFF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0" w:lineRule="exact" w:before="174" w:after="0"/>
              <w:ind w:left="82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 xml:space="preserve">Any time while the manufacturer is </w:t>
            </w: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 xml:space="preserve">seeking FDA approval for unapproved </w:t>
            </w: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 xml:space="preserve">use(s) of the approved product at the </w:t>
            </w: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>discretion of the manufacturer</w:t>
            </w:r>
          </w:p>
          <w:p>
            <w:pPr>
              <w:autoSpaceDN w:val="0"/>
              <w:autoSpaceDE w:val="0"/>
              <w:widowControl/>
              <w:spacing w:line="170" w:lineRule="exact" w:before="72" w:after="0"/>
              <w:ind w:left="82" w:right="144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 xml:space="preserve">Typically, based on a key milestone </w:t>
            </w: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>at the manufacturer’s discretion</w:t>
            </w:r>
          </w:p>
        </w:tc>
      </w:tr>
      <w:tr>
        <w:trPr>
          <w:trHeight w:hRule="exact" w:val="686"/>
        </w:trPr>
        <w:tc>
          <w:tcPr>
            <w:tcW w:type="dxa" w:w="2686"/>
            <w:tcBorders>
              <w:top w:sz="8.824000358581543" w:val="single" w:color="#FFFFFF"/>
              <w:end w:sz="4.4079999923706055" w:val="single" w:color="#FFFFFF"/>
              <w:bottom w:sz="4.4079999923706055" w:val="single" w:color="#FFFFFF"/>
            </w:tcBorders>
            <w:shd w:fill="eaea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88" w:after="0"/>
              <w:ind w:left="108" w:right="144" w:firstLine="0"/>
              <w:jc w:val="left"/>
            </w:pPr>
            <w:r>
              <w:rPr>
                <w:rFonts w:ascii="Asap" w:hAnsi="Asap" w:eastAsia="Asap"/>
                <w:b/>
                <w:i w:val="0"/>
                <w:color w:val="000000"/>
                <w:sz w:val="16"/>
              </w:rPr>
              <w:t xml:space="preserve">Who from the manufacturer </w:t>
            </w:r>
            <w:r>
              <w:br/>
            </w:r>
            <w:r>
              <w:rPr>
                <w:rFonts w:ascii="Asap" w:hAnsi="Asap" w:eastAsia="Asap"/>
                <w:b/>
                <w:i w:val="0"/>
                <w:color w:val="000000"/>
                <w:sz w:val="16"/>
              </w:rPr>
              <w:t xml:space="preserve">should communicate or provide </w:t>
            </w:r>
            <w:r>
              <w:rPr>
                <w:rFonts w:ascii="Asap" w:hAnsi="Asap" w:eastAsia="Asap"/>
                <w:b/>
                <w:i w:val="0"/>
                <w:color w:val="000000"/>
                <w:sz w:val="16"/>
              </w:rPr>
              <w:t>the dossier?</w:t>
            </w:r>
          </w:p>
        </w:tc>
        <w:tc>
          <w:tcPr>
            <w:tcW w:type="dxa" w:w="7790"/>
            <w:gridSpan w:val="5"/>
            <w:tcBorders>
              <w:start w:sz="4.4079999923706055" w:val="single" w:color="#FFFFFF"/>
              <w:top w:sz="8.824000358581543" w:val="single" w:color="#FFFFFF"/>
              <w:bottom w:sz="4.4079999923706055" w:val="single" w:color="#FFFFFF"/>
            </w:tcBorders>
            <w:shd w:fill="eaeaf2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246" w:after="0"/>
              <w:ind w:left="84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>Personnel with appropriate medical/clinical/scientific credentials, expertise, and responsibilities</w:t>
            </w:r>
          </w:p>
        </w:tc>
      </w:tr>
      <w:tr>
        <w:trPr>
          <w:trHeight w:hRule="exact" w:val="1580"/>
        </w:trPr>
        <w:tc>
          <w:tcPr>
            <w:tcW w:type="dxa" w:w="2686"/>
            <w:tcBorders>
              <w:top w:sz="4.4079999923706055" w:val="single" w:color="#FFFFFF"/>
              <w:end w:sz="4.4079999923706055" w:val="single" w:color="#C6C8C7"/>
              <w:bottom w:sz="8.824000358581543" w:val="single" w:color="#FFFFFF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30" w:after="0"/>
              <w:ind w:left="0" w:right="144" w:firstLine="0"/>
              <w:jc w:val="center"/>
            </w:pPr>
            <w:r>
              <w:rPr>
                <w:rFonts w:ascii="Asap" w:hAnsi="Asap" w:eastAsia="Asap"/>
                <w:b/>
                <w:i w:val="0"/>
                <w:color w:val="000000"/>
                <w:sz w:val="16"/>
              </w:rPr>
              <w:t xml:space="preserve">What clinical content about the </w:t>
            </w:r>
            <w:r>
              <w:rPr>
                <w:rFonts w:ascii="Asap" w:hAnsi="Asap" w:eastAsia="Asap"/>
                <w:b/>
                <w:i w:val="0"/>
                <w:color w:val="000000"/>
                <w:sz w:val="16"/>
              </w:rPr>
              <w:t>product should be in the dossier?</w:t>
            </w:r>
          </w:p>
        </w:tc>
        <w:tc>
          <w:tcPr>
            <w:tcW w:type="dxa" w:w="2684"/>
            <w:tcBorders>
              <w:start w:sz="4.4079999923706055" w:val="single" w:color="#C6C8C7"/>
              <w:top w:sz="4.4079999923706055" w:val="single" w:color="#FFFFFF"/>
              <w:end w:sz="4.4079999923706055" w:val="single" w:color="#C6C8C7"/>
              <w:bottom w:sz="8.824000358581543" w:val="single" w:color="#FFFFFF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0" w:lineRule="exact" w:before="88" w:after="0"/>
              <w:ind w:left="84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 xml:space="preserve">Factual presentation of clinical </w:t>
            </w:r>
            <w:r>
              <w:br/>
            </w: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 xml:space="preserve">evidence for the unapproved </w:t>
            </w:r>
            <w:r>
              <w:br/>
            </w: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 xml:space="preserve">product that is available at the time </w:t>
            </w: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>of communication</w:t>
            </w:r>
          </w:p>
          <w:p>
            <w:pPr>
              <w:autoSpaceDN w:val="0"/>
              <w:autoSpaceDE w:val="0"/>
              <w:widowControl/>
              <w:spacing w:line="170" w:lineRule="exact" w:before="72" w:after="0"/>
              <w:ind w:left="84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 xml:space="preserve">No characterizations/ conclusions </w:t>
            </w: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 xml:space="preserve">should be made regarding the safety </w:t>
            </w: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 xml:space="preserve">or effectiveness of the unapproved </w:t>
            </w: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>product</w:t>
            </w:r>
          </w:p>
        </w:tc>
        <w:tc>
          <w:tcPr>
            <w:tcW w:type="dxa" w:w="2402"/>
            <w:gridSpan w:val="3"/>
            <w:tcBorders>
              <w:start w:sz="4.4079999923706055" w:val="single" w:color="#C6C8C7"/>
              <w:top w:sz="4.4079999923706055" w:val="single" w:color="#FFFFFF"/>
              <w:end w:sz="4.4079999923706055" w:val="single" w:color="#C6C8C7"/>
              <w:bottom w:sz="8.824000358581543" w:val="single" w:color="#FFFFFF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0" w:lineRule="exact" w:before="380" w:after="0"/>
              <w:ind w:left="82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>Clinical evidence and informa-</w:t>
            </w: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 xml:space="preserve">tion regarding an approved </w:t>
            </w:r>
            <w:r>
              <w:br/>
            </w: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 xml:space="preserve">product, including any </w:t>
            </w:r>
            <w:r>
              <w:br/>
            </w: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 xml:space="preserve">unapproved use(s) supported by </w:t>
            </w: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>evidence</w:t>
            </w:r>
          </w:p>
        </w:tc>
        <w:tc>
          <w:tcPr>
            <w:tcW w:type="dxa" w:w="2704"/>
            <w:tcBorders>
              <w:start w:sz="4.4079999923706055" w:val="single" w:color="#C6C8C7"/>
              <w:top w:sz="4.4079999923706055" w:val="single" w:color="#FFFFFF"/>
              <w:bottom w:sz="8.824000358581543" w:val="single" w:color="#FFFFFF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0" w:lineRule="exact" w:before="88" w:after="0"/>
              <w:ind w:left="84" w:right="144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 xml:space="preserve">Factual presentation of clinical </w:t>
            </w: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 xml:space="preserve">evidence for unapproved use of an </w:t>
            </w: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 xml:space="preserve">approved product that is available </w:t>
            </w: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>at the time of communication</w:t>
            </w:r>
          </w:p>
          <w:p>
            <w:pPr>
              <w:autoSpaceDN w:val="0"/>
              <w:autoSpaceDE w:val="0"/>
              <w:widowControl/>
              <w:spacing w:line="170" w:lineRule="exact" w:before="72" w:after="0"/>
              <w:ind w:left="84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 xml:space="preserve">No characterizations/ conclusions </w:t>
            </w: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 xml:space="preserve">should be made regarding the safety </w:t>
            </w: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 xml:space="preserve">or effectiveness of the unapproved </w:t>
            </w: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>use</w:t>
            </w:r>
          </w:p>
        </w:tc>
      </w:tr>
      <w:tr>
        <w:trPr>
          <w:trHeight w:hRule="exact" w:val="1238"/>
        </w:trPr>
        <w:tc>
          <w:tcPr>
            <w:tcW w:type="dxa" w:w="2686"/>
            <w:tcBorders>
              <w:top w:sz="8.824000358581543" w:val="single" w:color="#FFFFFF"/>
              <w:end w:sz="4.4079999923706055" w:val="single" w:color="#FFFFFF"/>
              <w:bottom w:sz="4.4079999923706055" w:val="single" w:color="#FFFFFF"/>
            </w:tcBorders>
            <w:shd w:fill="eaea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52" w:after="0"/>
              <w:ind w:left="108" w:right="0" w:firstLine="0"/>
              <w:jc w:val="left"/>
            </w:pPr>
            <w:r>
              <w:rPr>
                <w:rFonts w:ascii="Asap" w:hAnsi="Asap" w:eastAsia="Asap"/>
                <w:b/>
                <w:i w:val="0"/>
                <w:color w:val="000000"/>
                <w:sz w:val="16"/>
              </w:rPr>
              <w:t xml:space="preserve">What economic content about the </w:t>
            </w:r>
            <w:r>
              <w:rPr>
                <w:rFonts w:ascii="Asap" w:hAnsi="Asap" w:eastAsia="Asap"/>
                <w:b/>
                <w:i w:val="0"/>
                <w:color w:val="000000"/>
                <w:sz w:val="16"/>
              </w:rPr>
              <w:t>product should be in  the dossier?</w:t>
            </w:r>
          </w:p>
        </w:tc>
        <w:tc>
          <w:tcPr>
            <w:tcW w:type="dxa" w:w="2684"/>
            <w:tcBorders>
              <w:start w:sz="4.4079999923706055" w:val="single" w:color="#FFFFFF"/>
              <w:top w:sz="8.824000358581543" w:val="single" w:color="#FFFFFF"/>
              <w:end w:sz="4.4079999923706055" w:val="single" w:color="#FFFFFF"/>
              <w:bottom w:sz="4.4079999923706055" w:val="single" w:color="#FFFFFF"/>
            </w:tcBorders>
            <w:shd w:fill="eaea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0" w:lineRule="exact" w:before="166" w:after="0"/>
              <w:ind w:left="84" w:right="144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 xml:space="preserve">Anticipated product price (may be </w:t>
            </w: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>reflected as a range)</w:t>
            </w:r>
          </w:p>
          <w:p>
            <w:pPr>
              <w:autoSpaceDN w:val="0"/>
              <w:autoSpaceDE w:val="0"/>
              <w:widowControl/>
              <w:spacing w:line="170" w:lineRule="exact" w:before="72" w:after="0"/>
              <w:ind w:left="84" w:right="288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 xml:space="preserve">The manufacturer has discretion </w:t>
            </w: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 xml:space="preserve">on whether and how to provide </w:t>
            </w: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>economic information</w:t>
            </w:r>
          </w:p>
        </w:tc>
        <w:tc>
          <w:tcPr>
            <w:tcW w:type="dxa" w:w="2402"/>
            <w:gridSpan w:val="3"/>
            <w:tcBorders>
              <w:start w:sz="4.4079999923706055" w:val="single" w:color="#FFFFFF"/>
              <w:top w:sz="8.824000358581543" w:val="single" w:color="#FFFFFF"/>
              <w:end w:sz="4.4079999923706055" w:val="single" w:color="#FFFFFF"/>
              <w:bottom w:sz="4.4079999923706055" w:val="single" w:color="#FFFFFF"/>
            </w:tcBorders>
            <w:shd w:fill="eaeaf2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0" w:lineRule="exact" w:before="288" w:after="0"/>
              <w:ind w:left="82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 xml:space="preserve">Product price, health economics </w:t>
            </w: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>and outcomes research, eco-</w:t>
            </w:r>
            <w:r>
              <w:br/>
            </w: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 xml:space="preserve">nomic models on budget impact </w:t>
            </w: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>and cost-effectiveness</w:t>
            </w:r>
          </w:p>
        </w:tc>
        <w:tc>
          <w:tcPr>
            <w:tcW w:type="dxa" w:w="2704"/>
            <w:tcBorders>
              <w:start w:sz="4.4079999923706055" w:val="single" w:color="#FFFFFF"/>
              <w:top w:sz="8.824000358581543" w:val="single" w:color="#FFFFFF"/>
              <w:bottom w:sz="4.4079999923706055" w:val="single" w:color="#FFFFFF"/>
            </w:tcBorders>
            <w:shd w:fill="eaea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0" w:lineRule="exact" w:before="80" w:after="0"/>
              <w:ind w:left="84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 xml:space="preserve">Current product price or anticipated </w:t>
            </w: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>new product price or range if unap-</w:t>
            </w: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>proved use(s) are approved</w:t>
            </w:r>
          </w:p>
          <w:p>
            <w:pPr>
              <w:autoSpaceDN w:val="0"/>
              <w:autoSpaceDE w:val="0"/>
              <w:widowControl/>
              <w:spacing w:line="170" w:lineRule="exact" w:before="72" w:after="0"/>
              <w:ind w:left="84" w:right="288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 xml:space="preserve">The manufacturer has discretion </w:t>
            </w: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 xml:space="preserve">on whether and how to provide </w:t>
            </w: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>economic information</w:t>
            </w:r>
          </w:p>
        </w:tc>
      </w:tr>
      <w:tr>
        <w:trPr>
          <w:trHeight w:hRule="exact" w:val="1068"/>
        </w:trPr>
        <w:tc>
          <w:tcPr>
            <w:tcW w:type="dxa" w:w="2686"/>
            <w:tcBorders>
              <w:top w:sz="4.4079999923706055" w:val="single" w:color="#FFFFFF"/>
              <w:end w:sz="4.4079999923706055" w:val="single" w:color="#C6C8C7"/>
              <w:bottom w:sz="16.0" w:val="single" w:color="#474B55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74" w:after="0"/>
              <w:ind w:left="108" w:right="432" w:firstLine="0"/>
              <w:jc w:val="left"/>
            </w:pPr>
            <w:r>
              <w:rPr>
                <w:rFonts w:ascii="Asap" w:hAnsi="Asap" w:eastAsia="Asap"/>
                <w:b/>
                <w:i w:val="0"/>
                <w:color w:val="000000"/>
                <w:sz w:val="16"/>
              </w:rPr>
              <w:t xml:space="preserve">When should the dossier be </w:t>
            </w:r>
            <w:r>
              <w:rPr>
                <w:rFonts w:ascii="Asap" w:hAnsi="Asap" w:eastAsia="Asap"/>
                <w:b/>
                <w:i w:val="0"/>
                <w:color w:val="000000"/>
                <w:sz w:val="16"/>
              </w:rPr>
              <w:t>updated?</w:t>
            </w:r>
          </w:p>
        </w:tc>
        <w:tc>
          <w:tcPr>
            <w:tcW w:type="dxa" w:w="2684"/>
            <w:tcBorders>
              <w:start w:sz="4.4079999923706055" w:val="single" w:color="#C6C8C7"/>
              <w:top w:sz="4.4079999923706055" w:val="single" w:color="#FFFFFF"/>
              <w:end w:sz="4.4079999923706055" w:val="single" w:color="#C6C8C7"/>
              <w:bottom w:sz="16.0" w:val="single" w:color="#474B55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0" w:lineRule="exact" w:before="294" w:after="0"/>
              <w:ind w:left="84" w:right="288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 xml:space="preserve">When new information becomes </w:t>
            </w: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 xml:space="preserve">available and at the discretion of </w:t>
            </w: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>the manufacturer</w:t>
            </w:r>
          </w:p>
        </w:tc>
        <w:tc>
          <w:tcPr>
            <w:tcW w:type="dxa" w:w="2402"/>
            <w:gridSpan w:val="3"/>
            <w:tcBorders>
              <w:start w:sz="4.4079999923706055" w:val="single" w:color="#C6C8C7"/>
              <w:top w:sz="4.4079999923706055" w:val="single" w:color="#FFFFFF"/>
              <w:end w:sz="4.4079999923706055" w:val="single" w:color="#C6C8C7"/>
              <w:bottom w:sz="16.0" w:val="single" w:color="#474B55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0" w:lineRule="exact" w:before="88" w:after="0"/>
              <w:ind w:left="82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 xml:space="preserve">When new information becomes </w:t>
            </w: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 xml:space="preserve">available for approved or </w:t>
            </w:r>
            <w:r>
              <w:br/>
            </w: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 xml:space="preserve">unapproved indications at the </w:t>
            </w: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>discretion of the manufacturer</w:t>
            </w:r>
          </w:p>
          <w:p>
            <w:pPr>
              <w:autoSpaceDN w:val="0"/>
              <w:autoSpaceDE w:val="0"/>
              <w:widowControl/>
              <w:spacing w:line="192" w:lineRule="exact" w:before="50" w:after="0"/>
              <w:ind w:left="82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>When new use(s) are approved</w:t>
            </w:r>
          </w:p>
        </w:tc>
        <w:tc>
          <w:tcPr>
            <w:tcW w:type="dxa" w:w="2704"/>
            <w:tcBorders>
              <w:start w:sz="4.4079999923706055" w:val="single" w:color="#C6C8C7"/>
              <w:top w:sz="4.4079999923706055" w:val="single" w:color="#FFFFFF"/>
              <w:bottom w:sz="16.0" w:val="single" w:color="#474B55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0" w:lineRule="exact" w:before="294" w:after="0"/>
              <w:ind w:left="84" w:right="352" w:firstLine="0"/>
              <w:jc w:val="both"/>
            </w:pP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 xml:space="preserve">When new information becomes </w:t>
            </w: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 xml:space="preserve">available at the discretion of the </w:t>
            </w: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>manufacturer</w:t>
            </w:r>
          </w:p>
        </w:tc>
      </w:tr>
    </w:tbl>
    <w:p>
      <w:pPr>
        <w:autoSpaceDN w:val="0"/>
        <w:autoSpaceDE w:val="0"/>
        <w:widowControl/>
        <w:spacing w:line="209" w:lineRule="auto" w:before="170" w:after="0"/>
        <w:ind w:left="150" w:right="0" w:firstLine="0"/>
        <w:jc w:val="left"/>
      </w:pPr>
      <w:r>
        <w:rPr>
          <w:rFonts w:ascii="Lora" w:hAnsi="Lora" w:eastAsia="Lora"/>
          <w:b w:val="0"/>
          <w:i/>
          <w:color w:val="000000"/>
          <w:sz w:val="18"/>
        </w:rPr>
        <w:t>FDA = U.S. Food and Drug Administration; HCDM = health care decision-maker.</w:t>
      </w:r>
    </w:p>
    <w:p>
      <w:pPr>
        <w:autoSpaceDN w:val="0"/>
        <w:autoSpaceDE w:val="0"/>
        <w:widowControl/>
        <w:spacing w:line="186" w:lineRule="exact" w:before="600" w:after="0"/>
        <w:ind w:left="0" w:right="742" w:firstLine="0"/>
        <w:jc w:val="right"/>
      </w:pPr>
      <w:r>
        <w:rPr>
          <w:rFonts w:ascii="Asap" w:hAnsi="Asap" w:eastAsia="Asap"/>
          <w:b w:val="0"/>
          <w:i w:val="0"/>
          <w:color w:val="474C55"/>
          <w:sz w:val="14"/>
        </w:rPr>
        <w:t>Vol. 30, No. 4-b</w:t>
      </w:r>
      <w:r>
        <w:rPr>
          <w:rFonts w:ascii="Asap" w:hAnsi="Asap" w:eastAsia="Asap"/>
          <w:b w:val="0"/>
          <w:i w:val="0"/>
          <w:color w:val="474C55"/>
          <w:sz w:val="14"/>
        </w:rPr>
        <w:t>|</w:t>
      </w:r>
      <w:r>
        <w:rPr>
          <w:rFonts w:ascii="Asap" w:hAnsi="Asap" w:eastAsia="Asap"/>
          <w:b w:val="0"/>
          <w:i w:val="0"/>
          <w:color w:val="474C55"/>
          <w:sz w:val="14"/>
        </w:rPr>
        <w:t>April 2024</w:t>
      </w:r>
      <w:r>
        <w:rPr>
          <w:rFonts w:ascii="Asap" w:hAnsi="Asap" w:eastAsia="Asap"/>
          <w:b w:val="0"/>
          <w:i w:val="0"/>
          <w:color w:val="474C55"/>
          <w:sz w:val="14"/>
        </w:rPr>
        <w:t>|</w:t>
      </w:r>
      <w:r>
        <w:rPr>
          <w:rFonts w:ascii="Asap" w:hAnsi="Asap" w:eastAsia="Asap"/>
          <w:b/>
          <w:i w:val="0"/>
          <w:color w:val="14377D"/>
          <w:sz w:val="14"/>
        </w:rPr>
        <w:t xml:space="preserve"> JMCP</w:t>
      </w:r>
      <w:r>
        <w:rPr>
          <w:rFonts w:ascii="Asap" w:hAnsi="Asap" w:eastAsia="Asap"/>
          <w:b w:val="0"/>
          <w:i w:val="0"/>
          <w:color w:val="14377D"/>
          <w:sz w:val="14"/>
        </w:rPr>
        <w:t>.org</w:t>
      </w:r>
    </w:p>
    <w:p>
      <w:pPr>
        <w:sectPr>
          <w:pgSz w:w="11880" w:h="15660"/>
          <w:pgMar w:top="360" w:right="0" w:bottom="266" w:left="70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904"/>
        <w:gridCol w:w="4904"/>
      </w:tblGrid>
      <w:tr>
        <w:trPr>
          <w:trHeight w:hRule="exact" w:val="362"/>
        </w:trPr>
        <w:tc>
          <w:tcPr>
            <w:tcW w:type="dxa" w:w="1094"/>
            <w:tcBorders/>
            <w:shd w:fill="6b146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4" w:after="0"/>
              <w:ind w:left="0" w:right="90" w:firstLine="0"/>
              <w:jc w:val="right"/>
            </w:pPr>
            <w:r>
              <w:rPr>
                <w:rFonts w:ascii="Asap" w:hAnsi="Asap" w:eastAsia="Asap"/>
                <w:b/>
                <w:i w:val="0"/>
                <w:color w:val="FFFFFF"/>
                <w:sz w:val="18"/>
              </w:rPr>
              <w:t>10</w:t>
            </w:r>
          </w:p>
        </w:tc>
        <w:tc>
          <w:tcPr>
            <w:tcW w:type="dxa" w:w="586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4" w:after="0"/>
              <w:ind w:left="90" w:right="0" w:firstLine="0"/>
              <w:jc w:val="left"/>
            </w:pPr>
            <w:r>
              <w:rPr>
                <w:rFonts w:ascii="Asap" w:hAnsi="Asap" w:eastAsia="Asap"/>
                <w:b/>
                <w:i w:val="0"/>
                <w:color w:val="474C55"/>
                <w:sz w:val="18"/>
              </w:rPr>
              <w:t>AMCP FORMAT 5.0</w:t>
            </w:r>
          </w:p>
        </w:tc>
      </w:tr>
    </w:tbl>
    <w:p>
      <w:pPr>
        <w:autoSpaceDN w:val="0"/>
        <w:autoSpaceDE w:val="0"/>
        <w:widowControl/>
        <w:spacing w:line="14" w:lineRule="exact" w:before="0" w:after="1018"/>
        <w:ind w:left="0" w:right="0"/>
      </w:pPr>
    </w:p>
    <w:p>
      <w:pPr>
        <w:sectPr>
          <w:pgSz w:w="11880" w:h="15660"/>
          <w:pgMar w:top="360" w:right="632" w:bottom="266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424" w:lineRule="exact" w:before="0" w:after="0"/>
        <w:ind w:left="740" w:right="0" w:firstLine="0"/>
        <w:jc w:val="left"/>
      </w:pPr>
      <w:r>
        <w:rPr>
          <w:rFonts w:ascii="Asap" w:hAnsi="Asap" w:eastAsia="Asap"/>
          <w:b/>
          <w:i w:val="0"/>
          <w:color w:val="6C146B"/>
          <w:sz w:val="32"/>
        </w:rPr>
        <w:t xml:space="preserve">Health Care Decision-Maker </w:t>
      </w:r>
    </w:p>
    <w:p>
      <w:pPr>
        <w:autoSpaceDN w:val="0"/>
        <w:autoSpaceDE w:val="0"/>
        <w:widowControl/>
        <w:spacing w:line="245" w:lineRule="auto" w:before="98" w:after="0"/>
        <w:ind w:left="740" w:right="144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The term “health care decision-maker” (HCDM) is used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throughout this document to refer to any health care </w:t>
      </w:r>
      <w:r>
        <w:rPr>
          <w:rFonts w:ascii="Lora" w:hAnsi="Lora" w:eastAsia="Lora"/>
          <w:b w:val="0"/>
          <w:i w:val="0"/>
          <w:color w:val="000000"/>
          <w:sz w:val="18"/>
        </w:rPr>
        <w:t>personnel, committee, or organization that uses an evi-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dence-based process for making health care coverage and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reimbursement decisions for patient populations, including,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but not limited to payers, health plans, integrated delivery </w:t>
      </w:r>
      <w:r>
        <w:rPr>
          <w:rFonts w:ascii="Lora" w:hAnsi="Lora" w:eastAsia="Lora"/>
          <w:b w:val="0"/>
          <w:i w:val="0"/>
          <w:color w:val="000000"/>
          <w:sz w:val="18"/>
        </w:rPr>
        <w:t>systems, pharmacy benefit management companies, spe-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cialty pharmacies, health insurance companies, medical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groups, hospitals, health systems, P&amp;T Committees, HTA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organizations, clinical practice guideline bodies, and other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organized health care systems that make or influence </w:t>
      </w:r>
      <w:r>
        <w:rPr>
          <w:rFonts w:ascii="Lora" w:hAnsi="Lora" w:eastAsia="Lora"/>
          <w:b w:val="0"/>
          <w:i w:val="0"/>
          <w:color w:val="000000"/>
          <w:sz w:val="18"/>
        </w:rPr>
        <w:t>population-based health care decisions.</w:t>
      </w:r>
    </w:p>
    <w:p>
      <w:pPr>
        <w:autoSpaceDN w:val="0"/>
        <w:autoSpaceDE w:val="0"/>
        <w:widowControl/>
        <w:spacing w:line="424" w:lineRule="exact" w:before="152" w:after="0"/>
        <w:ind w:left="740" w:right="0" w:firstLine="0"/>
        <w:jc w:val="left"/>
      </w:pPr>
      <w:r>
        <w:rPr>
          <w:rFonts w:ascii="Asap" w:hAnsi="Asap" w:eastAsia="Asap"/>
          <w:b/>
          <w:i w:val="0"/>
          <w:color w:val="6C146B"/>
          <w:sz w:val="32"/>
        </w:rPr>
        <w:t>Manufacturer</w:t>
      </w:r>
    </w:p>
    <w:p>
      <w:pPr>
        <w:autoSpaceDN w:val="0"/>
        <w:autoSpaceDE w:val="0"/>
        <w:widowControl/>
        <w:spacing w:line="245" w:lineRule="auto" w:before="98" w:after="0"/>
        <w:ind w:left="740" w:right="156" w:firstLine="0"/>
        <w:jc w:val="both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The term “manufacturer” is used throughout this document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to refer to any company that develops, manufactures, or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markets medical products, such as pharmaceuticals, DTx, </w:t>
      </w:r>
      <w:r>
        <w:rPr>
          <w:rFonts w:ascii="Lora" w:hAnsi="Lora" w:eastAsia="Lora"/>
          <w:b w:val="0"/>
          <w:i w:val="0"/>
          <w:color w:val="000000"/>
          <w:sz w:val="18"/>
        </w:rPr>
        <w:t>diagnostic tests, or medical devices.</w:t>
      </w:r>
    </w:p>
    <w:p>
      <w:pPr>
        <w:autoSpaceDN w:val="0"/>
        <w:autoSpaceDE w:val="0"/>
        <w:widowControl/>
        <w:spacing w:line="424" w:lineRule="exact" w:before="152" w:after="0"/>
        <w:ind w:left="740" w:right="0" w:firstLine="0"/>
        <w:jc w:val="left"/>
      </w:pPr>
      <w:r>
        <w:rPr>
          <w:rFonts w:ascii="Asap" w:hAnsi="Asap" w:eastAsia="Asap"/>
          <w:b/>
          <w:i w:val="0"/>
          <w:color w:val="6C146B"/>
          <w:sz w:val="32"/>
        </w:rPr>
        <w:t>Product</w:t>
      </w:r>
    </w:p>
    <w:p>
      <w:pPr>
        <w:autoSpaceDN w:val="0"/>
        <w:autoSpaceDE w:val="0"/>
        <w:widowControl/>
        <w:spacing w:line="245" w:lineRule="auto" w:before="98" w:after="0"/>
        <w:ind w:left="740" w:right="144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The term “product” used throughout this document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includes medical products such as pharmaceuticals, DTx,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diagnostic tests, or medical devices. The AMCP Format </w:t>
      </w:r>
      <w:r>
        <w:rPr>
          <w:rFonts w:ascii="Lora" w:hAnsi="Lora" w:eastAsia="Lora"/>
          <w:b w:val="0"/>
          <w:i w:val="0"/>
          <w:color w:val="000000"/>
          <w:sz w:val="18"/>
        </w:rPr>
        <w:t>was originally developed to address evidence for pharma-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ceutical products (drugs, biologics, and vaccines); however,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today, the AMCP Format aims to also provide guidance for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developing dossiers for nonpharmaceutical products, such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as DTx, tests (e.g., companion diagnostic tests [CDTs]),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and medical devices (e.g., syringes, glucometers, wearable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technology) that may be relevant to formulary and medical </w:t>
      </w:r>
      <w:r>
        <w:rPr>
          <w:rFonts w:ascii="Lora" w:hAnsi="Lora" w:eastAsia="Lora"/>
          <w:b w:val="0"/>
          <w:i w:val="0"/>
          <w:color w:val="000000"/>
          <w:sz w:val="18"/>
        </w:rPr>
        <w:t>policy decisions.</w:t>
      </w:r>
    </w:p>
    <w:p>
      <w:pPr>
        <w:autoSpaceDN w:val="0"/>
        <w:autoSpaceDE w:val="0"/>
        <w:widowControl/>
        <w:spacing w:line="424" w:lineRule="exact" w:before="152" w:after="0"/>
        <w:ind w:left="740" w:right="0" w:firstLine="0"/>
        <w:jc w:val="left"/>
      </w:pPr>
      <w:r>
        <w:rPr>
          <w:rFonts w:ascii="Asap" w:hAnsi="Asap" w:eastAsia="Asap"/>
          <w:b/>
          <w:i w:val="0"/>
          <w:color w:val="6C146B"/>
          <w:sz w:val="32"/>
        </w:rPr>
        <w:t>Approval</w:t>
      </w:r>
    </w:p>
    <w:p>
      <w:pPr>
        <w:autoSpaceDN w:val="0"/>
        <w:autoSpaceDE w:val="0"/>
        <w:widowControl/>
        <w:spacing w:line="245" w:lineRule="auto" w:before="98" w:after="0"/>
        <w:ind w:left="740" w:right="156" w:firstLine="0"/>
        <w:jc w:val="both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The term “approval” is used throughout this document as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 general term to reflect the appropriate FDA regulatory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decision-making process needed before the product may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be commercialized. These decision-making processes may </w:t>
      </w:r>
      <w:r>
        <w:rPr>
          <w:rFonts w:ascii="Lora" w:hAnsi="Lora" w:eastAsia="Lora"/>
          <w:b w:val="0"/>
          <w:i w:val="0"/>
          <w:color w:val="000000"/>
          <w:sz w:val="18"/>
        </w:rPr>
        <w:t>include FDA approval, clearance, licensures, etc.</w:t>
      </w:r>
    </w:p>
    <w:p>
      <w:pPr>
        <w:autoSpaceDN w:val="0"/>
        <w:autoSpaceDE w:val="0"/>
        <w:widowControl/>
        <w:spacing w:line="360" w:lineRule="exact" w:before="216" w:after="0"/>
        <w:ind w:left="740" w:right="1296" w:firstLine="0"/>
        <w:jc w:val="left"/>
      </w:pPr>
      <w:r>
        <w:rPr>
          <w:rFonts w:ascii="Asap" w:hAnsi="Asap" w:eastAsia="Asap"/>
          <w:b/>
          <w:i w:val="0"/>
          <w:color w:val="6C146B"/>
          <w:sz w:val="32"/>
        </w:rPr>
        <w:t xml:space="preserve">Communication Between </w:t>
      </w:r>
      <w:r>
        <w:rPr>
          <w:rFonts w:ascii="Asap" w:hAnsi="Asap" w:eastAsia="Asap"/>
          <w:b/>
          <w:i w:val="0"/>
          <w:color w:val="6C146B"/>
          <w:sz w:val="32"/>
        </w:rPr>
        <w:t>Manufacturers And HCDMs</w:t>
      </w:r>
    </w:p>
    <w:p>
      <w:pPr>
        <w:autoSpaceDN w:val="0"/>
        <w:autoSpaceDE w:val="0"/>
        <w:widowControl/>
        <w:spacing w:line="245" w:lineRule="auto" w:before="98" w:after="0"/>
        <w:ind w:left="740" w:right="156" w:firstLine="0"/>
        <w:jc w:val="both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The AMCP Format for Formulary Submissions Committee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strongly recommends that manufacturer personnel with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appropriate medical, scientific, or clinical training and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credentials are the most appropriate to communicate, </w:t>
      </w:r>
    </w:p>
    <w:p>
      <w:pPr>
        <w:autoSpaceDN w:val="0"/>
        <w:autoSpaceDE w:val="0"/>
        <w:widowControl/>
        <w:spacing w:line="186" w:lineRule="exact" w:before="554" w:after="0"/>
        <w:ind w:left="740" w:right="0" w:firstLine="0"/>
        <w:jc w:val="left"/>
      </w:pPr>
      <w:r>
        <w:rPr>
          <w:rFonts w:ascii="Asap" w:hAnsi="Asap" w:eastAsia="Asap"/>
          <w:b/>
          <w:i w:val="0"/>
          <w:color w:val="14377D"/>
          <w:sz w:val="14"/>
        </w:rPr>
        <w:t>JMCP</w:t>
      </w:r>
      <w:r>
        <w:rPr>
          <w:rFonts w:ascii="Asap" w:hAnsi="Asap" w:eastAsia="Asap"/>
          <w:b w:val="0"/>
          <w:i w:val="0"/>
          <w:color w:val="14377D"/>
          <w:sz w:val="14"/>
        </w:rPr>
        <w:t>.org</w:t>
      </w:r>
      <w:r>
        <w:rPr>
          <w:rFonts w:ascii="Asap" w:hAnsi="Asap" w:eastAsia="Asap"/>
          <w:b w:val="0"/>
          <w:i w:val="0"/>
          <w:color w:val="474C55"/>
          <w:sz w:val="14"/>
        </w:rPr>
        <w:t>|</w:t>
      </w:r>
      <w:r>
        <w:rPr>
          <w:rFonts w:ascii="Asap" w:hAnsi="Asap" w:eastAsia="Asap"/>
          <w:b w:val="0"/>
          <w:i w:val="0"/>
          <w:color w:val="474C55"/>
          <w:sz w:val="14"/>
        </w:rPr>
        <w:t>April 2024</w:t>
      </w:r>
      <w:r>
        <w:rPr>
          <w:rFonts w:ascii="Asap" w:hAnsi="Asap" w:eastAsia="Asap"/>
          <w:b w:val="0"/>
          <w:i w:val="0"/>
          <w:color w:val="474C55"/>
          <w:sz w:val="14"/>
        </w:rPr>
        <w:t>|</w:t>
      </w:r>
      <w:r>
        <w:rPr>
          <w:rFonts w:ascii="Asap" w:hAnsi="Asap" w:eastAsia="Asap"/>
          <w:b w:val="0"/>
          <w:i w:val="0"/>
          <w:color w:val="474C55"/>
          <w:sz w:val="14"/>
        </w:rPr>
        <w:t>Vol. 30, No. 4-B</w:t>
      </w:r>
    </w:p>
    <w:p>
      <w:pPr>
        <w:sectPr>
          <w:type w:val="continuous"/>
          <w:pgSz w:w="11880" w:h="15660"/>
          <w:pgMar w:top="360" w:right="632" w:bottom="266" w:left="0" w:header="720" w:footer="720" w:gutter="0"/>
          <w:cols w:num="2" w:equalWidth="0">
            <w:col w:w="5984" w:space="0"/>
            <w:col w:w="5264" w:space="0"/>
          </w:cols>
          <w:docGrid w:linePitch="360"/>
        </w:sectPr>
      </w:pPr>
    </w:p>
    <w:p>
      <w:pPr>
        <w:autoSpaceDN w:val="0"/>
        <w:autoSpaceDE w:val="0"/>
        <w:widowControl/>
        <w:spacing w:line="245" w:lineRule="auto" w:before="0" w:after="0"/>
        <w:ind w:left="156" w:right="20" w:firstLine="0"/>
        <w:jc w:val="both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provide, present, share, and discuss Unapproved Product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Dossiers and Unapproved Use Dossiers and their contents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with HCDMs. This recommendation is based on feedback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by AMCP Format for Formulary Submissions Committee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members and individual stakeholders representing payer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organizations who have expressed the preference for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appropriately trained and credentialed personnel with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clinical or scientific degrees (e.g., PharmD, MD, PhD) and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who possess medical, scientific, or health economics and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outcomes research roles and responsibilities within the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manufacturer to deliver clinical and economic evidence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(e.g., not sales, marketing, or account managers). However, </w:t>
      </w:r>
      <w:r>
        <w:rPr>
          <w:rFonts w:ascii="Lora" w:hAnsi="Lora" w:eastAsia="Lora"/>
          <w:b w:val="0"/>
          <w:i w:val="0"/>
          <w:color w:val="000000"/>
          <w:sz w:val="18"/>
        </w:rPr>
        <w:t>manufacturers may use their own discretion on this issue.</w:t>
      </w:r>
    </w:p>
    <w:p>
      <w:pPr>
        <w:autoSpaceDN w:val="0"/>
        <w:autoSpaceDE w:val="0"/>
        <w:widowControl/>
        <w:spacing w:line="240" w:lineRule="exact" w:before="220" w:after="0"/>
        <w:ind w:left="156" w:right="0" w:firstLine="0"/>
        <w:jc w:val="left"/>
      </w:pPr>
      <w:r>
        <w:rPr>
          <w:rFonts w:ascii="Asap" w:hAnsi="Asap" w:eastAsia="Asap"/>
          <w:b/>
          <w:i w:val="0"/>
          <w:color w:val="14377D"/>
          <w:sz w:val="20"/>
        </w:rPr>
        <w:t xml:space="preserve">COMMUNICATION OF HEALTH CARE ECONOMIC </w:t>
      </w:r>
      <w:r>
        <w:br/>
      </w:r>
      <w:r>
        <w:rPr>
          <w:rFonts w:ascii="Asap" w:hAnsi="Asap" w:eastAsia="Asap"/>
          <w:b/>
          <w:i w:val="0"/>
          <w:color w:val="14377D"/>
          <w:sz w:val="20"/>
        </w:rPr>
        <w:t xml:space="preserve">INFORMATION FOR APPROVED PRODUCTS 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Communication between HCDMs and manufacturers is </w:t>
      </w:r>
      <w:r>
        <w:rPr>
          <w:rFonts w:ascii="Lora" w:hAnsi="Lora" w:eastAsia="Lora"/>
          <w:b w:val="0"/>
          <w:i w:val="0"/>
          <w:color w:val="000000"/>
          <w:sz w:val="18"/>
        </w:rPr>
        <w:t>strictly regulated by the FDA.</w:t>
      </w:r>
      <w:r>
        <w:rPr>
          <w:w w:val="104.94000434875488"/>
          <w:rFonts w:ascii="Lora" w:hAnsi="Lora" w:eastAsia="Lora"/>
          <w:b w:val="0"/>
          <w:i w:val="0"/>
          <w:color w:val="000000"/>
          <w:sz w:val="10"/>
        </w:rPr>
        <w:t>11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 The FDA considers many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types of proactive communication between manufacturers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and HCDMs to be subject to promotional requirements.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The Federal Food, Drug, and Cosmetic Act was amended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in 1997, in part, to allow a different evidentiary standard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for “health care economic information” (HCEI) provided to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 limited audience of “formulary committees and similar </w:t>
      </w:r>
      <w:r>
        <w:rPr>
          <w:rFonts w:ascii="Lora" w:hAnsi="Lora" w:eastAsia="Lora"/>
          <w:b w:val="0"/>
          <w:i w:val="0"/>
          <w:color w:val="000000"/>
          <w:sz w:val="18"/>
        </w:rPr>
        <w:t>entities.”</w:t>
      </w:r>
      <w:r>
        <w:rPr>
          <w:w w:val="104.94000434875488"/>
          <w:rFonts w:ascii="Lora" w:hAnsi="Lora" w:eastAsia="Lora"/>
          <w:b w:val="0"/>
          <w:i w:val="0"/>
          <w:color w:val="000000"/>
          <w:sz w:val="10"/>
        </w:rPr>
        <w:t>12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 In 2016, the 21st Century Cures Act Section 3037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expanded and modernized Section 114 of the Food and Drug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Administration Modernization Act (FDAMA), which related </w:t>
      </w:r>
      <w:r>
        <w:rPr>
          <w:rFonts w:ascii="Lora" w:hAnsi="Lora" w:eastAsia="Lora"/>
          <w:b w:val="0"/>
          <w:i w:val="0"/>
          <w:color w:val="000000"/>
          <w:sz w:val="18"/>
        </w:rPr>
        <w:t>to communication of HCEI.</w:t>
      </w:r>
      <w:r>
        <w:rPr>
          <w:w w:val="104.94000434875488"/>
          <w:rFonts w:ascii="Lora" w:hAnsi="Lora" w:eastAsia="Lora"/>
          <w:b w:val="0"/>
          <w:i w:val="0"/>
          <w:color w:val="000000"/>
          <w:sz w:val="10"/>
        </w:rPr>
        <w:t>13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 The 2018 FDA Final Guidance </w:t>
      </w:r>
      <w:r>
        <w:rPr>
          <w:rFonts w:ascii="Lora" w:hAnsi="Lora" w:eastAsia="Lora"/>
          <w:b w:val="0"/>
          <w:i w:val="0"/>
          <w:color w:val="000000"/>
          <w:sz w:val="18"/>
        </w:rPr>
        <w:t>clarifies common questions regarding manufacturers’ pro-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active communication of HCEI regarding drugs and devices </w:t>
      </w:r>
      <w:r>
        <w:rPr>
          <w:rFonts w:ascii="Lora" w:hAnsi="Lora" w:eastAsia="Lora"/>
          <w:b w:val="0"/>
          <w:i w:val="0"/>
          <w:color w:val="000000"/>
          <w:sz w:val="18"/>
        </w:rPr>
        <w:t>to payers, formulary committees, or other similar entities.</w:t>
      </w:r>
      <w:r>
        <w:rPr>
          <w:w w:val="104.94000434875488"/>
          <w:rFonts w:ascii="Lora" w:hAnsi="Lora" w:eastAsia="Lora"/>
          <w:b w:val="0"/>
          <w:i w:val="0"/>
          <w:color w:val="000000"/>
          <w:sz w:val="10"/>
        </w:rPr>
        <w:t xml:space="preserve">3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HCEI, as defined by FDAMA Section 114 and further clarified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by the 21st Century Cures Act and the FDA Final Guidance,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is subject to competent and reliable scientific evidence. The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PIE Act was enacted as Section 3630 of the Consolidated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Appropriations Act of 2023 and codified the FDA Final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Guidance as part of FDAMA Section 114, effective January </w:t>
      </w:r>
      <w:r>
        <w:rPr>
          <w:rFonts w:ascii="Lora" w:hAnsi="Lora" w:eastAsia="Lora"/>
          <w:b w:val="0"/>
          <w:i w:val="0"/>
          <w:color w:val="000000"/>
          <w:sz w:val="18"/>
        </w:rPr>
        <w:t>1, 2023.</w:t>
      </w:r>
      <w:r>
        <w:rPr>
          <w:w w:val="104.94000434875488"/>
          <w:rFonts w:ascii="Lora" w:hAnsi="Lora" w:eastAsia="Lora"/>
          <w:b w:val="0"/>
          <w:i w:val="0"/>
          <w:color w:val="000000"/>
          <w:sz w:val="10"/>
        </w:rPr>
        <w:t xml:space="preserve">4 </w:t>
      </w:r>
    </w:p>
    <w:p>
      <w:pPr>
        <w:autoSpaceDN w:val="0"/>
        <w:autoSpaceDE w:val="0"/>
        <w:widowControl/>
        <w:spacing w:line="242" w:lineRule="exact" w:before="218" w:after="0"/>
        <w:ind w:left="156" w:right="0" w:firstLine="0"/>
        <w:jc w:val="left"/>
      </w:pPr>
      <w:r>
        <w:rPr>
          <w:rFonts w:ascii="Asap" w:hAnsi="Asap" w:eastAsia="Asap"/>
          <w:b/>
          <w:i w:val="0"/>
          <w:color w:val="14377D"/>
          <w:sz w:val="20"/>
        </w:rPr>
        <w:t xml:space="preserve">COMMUNICATION OF APPROVED PRODUCT DOSSIERS </w:t>
      </w:r>
      <w:r>
        <w:rPr>
          <w:rFonts w:ascii="Lora" w:hAnsi="Lora" w:eastAsia="Lora"/>
          <w:b w:val="0"/>
          <w:i w:val="0"/>
          <w:color w:val="000000"/>
          <w:sz w:val="18"/>
        </w:rPr>
        <w:t>The FDA Final Guidance</w:t>
      </w:r>
      <w:r>
        <w:rPr>
          <w:w w:val="104.94000434875488"/>
          <w:rFonts w:ascii="Lora" w:hAnsi="Lora" w:eastAsia="Lora"/>
          <w:b w:val="0"/>
          <w:i w:val="0"/>
          <w:color w:val="000000"/>
          <w:sz w:val="10"/>
        </w:rPr>
        <w:t>3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 does not affect or change the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manufacturer’s ability to develop and communicate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Approved Product Dossiers that are provided to HCDMs </w:t>
      </w:r>
      <w:r>
        <w:rPr>
          <w:rFonts w:ascii="Lora" w:hAnsi="Lora" w:eastAsia="Lora"/>
          <w:b w:val="0"/>
          <w:i w:val="0"/>
          <w:color w:val="000000"/>
          <w:sz w:val="18"/>
        </w:rPr>
        <w:t>upon an unsolicited request.</w:t>
      </w:r>
    </w:p>
    <w:p>
      <w:pPr>
        <w:autoSpaceDN w:val="0"/>
        <w:autoSpaceDE w:val="0"/>
        <w:widowControl/>
        <w:spacing w:line="245" w:lineRule="auto" w:before="0" w:after="0"/>
        <w:ind w:left="156" w:right="0" w:firstLine="18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The unsolicited request process continues to be the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mechanism through which the traditional Approved Product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Dossiers are communicated and provided to HCDMs. This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is largely because, for an Approved Product Dossier, the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AMCP Format calls for information that may be inconsistent </w:t>
      </w:r>
      <w:r>
        <w:rPr>
          <w:rFonts w:ascii="Lora" w:hAnsi="Lora" w:eastAsia="Lora"/>
          <w:b w:val="0"/>
          <w:i w:val="0"/>
          <w:color w:val="000000"/>
          <w:sz w:val="18"/>
        </w:rPr>
        <w:t>with a product’s FDA-approved labeling or does not oth-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erwise meet substantiation requirements for promotional </w:t>
      </w:r>
    </w:p>
    <w:p>
      <w:pPr>
        <w:sectPr>
          <w:type w:val="nextColumn"/>
          <w:pgSz w:w="11880" w:h="15660"/>
          <w:pgMar w:top="360" w:right="632" w:bottom="266" w:left="0" w:header="720" w:footer="720" w:gutter="0"/>
          <w:cols w:num="2" w:equalWidth="0">
            <w:col w:w="5984" w:space="0"/>
            <w:col w:w="5264" w:space="0"/>
          </w:cols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220.0" w:type="dxa"/>
      </w:tblPr>
      <w:tblGrid>
        <w:gridCol w:w="4860"/>
        <w:gridCol w:w="4860"/>
      </w:tblGrid>
      <w:tr>
        <w:trPr>
          <w:trHeight w:hRule="exact" w:val="362"/>
        </w:trPr>
        <w:tc>
          <w:tcPr>
            <w:tcW w:type="dxa" w:w="584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4" w:after="0"/>
              <w:ind w:left="0" w:right="90" w:firstLine="0"/>
              <w:jc w:val="right"/>
            </w:pPr>
            <w:r>
              <w:rPr>
                <w:rFonts w:ascii="Asap" w:hAnsi="Asap" w:eastAsia="Asap"/>
                <w:b/>
                <w:i w:val="0"/>
                <w:color w:val="474C55"/>
                <w:sz w:val="18"/>
              </w:rPr>
              <w:t>AMCP FORMAT 5.0</w:t>
            </w:r>
          </w:p>
        </w:tc>
        <w:tc>
          <w:tcPr>
            <w:tcW w:type="dxa" w:w="1094"/>
            <w:tcBorders/>
            <w:shd w:fill="6b146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72" w:after="0"/>
              <w:ind w:left="90" w:right="0" w:firstLine="0"/>
              <w:jc w:val="left"/>
            </w:pPr>
            <w:r>
              <w:rPr>
                <w:rFonts w:ascii="Asap" w:hAnsi="Asap" w:eastAsia="Asap"/>
                <w:b/>
                <w:i w:val="0"/>
                <w:color w:val="FFFFFF"/>
                <w:sz w:val="18"/>
              </w:rPr>
              <w:t>11</w:t>
            </w:r>
          </w:p>
        </w:tc>
      </w:tr>
    </w:tbl>
    <w:p>
      <w:pPr>
        <w:autoSpaceDN w:val="0"/>
        <w:autoSpaceDE w:val="0"/>
        <w:widowControl/>
        <w:spacing w:line="14" w:lineRule="exact" w:before="0" w:after="982"/>
        <w:ind w:left="0" w:right="0"/>
      </w:pPr>
    </w:p>
    <w:p>
      <w:pPr>
        <w:sectPr>
          <w:pgSz w:w="11880" w:h="15660"/>
          <w:pgMar w:top="360" w:right="0" w:bottom="266" w:left="72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45" w:lineRule="auto" w:before="0" w:after="0"/>
        <w:ind w:left="0" w:right="144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communications. In December 2011, the FDA issued draft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guidance entitled “Guidance for Industry: Responding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to Unsolicited Requests for Off-label Information About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Prescription Drugs and Medical Devices,” which outlines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the FDA’s current thinking on the way manufacturers can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respond to unsolicited requests for information about </w:t>
      </w:r>
      <w:r>
        <w:rPr>
          <w:rFonts w:ascii="Lora" w:hAnsi="Lora" w:eastAsia="Lora"/>
          <w:b w:val="0"/>
          <w:i w:val="0"/>
          <w:color w:val="000000"/>
          <w:sz w:val="18"/>
        </w:rPr>
        <w:t>products.</w:t>
      </w:r>
      <w:r>
        <w:rPr>
          <w:w w:val="104.94000434875488"/>
          <w:rFonts w:ascii="Lora" w:hAnsi="Lora" w:eastAsia="Lora"/>
          <w:b w:val="0"/>
          <w:i w:val="0"/>
          <w:color w:val="000000"/>
          <w:sz w:val="10"/>
        </w:rPr>
        <w:t>14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 Manufacturers should follow this FDA guid-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ance for the provision of an Approved Product Dossier in </w:t>
      </w:r>
      <w:r>
        <w:rPr>
          <w:rFonts w:ascii="Lora" w:hAnsi="Lora" w:eastAsia="Lora"/>
          <w:b w:val="0"/>
          <w:i w:val="0"/>
          <w:color w:val="000000"/>
          <w:sz w:val="18"/>
        </w:rPr>
        <w:t>response to an unsolicited request. The request for infor-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mation must be truly unsolicited. Specifically, the inquiry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must be initiated by the requester (formulated in their own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mind) without prompting, suggestion, or solicitation by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the manufacturer or its employees. Manufacturers should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place a statement on the Approved Product Dossier that it is </w:t>
      </w:r>
      <w:r>
        <w:rPr>
          <w:rFonts w:ascii="Lora" w:hAnsi="Lora" w:eastAsia="Lora"/>
          <w:b w:val="0"/>
          <w:i w:val="0"/>
          <w:color w:val="000000"/>
          <w:sz w:val="18"/>
        </w:rPr>
        <w:t>being provided in response to an unsolicited request.</w:t>
      </w:r>
    </w:p>
    <w:p>
      <w:pPr>
        <w:autoSpaceDN w:val="0"/>
        <w:autoSpaceDE w:val="0"/>
        <w:widowControl/>
        <w:spacing w:line="240" w:lineRule="exact" w:before="220" w:after="0"/>
        <w:ind w:left="0" w:right="144" w:firstLine="0"/>
        <w:jc w:val="left"/>
      </w:pPr>
      <w:r>
        <w:rPr>
          <w:rFonts w:ascii="Asap" w:hAnsi="Asap" w:eastAsia="Asap"/>
          <w:b/>
          <w:i w:val="0"/>
          <w:color w:val="14377D"/>
          <w:sz w:val="20"/>
        </w:rPr>
        <w:t xml:space="preserve">COMMUNICATION OF UNAPPROVED PRODUCT </w:t>
      </w:r>
      <w:r>
        <w:br/>
      </w:r>
      <w:r>
        <w:rPr>
          <w:rFonts w:ascii="Asap" w:hAnsi="Asap" w:eastAsia="Asap"/>
          <w:b/>
          <w:i w:val="0"/>
          <w:color w:val="14377D"/>
          <w:sz w:val="20"/>
        </w:rPr>
        <w:t xml:space="preserve">DOSSIERS AND UNAPPROVED USE DOSSIERS 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>HCDMs need and are interested in receiving informa-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tion about unapproved products and unapproved uses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of approved products for the purpose of early planning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and budgeting for future coverage and reimbursement </w:t>
      </w:r>
      <w:r>
        <w:rPr>
          <w:rFonts w:ascii="Lora" w:hAnsi="Lora" w:eastAsia="Lora"/>
          <w:b w:val="0"/>
          <w:i w:val="0"/>
          <w:color w:val="000000"/>
          <w:sz w:val="18"/>
        </w:rPr>
        <w:t>decisions before FDA approval.</w:t>
      </w:r>
      <w:r>
        <w:rPr>
          <w:w w:val="104.94000434875488"/>
          <w:rFonts w:ascii="Lora" w:hAnsi="Lora" w:eastAsia="Lora"/>
          <w:b w:val="0"/>
          <w:i w:val="0"/>
          <w:color w:val="000000"/>
          <w:sz w:val="10"/>
        </w:rPr>
        <w:t>3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 AMCP recommends that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manufacturers provide HCDMs with Unapproved Product </w:t>
      </w:r>
      <w:r>
        <w:rPr>
          <w:rFonts w:ascii="Lora" w:hAnsi="Lora" w:eastAsia="Lora"/>
          <w:b w:val="0"/>
          <w:i w:val="0"/>
          <w:color w:val="000000"/>
          <w:sz w:val="18"/>
        </w:rPr>
        <w:t>and Unapproved Use Dossiers 6 to 12 months before antici-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pated FDA approval or when information may be of most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relevance to HCDM budget forecasting. Historically, it has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been challenging for HCDMs to obtain, and manufacturers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to communicate, such information when needed. To address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this need, guidance on Unapproved Product Dossiers and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Unapproved Use Dossiers were first included in Version 4.1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of the AMCP Format. HCDMs and manufacturers need to be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cognizant that the availability of evidence and information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at different points in a product’s life cycle varies. It is the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manufacturer’s responsibility to include the most objective,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relevant, and timely information in Unapproved Product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Dossiers and Unapproved Use Dossiers when it becomes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available. It is the HCDM’s responsibility to review the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information and ask questions to gain a full understanding </w:t>
      </w:r>
      <w:r>
        <w:rPr>
          <w:rFonts w:ascii="Lora" w:hAnsi="Lora" w:eastAsia="Lora"/>
          <w:b w:val="0"/>
          <w:i w:val="0"/>
          <w:color w:val="000000"/>
          <w:sz w:val="18"/>
        </w:rPr>
        <w:t>of a product’s profile.</w:t>
      </w:r>
    </w:p>
    <w:p>
      <w:pPr>
        <w:autoSpaceDN w:val="0"/>
        <w:autoSpaceDE w:val="0"/>
        <w:widowControl/>
        <w:spacing w:line="240" w:lineRule="exact" w:before="220" w:after="0"/>
        <w:ind w:left="0" w:right="144" w:firstLine="0"/>
        <w:jc w:val="left"/>
      </w:pPr>
      <w:r>
        <w:rPr>
          <w:rFonts w:ascii="Asap" w:hAnsi="Asap" w:eastAsia="Asap"/>
          <w:b/>
          <w:i w:val="0"/>
          <w:color w:val="14377D"/>
          <w:sz w:val="20"/>
        </w:rPr>
        <w:t xml:space="preserve">ADDITIONAL CONSIDERATIONS FOR </w:t>
      </w:r>
      <w:r>
        <w:br/>
      </w:r>
      <w:r>
        <w:rPr>
          <w:rFonts w:ascii="Asap" w:hAnsi="Asap" w:eastAsia="Asap"/>
          <w:b/>
          <w:i w:val="0"/>
          <w:color w:val="14377D"/>
          <w:sz w:val="20"/>
        </w:rPr>
        <w:t xml:space="preserve">MANUFACTURERS 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Given the complex regulatory and legal environment,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manufacturers should consider and establish their own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acceptable policies and procedures for developing and </w:t>
      </w:r>
      <w:r>
        <w:rPr>
          <w:rFonts w:ascii="Lora" w:hAnsi="Lora" w:eastAsia="Lora"/>
          <w:b w:val="0"/>
          <w:i w:val="0"/>
          <w:color w:val="000000"/>
          <w:sz w:val="18"/>
        </w:rPr>
        <w:t>updating dossiers as well as communicating and dis-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seminating dossiers, including the handling of requests. For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example, consider policies and procedures to address the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following inexhaustive list: (1) What specifically constitutes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 request for a dossier versus a request for other medical </w:t>
      </w:r>
    </w:p>
    <w:p>
      <w:pPr>
        <w:sectPr>
          <w:type w:val="continuous"/>
          <w:pgSz w:w="11880" w:h="15660"/>
          <w:pgMar w:top="360" w:right="0" w:bottom="266" w:left="720" w:header="720" w:footer="720" w:gutter="0"/>
          <w:cols w:num="2" w:equalWidth="0">
            <w:col w:w="5244" w:space="0"/>
            <w:col w:w="5916" w:space="0"/>
          </w:cols>
          <w:docGrid w:linePitch="360"/>
        </w:sectPr>
      </w:pPr>
    </w:p>
    <w:p>
      <w:pPr>
        <w:autoSpaceDN w:val="0"/>
        <w:autoSpaceDE w:val="0"/>
        <w:widowControl/>
        <w:spacing w:line="245" w:lineRule="auto" w:before="0" w:after="0"/>
        <w:ind w:left="156" w:right="672" w:firstLine="0"/>
        <w:jc w:val="both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information; (2) How to fulfill requests for dossiers that have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multiple indications or products for which a manufacturer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has more than one dossier; (3) How to handle requests for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future updates to dossiers; (4) When to develop Unapproved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Product Dossiers and Unapproved Use Dossiers; and (5)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How to communicate Unapproved Product Dossiers and </w:t>
      </w:r>
      <w:r>
        <w:rPr>
          <w:rFonts w:ascii="Lora" w:hAnsi="Lora" w:eastAsia="Lora"/>
          <w:b w:val="0"/>
          <w:i w:val="0"/>
          <w:color w:val="000000"/>
          <w:sz w:val="18"/>
        </w:rPr>
        <w:t>Unapproved Use Dossiers.</w:t>
      </w:r>
    </w:p>
    <w:p>
      <w:pPr>
        <w:autoSpaceDN w:val="0"/>
        <w:tabs>
          <w:tab w:pos="336" w:val="left"/>
        </w:tabs>
        <w:autoSpaceDE w:val="0"/>
        <w:widowControl/>
        <w:spacing w:line="240" w:lineRule="exact" w:before="220" w:after="0"/>
        <w:ind w:left="156" w:right="576" w:firstLine="0"/>
        <w:jc w:val="left"/>
      </w:pPr>
      <w:r>
        <w:rPr>
          <w:rFonts w:ascii="Asap" w:hAnsi="Asap" w:eastAsia="Asap"/>
          <w:b/>
          <w:i w:val="0"/>
          <w:color w:val="14377D"/>
          <w:sz w:val="20"/>
        </w:rPr>
        <w:t xml:space="preserve">BIDIRECTIONAL COMMUNICATION OF INFORMATION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Substantial ongoing and bidirectional communication and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feedback between the HCDM and manufacturer is critical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throughout the product evaluation process to manage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expectations and maximize the quality of available evidence.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On one hand, HCDMs often view and criticize dossiers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from manufacturers as lacking independence or objectivity.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On the other hand, manufacturers invest significant time, </w:t>
      </w:r>
      <w:r>
        <w:rPr>
          <w:rFonts w:ascii="Lora" w:hAnsi="Lora" w:eastAsia="Lora"/>
          <w:b w:val="0"/>
          <w:i w:val="0"/>
          <w:color w:val="000000"/>
          <w:sz w:val="18"/>
        </w:rPr>
        <w:t>resources, and costs in developing credible and evidence-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based dossiers per the AMCP Format. Often, after a dossier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is requested and received by the HCDM, the manufacturer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is left with no feedback, comments, or conversation with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the HCDM about the product information contained in the </w:t>
      </w:r>
      <w:r>
        <w:rPr>
          <w:rFonts w:ascii="Lora" w:hAnsi="Lora" w:eastAsia="Lora"/>
          <w:b w:val="0"/>
          <w:i w:val="0"/>
          <w:color w:val="000000"/>
          <w:sz w:val="18"/>
        </w:rPr>
        <w:t>dossier.</w:t>
      </w:r>
    </w:p>
    <w:p>
      <w:pPr>
        <w:autoSpaceDN w:val="0"/>
        <w:autoSpaceDE w:val="0"/>
        <w:widowControl/>
        <w:spacing w:line="245" w:lineRule="auto" w:before="0" w:after="0"/>
        <w:ind w:left="156" w:right="576" w:firstLine="18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To address the perception that dossiers lack independence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or objectivity and in return for receiving a comprehensive </w:t>
      </w:r>
      <w:r>
        <w:rPr>
          <w:rFonts w:ascii="Lora" w:hAnsi="Lora" w:eastAsia="Lora"/>
          <w:b w:val="0"/>
          <w:i w:val="0"/>
          <w:color w:val="000000"/>
          <w:sz w:val="18"/>
        </w:rPr>
        <w:t>dossier, HCDMs are encouraged to share with manufactur-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ers concerns or questions about the evidence presented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in the dossier, such as assumptions incorporated into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economic models or completeness of clinical studies or </w:t>
      </w:r>
      <w:r>
        <w:rPr>
          <w:rFonts w:ascii="Lora" w:hAnsi="Lora" w:eastAsia="Lora"/>
          <w:b w:val="0"/>
          <w:i w:val="0"/>
          <w:color w:val="000000"/>
          <w:sz w:val="18"/>
        </w:rPr>
        <w:t>substantiation of the proposed value proposition, to facili-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tate a productive dialogue. Feedback from HCDMs can help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improve the quality of dossiers developed and provided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by manufacturers. Feedback may include information on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dossier completeness, objectiveness, relevance, usability, </w:t>
      </w:r>
      <w:r>
        <w:rPr>
          <w:rFonts w:ascii="Lora" w:hAnsi="Lora" w:eastAsia="Lora"/>
          <w:b w:val="0"/>
          <w:i w:val="0"/>
          <w:color w:val="000000"/>
          <w:sz w:val="18"/>
        </w:rPr>
        <w:t>readability, and other user experiences with the docu-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ment. Manufacturers and HCDMs should view bidirectional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discussions about evidence and information in dossiers as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 process to facilitate the HCDM’s understanding of the </w:t>
      </w:r>
      <w:r>
        <w:rPr>
          <w:rFonts w:ascii="Lora" w:hAnsi="Lora" w:eastAsia="Lora"/>
          <w:b w:val="0"/>
          <w:i w:val="0"/>
          <w:color w:val="000000"/>
          <w:sz w:val="18"/>
        </w:rPr>
        <w:t>product evidence and information; educate the manufac-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turer on the HCDM’s evidentiary needs and perceived gaps;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and improve the quality, content, and layout of the dossier. </w:t>
      </w:r>
      <w:r>
        <w:rPr>
          <w:rFonts w:ascii="Lora" w:hAnsi="Lora" w:eastAsia="Lora"/>
          <w:b w:val="0"/>
          <w:i w:val="0"/>
          <w:color w:val="000000"/>
          <w:sz w:val="18"/>
        </w:rPr>
        <w:t>A shared vision to facilitate bidirectional communica-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tion between HCDMs and manufacturers is necessary to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ensure and support appropriate evidence-based product </w:t>
      </w:r>
      <w:r>
        <w:rPr>
          <w:rFonts w:ascii="Lora" w:hAnsi="Lora" w:eastAsia="Lora"/>
          <w:b w:val="0"/>
          <w:i w:val="0"/>
          <w:color w:val="000000"/>
          <w:sz w:val="18"/>
        </w:rPr>
        <w:t>evaluation.</w:t>
      </w:r>
    </w:p>
    <w:p>
      <w:pPr>
        <w:autoSpaceDN w:val="0"/>
        <w:autoSpaceDE w:val="0"/>
        <w:widowControl/>
        <w:spacing w:line="245" w:lineRule="auto" w:before="0" w:after="0"/>
        <w:ind w:left="156" w:right="576" w:firstLine="18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>It is important for HCDMs to communicate to manufactur-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ers basic information such as product review timelines, the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evaluation process, and any perceived evidence gaps that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might exist. This allows the manufacturer an opportunity to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respond with timely, relevant, and specific information that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meets the needs of the HCDM. If the manufacturer is unable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to provide certain information, it is better for the HCDM </w:t>
      </w:r>
    </w:p>
    <w:p>
      <w:pPr>
        <w:autoSpaceDN w:val="0"/>
        <w:autoSpaceDE w:val="0"/>
        <w:widowControl/>
        <w:spacing w:line="186" w:lineRule="exact" w:before="622" w:after="0"/>
        <w:ind w:left="0" w:right="742" w:firstLine="0"/>
        <w:jc w:val="right"/>
      </w:pPr>
      <w:r>
        <w:rPr>
          <w:rFonts w:ascii="Asap" w:hAnsi="Asap" w:eastAsia="Asap"/>
          <w:b w:val="0"/>
          <w:i w:val="0"/>
          <w:color w:val="474C55"/>
          <w:sz w:val="14"/>
        </w:rPr>
        <w:t>Vol. 30, No. 4-b</w:t>
      </w:r>
      <w:r>
        <w:rPr>
          <w:rFonts w:ascii="Asap" w:hAnsi="Asap" w:eastAsia="Asap"/>
          <w:b w:val="0"/>
          <w:i w:val="0"/>
          <w:color w:val="474C55"/>
          <w:sz w:val="14"/>
        </w:rPr>
        <w:t>|</w:t>
      </w:r>
      <w:r>
        <w:rPr>
          <w:rFonts w:ascii="Asap" w:hAnsi="Asap" w:eastAsia="Asap"/>
          <w:b w:val="0"/>
          <w:i w:val="0"/>
          <w:color w:val="474C55"/>
          <w:sz w:val="14"/>
        </w:rPr>
        <w:t>April 2024</w:t>
      </w:r>
      <w:r>
        <w:rPr>
          <w:rFonts w:ascii="Asap" w:hAnsi="Asap" w:eastAsia="Asap"/>
          <w:b w:val="0"/>
          <w:i w:val="0"/>
          <w:color w:val="474C55"/>
          <w:sz w:val="14"/>
        </w:rPr>
        <w:t>|</w:t>
      </w:r>
      <w:r>
        <w:rPr>
          <w:rFonts w:ascii="Asap" w:hAnsi="Asap" w:eastAsia="Asap"/>
          <w:b/>
          <w:i w:val="0"/>
          <w:color w:val="14377D"/>
          <w:sz w:val="14"/>
        </w:rPr>
        <w:t xml:space="preserve"> JMCP</w:t>
      </w:r>
      <w:r>
        <w:rPr>
          <w:rFonts w:ascii="Asap" w:hAnsi="Asap" w:eastAsia="Asap"/>
          <w:b w:val="0"/>
          <w:i w:val="0"/>
          <w:color w:val="14377D"/>
          <w:sz w:val="14"/>
        </w:rPr>
        <w:t>.org</w:t>
      </w:r>
    </w:p>
    <w:p>
      <w:pPr>
        <w:sectPr>
          <w:type w:val="nextColumn"/>
          <w:pgSz w:w="11880" w:h="15660"/>
          <w:pgMar w:top="360" w:right="0" w:bottom="266" w:left="720" w:header="720" w:footer="720" w:gutter="0"/>
          <w:cols w:num="2" w:equalWidth="0">
            <w:col w:w="5244" w:space="0"/>
            <w:col w:w="5916" w:space="0"/>
          </w:cols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883"/>
        <w:gridCol w:w="4883"/>
      </w:tblGrid>
      <w:tr>
        <w:trPr>
          <w:trHeight w:hRule="exact" w:val="362"/>
        </w:trPr>
        <w:tc>
          <w:tcPr>
            <w:tcW w:type="dxa" w:w="1094"/>
            <w:tcBorders/>
            <w:shd w:fill="6b146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4" w:after="0"/>
              <w:ind w:left="0" w:right="90" w:firstLine="0"/>
              <w:jc w:val="right"/>
            </w:pPr>
            <w:r>
              <w:rPr>
                <w:rFonts w:ascii="Asap" w:hAnsi="Asap" w:eastAsia="Asap"/>
                <w:b/>
                <w:i w:val="0"/>
                <w:color w:val="FFFFFF"/>
                <w:sz w:val="18"/>
              </w:rPr>
              <w:t>12</w:t>
            </w:r>
          </w:p>
        </w:tc>
        <w:tc>
          <w:tcPr>
            <w:tcW w:type="dxa" w:w="584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4" w:after="0"/>
              <w:ind w:left="90" w:right="0" w:firstLine="0"/>
              <w:jc w:val="left"/>
            </w:pPr>
            <w:r>
              <w:rPr>
                <w:rFonts w:ascii="Asap" w:hAnsi="Asap" w:eastAsia="Asap"/>
                <w:b/>
                <w:i w:val="0"/>
                <w:color w:val="474C55"/>
                <w:sz w:val="18"/>
              </w:rPr>
              <w:t>AMCP FORMAT 5.0</w:t>
            </w:r>
          </w:p>
        </w:tc>
      </w:tr>
    </w:tbl>
    <w:p>
      <w:pPr>
        <w:autoSpaceDN w:val="0"/>
        <w:autoSpaceDE w:val="0"/>
        <w:widowControl/>
        <w:spacing w:line="14" w:lineRule="exact" w:before="0" w:after="1038"/>
        <w:ind w:left="0" w:right="0"/>
      </w:pPr>
    </w:p>
    <w:p>
      <w:pPr>
        <w:sectPr>
          <w:pgSz w:w="11880" w:h="15660"/>
          <w:pgMar w:top="360" w:right="674" w:bottom="266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45" w:lineRule="auto" w:before="0" w:after="0"/>
        <w:ind w:left="698" w:right="144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to understand the limitations and reasons upfront. Early,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ongoing dialogue between the HCDM and manufacturer is </w:t>
      </w:r>
      <w:r>
        <w:rPr>
          <w:rFonts w:ascii="Lora" w:hAnsi="Lora" w:eastAsia="Lora"/>
          <w:b w:val="0"/>
          <w:i w:val="0"/>
          <w:color w:val="000000"/>
          <w:sz w:val="18"/>
        </w:rPr>
        <w:t>a critical success factor in optimizing the exchange of rel-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evant, credible, and timely clinical and economic evidence </w:t>
      </w:r>
      <w:r>
        <w:rPr>
          <w:rFonts w:ascii="Lora" w:hAnsi="Lora" w:eastAsia="Lora"/>
          <w:b w:val="0"/>
          <w:i w:val="0"/>
          <w:color w:val="000000"/>
          <w:sz w:val="18"/>
        </w:rPr>
        <w:t>for decision-making.</w:t>
      </w:r>
    </w:p>
    <w:p>
      <w:pPr>
        <w:autoSpaceDN w:val="0"/>
        <w:autoSpaceDE w:val="0"/>
        <w:widowControl/>
        <w:spacing w:line="245" w:lineRule="auto" w:before="0" w:after="0"/>
        <w:ind w:left="698" w:right="144" w:firstLine="18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Dossiers timed for product launch may rely to a greater </w:t>
      </w:r>
      <w:r>
        <w:rPr>
          <w:rFonts w:ascii="Lora" w:hAnsi="Lora" w:eastAsia="Lora"/>
          <w:b w:val="0"/>
          <w:i w:val="0"/>
          <w:color w:val="000000"/>
          <w:sz w:val="18"/>
        </w:rPr>
        <w:t>extent on modeled projections based on clinical trial evi-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dence and assumptions related to market uptake. However,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new evidence describing the actual use and effect of the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product in a real-world setting should be developed to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inform formulary, coverage, policy, and reimbursement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decision-making across the product life cycle. Ongoing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generation of real-world evidence serves the important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purpose of further defining and validating claims related </w:t>
      </w:r>
      <w:r>
        <w:rPr>
          <w:rFonts w:ascii="Lora" w:hAnsi="Lora" w:eastAsia="Lora"/>
          <w:b w:val="0"/>
          <w:i w:val="0"/>
          <w:color w:val="000000"/>
          <w:sz w:val="18"/>
        </w:rPr>
        <w:t>to product value. As such, ongoing and bidirectional com-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munication between manufacturers and HCDMs can help </w:t>
      </w:r>
      <w:r>
        <w:rPr>
          <w:rFonts w:ascii="Lora" w:hAnsi="Lora" w:eastAsia="Lora"/>
          <w:b w:val="0"/>
          <w:i w:val="0"/>
          <w:color w:val="000000"/>
          <w:sz w:val="18"/>
        </w:rPr>
        <w:t>inform that evidence.</w:t>
      </w:r>
    </w:p>
    <w:p>
      <w:pPr>
        <w:autoSpaceDN w:val="0"/>
        <w:autoSpaceDE w:val="0"/>
        <w:widowControl/>
        <w:spacing w:line="245" w:lineRule="auto" w:before="0" w:after="0"/>
        <w:ind w:left="698" w:right="144" w:firstLine="18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To foster bidirectional communication, HCDMs should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request and offer manufacturers the opportunity to meet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and discuss the clinical and economic evidence in the </w:t>
      </w:r>
      <w:r>
        <w:rPr>
          <w:rFonts w:ascii="Lora" w:hAnsi="Lora" w:eastAsia="Lora"/>
          <w:b w:val="0"/>
          <w:i w:val="0"/>
          <w:color w:val="000000"/>
          <w:sz w:val="18"/>
        </w:rPr>
        <w:t>dossier, and vice versa as both sides have legitimate busi-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ness reasons for understanding each other’s perspectives.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HCDMs should welcome presentations from or discussions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with appropriate manufacturer personnel (e.g., medical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personnel, health economists) to address specific questions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that they may have about the dossier or the product in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question. HCDMs are encouraged to meet face-to-face with </w:t>
      </w:r>
      <w:r>
        <w:rPr>
          <w:rFonts w:ascii="Lora" w:hAnsi="Lora" w:eastAsia="Lora"/>
          <w:b w:val="0"/>
          <w:i w:val="0"/>
          <w:color w:val="000000"/>
          <w:sz w:val="18"/>
        </w:rPr>
        <w:t>appropriate manufacturer personnel for scientific informa-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tion exchange as well as commercial personnel responsible </w:t>
      </w:r>
      <w:r>
        <w:rPr>
          <w:rFonts w:ascii="Lora" w:hAnsi="Lora" w:eastAsia="Lora"/>
          <w:b w:val="0"/>
          <w:i w:val="0"/>
          <w:color w:val="000000"/>
          <w:sz w:val="18"/>
        </w:rPr>
        <w:t>for market access and contracting discussions.</w:t>
      </w:r>
    </w:p>
    <w:p>
      <w:pPr>
        <w:autoSpaceDN w:val="0"/>
        <w:autoSpaceDE w:val="0"/>
        <w:widowControl/>
        <w:spacing w:line="245" w:lineRule="auto" w:before="0" w:after="0"/>
        <w:ind w:left="698" w:right="144" w:firstLine="18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As stated earlier, one should view the dossier as a living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document that may start out as an Unapproved Product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Dossier, evolve as more evidence and information becomes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available, and ultimately be updated and revised to become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the Approved Product Dossier. HCDMs should provide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feedback and insights to manufacturers on the emerging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evidence throughout the development and life cycle of the </w:t>
      </w:r>
      <w:r>
        <w:rPr>
          <w:rFonts w:ascii="Lora" w:hAnsi="Lora" w:eastAsia="Lora"/>
          <w:b w:val="0"/>
          <w:i w:val="0"/>
          <w:color w:val="000000"/>
          <w:sz w:val="18"/>
        </w:rPr>
        <w:t>product and related dossiers. Manufacturers may con-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sider surveying HCDMs who have received the dossier for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feedback regarding the content and quality of the dossier.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HCDMs and manufacturers should consider and implement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additional ways to increase communications between both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stakeholders. This bidirectional communication process </w:t>
      </w:r>
      <w:r>
        <w:rPr>
          <w:rFonts w:ascii="Lora" w:hAnsi="Lora" w:eastAsia="Lora"/>
          <w:b w:val="0"/>
          <w:i w:val="0"/>
          <w:color w:val="000000"/>
          <w:sz w:val="18"/>
        </w:rPr>
        <w:t>will help improve transparency and the quality of informa-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tion sharing to support improved decision-making and </w:t>
      </w:r>
      <w:r>
        <w:rPr>
          <w:rFonts w:ascii="Lora" w:hAnsi="Lora" w:eastAsia="Lora"/>
          <w:b w:val="0"/>
          <w:i w:val="0"/>
          <w:color w:val="000000"/>
          <w:sz w:val="18"/>
        </w:rPr>
        <w:t>optimize patient care.</w:t>
      </w:r>
    </w:p>
    <w:p>
      <w:pPr>
        <w:autoSpaceDN w:val="0"/>
        <w:autoSpaceDE w:val="0"/>
        <w:widowControl/>
        <w:spacing w:line="424" w:lineRule="exact" w:before="154" w:after="0"/>
        <w:ind w:left="698" w:right="0" w:firstLine="0"/>
        <w:jc w:val="left"/>
      </w:pPr>
      <w:r>
        <w:rPr>
          <w:rFonts w:ascii="Asap" w:hAnsi="Asap" w:eastAsia="Asap"/>
          <w:b/>
          <w:i w:val="0"/>
          <w:color w:val="6C146B"/>
          <w:sz w:val="32"/>
        </w:rPr>
        <w:t>Confidentiality</w:t>
      </w:r>
    </w:p>
    <w:p>
      <w:pPr>
        <w:autoSpaceDN w:val="0"/>
        <w:autoSpaceDE w:val="0"/>
        <w:widowControl/>
        <w:spacing w:line="245" w:lineRule="auto" w:before="98" w:after="0"/>
        <w:ind w:left="698" w:right="144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The confidentiality of evidence dossiers has been an area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of concern since AMCP published the first version of </w:t>
      </w:r>
    </w:p>
    <w:p>
      <w:pPr>
        <w:autoSpaceDN w:val="0"/>
        <w:autoSpaceDE w:val="0"/>
        <w:widowControl/>
        <w:spacing w:line="186" w:lineRule="exact" w:before="588" w:after="0"/>
        <w:ind w:left="740" w:right="0" w:firstLine="0"/>
        <w:jc w:val="left"/>
      </w:pPr>
      <w:r>
        <w:rPr>
          <w:rFonts w:ascii="Asap" w:hAnsi="Asap" w:eastAsia="Asap"/>
          <w:b/>
          <w:i w:val="0"/>
          <w:color w:val="14377D"/>
          <w:sz w:val="14"/>
        </w:rPr>
        <w:t>JMCP</w:t>
      </w:r>
      <w:r>
        <w:rPr>
          <w:rFonts w:ascii="Asap" w:hAnsi="Asap" w:eastAsia="Asap"/>
          <w:b w:val="0"/>
          <w:i w:val="0"/>
          <w:color w:val="14377D"/>
          <w:sz w:val="14"/>
        </w:rPr>
        <w:t>.org</w:t>
      </w:r>
      <w:r>
        <w:rPr>
          <w:rFonts w:ascii="Asap" w:hAnsi="Asap" w:eastAsia="Asap"/>
          <w:b w:val="0"/>
          <w:i w:val="0"/>
          <w:color w:val="474C55"/>
          <w:sz w:val="14"/>
        </w:rPr>
        <w:t>|</w:t>
      </w:r>
      <w:r>
        <w:rPr>
          <w:rFonts w:ascii="Asap" w:hAnsi="Asap" w:eastAsia="Asap"/>
          <w:b w:val="0"/>
          <w:i w:val="0"/>
          <w:color w:val="474C55"/>
          <w:sz w:val="14"/>
        </w:rPr>
        <w:t>April 2024</w:t>
      </w:r>
      <w:r>
        <w:rPr>
          <w:rFonts w:ascii="Asap" w:hAnsi="Asap" w:eastAsia="Asap"/>
          <w:b w:val="0"/>
          <w:i w:val="0"/>
          <w:color w:val="474C55"/>
          <w:sz w:val="14"/>
        </w:rPr>
        <w:t>|</w:t>
      </w:r>
      <w:r>
        <w:rPr>
          <w:rFonts w:ascii="Asap" w:hAnsi="Asap" w:eastAsia="Asap"/>
          <w:b w:val="0"/>
          <w:i w:val="0"/>
          <w:color w:val="474C55"/>
          <w:sz w:val="14"/>
        </w:rPr>
        <w:t>Vol. 30, No. 4-B</w:t>
      </w:r>
    </w:p>
    <w:p>
      <w:pPr>
        <w:sectPr>
          <w:type w:val="continuous"/>
          <w:pgSz w:w="11880" w:h="15660"/>
          <w:pgMar w:top="360" w:right="674" w:bottom="266" w:left="0" w:header="720" w:footer="720" w:gutter="0"/>
          <w:cols w:num="2" w:equalWidth="0">
            <w:col w:w="5940" w:space="0"/>
            <w:col w:w="5265" w:space="0"/>
          </w:cols>
          <w:docGrid w:linePitch="360"/>
        </w:sectPr>
      </w:pPr>
    </w:p>
    <w:p>
      <w:pPr>
        <w:autoSpaceDN w:val="0"/>
        <w:autoSpaceDE w:val="0"/>
        <w:widowControl/>
        <w:spacing w:line="245" w:lineRule="auto" w:before="0" w:after="0"/>
        <w:ind w:left="158" w:right="0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the AMCP Format in October 2000. Manufacturers have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expressed concern that confidential information submitted </w:t>
      </w:r>
      <w:r>
        <w:rPr>
          <w:rFonts w:ascii="Lora" w:hAnsi="Lora" w:eastAsia="Lora"/>
          <w:b w:val="0"/>
          <w:i w:val="0"/>
          <w:color w:val="000000"/>
          <w:sz w:val="18"/>
        </w:rPr>
        <w:t>as part of a dossier (e.g., unpublished studies, HCEI, eco-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nomic modeling data) will become publicly available, thus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exposing sensitive data to competitors. Concerns may be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addressed with the execution of appropriate confidentiality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agreements between the HCDM and the manufacturer.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HCDMs should be aware that the ability of manufacturers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to provide complete information is dependent on the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recipient preserving the confidentiality of that information.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We note that evidence dossiers submitted to government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authorities in the United States (U.S.), the United Kingdom,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and certain other countries are made available to the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public; however, commercial-in-confidence information,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when properly identified by the manufacturer, is redacted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for the online version of the report. Special arrangements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with public HCDMs, which require public disclosure of </w:t>
      </w:r>
      <w:r>
        <w:rPr>
          <w:rFonts w:ascii="Lora" w:hAnsi="Lora" w:eastAsia="Lora"/>
          <w:b w:val="0"/>
          <w:i w:val="0"/>
          <w:color w:val="000000"/>
          <w:sz w:val="18"/>
        </w:rPr>
        <w:t>information received, may be necessary.</w:t>
      </w:r>
    </w:p>
    <w:p>
      <w:pPr>
        <w:autoSpaceDN w:val="0"/>
        <w:autoSpaceDE w:val="0"/>
        <w:widowControl/>
        <w:spacing w:line="245" w:lineRule="auto" w:before="0" w:after="0"/>
        <w:ind w:left="158" w:right="0" w:firstLine="18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>Manufacturers may require HCDMs to sign a confidential-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ity agreement before providing a dossier. Such agreements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may also be required where prepublication data are shared.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HCDMs should be willing to sign such agreements and </w:t>
      </w:r>
      <w:r>
        <w:rPr>
          <w:rFonts w:ascii="Lora" w:hAnsi="Lora" w:eastAsia="Lora"/>
          <w:b w:val="0"/>
          <w:i w:val="0"/>
          <w:color w:val="000000"/>
          <w:sz w:val="18"/>
        </w:rPr>
        <w:t>adhere to their terms.</w:t>
      </w:r>
    </w:p>
    <w:p>
      <w:pPr>
        <w:autoSpaceDN w:val="0"/>
        <w:autoSpaceDE w:val="0"/>
        <w:widowControl/>
        <w:spacing w:line="245" w:lineRule="auto" w:before="0" w:after="0"/>
        <w:ind w:left="158" w:right="0" w:firstLine="18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>Product dossiers prepared in accordance with the evi-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dence recommendations contained in the AMCP Format </w:t>
      </w:r>
      <w:r>
        <w:rPr>
          <w:rFonts w:ascii="Lora" w:hAnsi="Lora" w:eastAsia="Lora"/>
          <w:b w:val="0"/>
          <w:i w:val="0"/>
          <w:color w:val="000000"/>
          <w:sz w:val="18"/>
        </w:rPr>
        <w:t>may contain HCEI and other information deemed pro-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prietary by the company. Manufacturers should place a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statement on the dossier when a confidentiality agreement </w:t>
      </w:r>
      <w:r>
        <w:rPr>
          <w:rFonts w:ascii="Lora" w:hAnsi="Lora" w:eastAsia="Lora"/>
          <w:b w:val="0"/>
          <w:i w:val="0"/>
          <w:color w:val="000000"/>
          <w:sz w:val="18"/>
        </w:rPr>
        <w:t>is executed.</w:t>
      </w:r>
    </w:p>
    <w:p>
      <w:pPr>
        <w:autoSpaceDN w:val="0"/>
        <w:autoSpaceDE w:val="0"/>
        <w:widowControl/>
        <w:spacing w:line="424" w:lineRule="exact" w:before="154" w:after="0"/>
        <w:ind w:left="158" w:right="0" w:firstLine="0"/>
        <w:jc w:val="left"/>
      </w:pPr>
      <w:r>
        <w:rPr>
          <w:rFonts w:ascii="Asap" w:hAnsi="Asap" w:eastAsia="Asap"/>
          <w:b/>
          <w:i w:val="0"/>
          <w:color w:val="6C146B"/>
          <w:sz w:val="32"/>
        </w:rPr>
        <w:t>Updating Dossiers</w:t>
      </w:r>
    </w:p>
    <w:p>
      <w:pPr>
        <w:autoSpaceDN w:val="0"/>
        <w:tabs>
          <w:tab w:pos="338" w:val="left"/>
          <w:tab w:pos="518" w:val="left"/>
        </w:tabs>
        <w:autoSpaceDE w:val="0"/>
        <w:widowControl/>
        <w:spacing w:line="240" w:lineRule="exact" w:before="328" w:after="0"/>
        <w:ind w:left="158" w:right="0" w:firstLine="0"/>
        <w:jc w:val="left"/>
      </w:pPr>
      <w:r>
        <w:rPr>
          <w:rFonts w:ascii="Asap" w:hAnsi="Asap" w:eastAsia="Asap"/>
          <w:b/>
          <w:i w:val="0"/>
          <w:color w:val="14377D"/>
          <w:sz w:val="20"/>
        </w:rPr>
        <w:t xml:space="preserve">UPDATING DOSSIERS FOR APPROVED PRODUCTS 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 common question from manufacturers is, “When should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 dossier be updated?” The AMCP Format for Formulary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Submissions Committee recommends that dossiers be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reviewed and updated when there are significant changes </w:t>
      </w:r>
      <w:r>
        <w:rPr>
          <w:rFonts w:ascii="Lora" w:hAnsi="Lora" w:eastAsia="Lora"/>
          <w:b w:val="0"/>
          <w:i w:val="0"/>
          <w:color w:val="000000"/>
          <w:sz w:val="18"/>
        </w:rPr>
        <w:t>(e.g., changes to the prescribing information, line exten-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sions, new safety information, or any information that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materially affects the overall evidence). Ideally, dossier </w:t>
      </w:r>
      <w:r>
        <w:rPr>
          <w:rFonts w:ascii="Lora" w:hAnsi="Lora" w:eastAsia="Lora"/>
          <w:b w:val="0"/>
          <w:i w:val="0"/>
          <w:color w:val="000000"/>
          <w:sz w:val="18"/>
        </w:rPr>
        <w:t>updates should be evidence-based (i.e., updates are trig-</w:t>
      </w:r>
      <w:r>
        <w:rPr>
          <w:rFonts w:ascii="Lora" w:hAnsi="Lora" w:eastAsia="Lora"/>
          <w:b w:val="0"/>
          <w:i w:val="0"/>
          <w:color w:val="000000"/>
          <w:sz w:val="18"/>
        </w:rPr>
        <w:t>gered by availability of new evidence), for example:</w:t>
      </w:r>
      <w:r>
        <w:br/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• The manufacturer files a supplemental application to </w:t>
      </w:r>
      <w:r>
        <w:tab/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the FDA for a new indication; the regulatory decisions </w:t>
      </w:r>
      <w:r>
        <w:tab/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should be included in the dossier whether the new </w:t>
      </w:r>
      <w:r>
        <w:tab/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indication is approved or denied.</w:t>
      </w:r>
    </w:p>
    <w:p>
      <w:pPr>
        <w:autoSpaceDN w:val="0"/>
        <w:tabs>
          <w:tab w:pos="518" w:val="left"/>
        </w:tabs>
        <w:autoSpaceDE w:val="0"/>
        <w:widowControl/>
        <w:spacing w:line="245" w:lineRule="auto" w:before="0" w:after="0"/>
        <w:ind w:left="338" w:right="0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• The FDA issues advisory statements about the use of a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product (e.g., establishes a new boxed warning).</w:t>
      </w:r>
    </w:p>
    <w:p>
      <w:pPr>
        <w:autoSpaceDN w:val="0"/>
        <w:tabs>
          <w:tab w:pos="518" w:val="left"/>
        </w:tabs>
        <w:autoSpaceDE w:val="0"/>
        <w:widowControl/>
        <w:spacing w:line="245" w:lineRule="auto" w:before="0" w:after="0"/>
        <w:ind w:left="338" w:right="0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• Significant new clinical or economic evidence becomes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available, such as:</w:t>
      </w:r>
    </w:p>
    <w:p>
      <w:pPr>
        <w:sectPr>
          <w:type w:val="nextColumn"/>
          <w:pgSz w:w="11880" w:h="15660"/>
          <w:pgMar w:top="360" w:right="674" w:bottom="266" w:left="0" w:header="720" w:footer="720" w:gutter="0"/>
          <w:cols w:num="2" w:equalWidth="0">
            <w:col w:w="5940" w:space="0"/>
            <w:col w:w="5265" w:space="0"/>
          </w:cols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220.0" w:type="dxa"/>
      </w:tblPr>
      <w:tblGrid>
        <w:gridCol w:w="4850"/>
        <w:gridCol w:w="4850"/>
      </w:tblGrid>
      <w:tr>
        <w:trPr>
          <w:trHeight w:hRule="exact" w:val="362"/>
        </w:trPr>
        <w:tc>
          <w:tcPr>
            <w:tcW w:type="dxa" w:w="582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4" w:after="0"/>
              <w:ind w:left="0" w:right="90" w:firstLine="0"/>
              <w:jc w:val="right"/>
            </w:pPr>
            <w:r>
              <w:rPr>
                <w:rFonts w:ascii="Asap" w:hAnsi="Asap" w:eastAsia="Asap"/>
                <w:b/>
                <w:i w:val="0"/>
                <w:color w:val="474C55"/>
                <w:sz w:val="18"/>
              </w:rPr>
              <w:t>AMCP FORMAT 5.0</w:t>
            </w:r>
          </w:p>
        </w:tc>
        <w:tc>
          <w:tcPr>
            <w:tcW w:type="dxa" w:w="1094"/>
            <w:tcBorders/>
            <w:shd w:fill="6b146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72" w:after="0"/>
              <w:ind w:left="90" w:right="0" w:firstLine="0"/>
              <w:jc w:val="left"/>
            </w:pPr>
            <w:r>
              <w:rPr>
                <w:rFonts w:ascii="Asap" w:hAnsi="Asap" w:eastAsia="Asap"/>
                <w:b/>
                <w:i w:val="0"/>
                <w:color w:val="FFFFFF"/>
                <w:sz w:val="18"/>
              </w:rPr>
              <w:t>13</w:t>
            </w:r>
          </w:p>
        </w:tc>
      </w:tr>
    </w:tbl>
    <w:p>
      <w:pPr>
        <w:autoSpaceDN w:val="0"/>
        <w:autoSpaceDE w:val="0"/>
        <w:widowControl/>
        <w:spacing w:line="14" w:lineRule="exact" w:before="0" w:after="1038"/>
        <w:ind w:left="0" w:right="0"/>
      </w:pPr>
    </w:p>
    <w:p>
      <w:pPr>
        <w:sectPr>
          <w:pgSz w:w="11880" w:h="15660"/>
          <w:pgMar w:top="360" w:right="0" w:bottom="266" w:left="740" w:header="720" w:footer="720" w:gutter="0"/>
          <w:cols/>
          <w:docGrid w:linePitch="360"/>
        </w:sectPr>
      </w:pPr>
    </w:p>
    <w:p>
      <w:pPr>
        <w:autoSpaceDN w:val="0"/>
        <w:tabs>
          <w:tab w:pos="540" w:val="left"/>
        </w:tabs>
        <w:autoSpaceDE w:val="0"/>
        <w:widowControl/>
        <w:spacing w:line="245" w:lineRule="auto" w:before="0" w:after="0"/>
        <w:ind w:left="360" w:right="144" w:firstLine="0"/>
        <w:jc w:val="left"/>
      </w:pPr>
      <w:r>
        <w:rPr>
          <w:rFonts w:ascii="AppleSymbols" w:hAnsi="AppleSymbols" w:eastAsia="AppleSymbols"/>
          <w:b w:val="0"/>
          <w:i w:val="0"/>
          <w:color w:val="000000"/>
          <w:sz w:val="18"/>
        </w:rPr>
        <w:t>⚬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New data to further support the use of the product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for the approved indication.</w:t>
      </w:r>
    </w:p>
    <w:p>
      <w:pPr>
        <w:autoSpaceDN w:val="0"/>
        <w:tabs>
          <w:tab w:pos="540" w:val="left"/>
        </w:tabs>
        <w:autoSpaceDE w:val="0"/>
        <w:widowControl/>
        <w:spacing w:line="245" w:lineRule="auto" w:before="0" w:after="0"/>
        <w:ind w:left="360" w:right="144" w:firstLine="0"/>
        <w:jc w:val="left"/>
      </w:pPr>
      <w:r>
        <w:rPr>
          <w:rFonts w:ascii="AppleSymbols" w:hAnsi="AppleSymbols" w:eastAsia="AppleSymbols"/>
          <w:b w:val="0"/>
          <w:i w:val="0"/>
          <w:color w:val="000000"/>
          <w:sz w:val="18"/>
        </w:rPr>
        <w:t>⚬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Identification of patients or subpopulations who may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or may not benefit from receiving the product.</w:t>
      </w:r>
    </w:p>
    <w:p>
      <w:pPr>
        <w:autoSpaceDN w:val="0"/>
        <w:tabs>
          <w:tab w:pos="540" w:val="left"/>
        </w:tabs>
        <w:autoSpaceDE w:val="0"/>
        <w:widowControl/>
        <w:spacing w:line="245" w:lineRule="auto" w:before="0" w:after="0"/>
        <w:ind w:left="360" w:right="144" w:firstLine="0"/>
        <w:jc w:val="left"/>
      </w:pPr>
      <w:r>
        <w:rPr>
          <w:rFonts w:ascii="AppleSymbols" w:hAnsi="AppleSymbols" w:eastAsia="AppleSymbols"/>
          <w:b w:val="0"/>
          <w:i w:val="0"/>
          <w:color w:val="000000"/>
          <w:sz w:val="18"/>
        </w:rPr>
        <w:t>⚬</w:t>
      </w:r>
      <w:r>
        <w:rPr>
          <w:rFonts w:ascii="Lora" w:hAnsi="Lora" w:eastAsia="Lora"/>
          <w:b w:val="0"/>
          <w:i w:val="0"/>
          <w:color w:val="000000"/>
          <w:sz w:val="18"/>
        </w:rPr>
        <w:t>Demonstration of real-world effectiveness and long-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term effectiveness.</w:t>
      </w:r>
    </w:p>
    <w:p>
      <w:pPr>
        <w:autoSpaceDN w:val="0"/>
        <w:autoSpaceDE w:val="0"/>
        <w:widowControl/>
        <w:spacing w:line="238" w:lineRule="auto" w:before="0" w:after="0"/>
        <w:ind w:left="360" w:right="0" w:firstLine="0"/>
        <w:jc w:val="left"/>
      </w:pPr>
      <w:r>
        <w:rPr>
          <w:rFonts w:ascii="AppleSymbols" w:hAnsi="AppleSymbols" w:eastAsia="AppleSymbols"/>
          <w:b w:val="0"/>
          <w:i w:val="0"/>
          <w:color w:val="000000"/>
          <w:sz w:val="18"/>
        </w:rPr>
        <w:t>⚬</w:t>
      </w:r>
      <w:r>
        <w:rPr>
          <w:rFonts w:ascii="Lora" w:hAnsi="Lora" w:eastAsia="Lora"/>
          <w:b w:val="0"/>
          <w:i w:val="0"/>
          <w:color w:val="000000"/>
          <w:sz w:val="18"/>
        </w:rPr>
        <w:t>Elucidation of long-term safety.</w:t>
      </w:r>
    </w:p>
    <w:p>
      <w:pPr>
        <w:autoSpaceDN w:val="0"/>
        <w:autoSpaceDE w:val="0"/>
        <w:widowControl/>
        <w:spacing w:line="245" w:lineRule="auto" w:before="0" w:after="0"/>
        <w:ind w:left="0" w:right="144" w:firstLine="18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When updating a dossier, the manufacturer should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conduct revisions to incorporate new evidence, delete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obsolete information, and revise content and format to keep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the dossier concise and relevant. The manufacturer may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update the dossier by rewriting a new version of the dossier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or amending the existing dossier with a supplemental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document that acknowledges new evidence with proper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citations, identifies obsolete information in the existing </w:t>
      </w:r>
      <w:r>
        <w:rPr>
          <w:rFonts w:ascii="Lora" w:hAnsi="Lora" w:eastAsia="Lora"/>
          <w:b w:val="0"/>
          <w:i w:val="0"/>
          <w:color w:val="000000"/>
          <w:sz w:val="18"/>
        </w:rPr>
        <w:t>dossier, and describes any additional relevant informa-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tion to the HCDM. The manufacturer should provide the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HCDM with a way to identify newly added information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(e.g., highlight revised/new sections or content, describe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changes in an appendix, include a summary of changes in </w:t>
      </w:r>
      <w:r>
        <w:rPr>
          <w:rFonts w:ascii="Lora" w:hAnsi="Lora" w:eastAsia="Lora"/>
          <w:b w:val="0"/>
          <w:i w:val="0"/>
          <w:color w:val="000000"/>
          <w:sz w:val="18"/>
        </w:rPr>
        <w:t>a cover letter).</w:t>
      </w:r>
    </w:p>
    <w:p>
      <w:pPr>
        <w:autoSpaceDN w:val="0"/>
        <w:autoSpaceDE w:val="0"/>
        <w:widowControl/>
        <w:spacing w:line="245" w:lineRule="auto" w:before="0" w:after="0"/>
        <w:ind w:left="0" w:right="144" w:firstLine="18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When a manufacturer reviews a dossier for potential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revision and determines that a revision is not necessary,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this should be indicated on the title page of the dossier. In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the absence of new evidence, dossiers should be evaluated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for technical accuracy on an annual basis (e.g., changes in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price, new model assumptions). All dossiers should include </w:t>
      </w:r>
      <w:r>
        <w:rPr>
          <w:rFonts w:ascii="Lora" w:hAnsi="Lora" w:eastAsia="Lora"/>
          <w:b w:val="0"/>
          <w:i w:val="0"/>
          <w:color w:val="000000"/>
          <w:sz w:val="18"/>
        </w:rPr>
        <w:t>the original date of issue as well as the dates of any revi-</w:t>
      </w:r>
      <w:r>
        <w:rPr>
          <w:rFonts w:ascii="Lora" w:hAnsi="Lora" w:eastAsia="Lora"/>
          <w:b w:val="0"/>
          <w:i w:val="0"/>
          <w:color w:val="000000"/>
          <w:sz w:val="18"/>
        </w:rPr>
        <w:t>sions or reviews for potential revisions.</w:t>
      </w:r>
    </w:p>
    <w:p>
      <w:pPr>
        <w:autoSpaceDN w:val="0"/>
        <w:autoSpaceDE w:val="0"/>
        <w:widowControl/>
        <w:spacing w:line="245" w:lineRule="auto" w:before="0" w:after="0"/>
        <w:ind w:left="0" w:right="146" w:firstLine="180"/>
        <w:jc w:val="both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When an HCDM requests a dossier that is under revision,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the manufacturer may supply the current (last completed)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version of the dossier, inform the requester of the status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of the dossier and the expected time frame for completion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of the revision, and offer to send the revised version when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completed. Alternatively, the manufacturer may provide the </w:t>
      </w:r>
      <w:r>
        <w:rPr>
          <w:rFonts w:ascii="Lora" w:hAnsi="Lora" w:eastAsia="Lora"/>
          <w:b w:val="0"/>
          <w:i w:val="0"/>
          <w:color w:val="000000"/>
          <w:sz w:val="18"/>
        </w:rPr>
        <w:t>updated version when completed.</w:t>
      </w:r>
    </w:p>
    <w:p>
      <w:pPr>
        <w:autoSpaceDN w:val="0"/>
        <w:autoSpaceDE w:val="0"/>
        <w:widowControl/>
        <w:spacing w:line="245" w:lineRule="auto" w:before="0" w:after="0"/>
        <w:ind w:left="0" w:right="146" w:firstLine="180"/>
        <w:jc w:val="both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Another common question from manufacturers is, “Can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an updated dossier be provided to HCDMs who have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previously requested and received a dossier?” In general,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manufacturers should not freely and automatically send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updated Approved Product Dossiers to previous requesters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without an unsolicited request. However, HCDMs may, at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the time of the original Approved Product Dossier request,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include a statement that they would like to receive updated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dossiers, if any, subsequent to the first dossier received.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The request for updated dossiers must be for the same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product as the original request, and the request must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specify a specific length of time (e.g., for 6 or 12 months, or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at the discretion of the manufacturer’s policies). While the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AMCP Format does not specify a maximum length of time,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the AMCP Format for Formulary Submissions Committee </w:t>
      </w:r>
    </w:p>
    <w:p>
      <w:pPr>
        <w:sectPr>
          <w:type w:val="continuous"/>
          <w:pgSz w:w="11880" w:h="15660"/>
          <w:pgMar w:top="360" w:right="0" w:bottom="266" w:left="740" w:header="720" w:footer="720" w:gutter="0"/>
          <w:cols w:num="2" w:equalWidth="0">
            <w:col w:w="5234" w:space="0"/>
            <w:col w:w="5906" w:space="0"/>
          </w:cols>
          <w:docGrid w:linePitch="360"/>
        </w:sectPr>
      </w:pPr>
    </w:p>
    <w:p>
      <w:pPr>
        <w:autoSpaceDN w:val="0"/>
        <w:tabs>
          <w:tab w:pos="326" w:val="left"/>
        </w:tabs>
        <w:autoSpaceDE w:val="0"/>
        <w:widowControl/>
        <w:spacing w:line="245" w:lineRule="auto" w:before="0" w:after="0"/>
        <w:ind w:left="146" w:right="576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recommends that the request for updated dossiers should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not be indefinite and that manufacturers should determine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their own policies and procedures. Allowance for this </w:t>
      </w:r>
      <w:r>
        <w:rPr>
          <w:rFonts w:ascii="Lora" w:hAnsi="Lora" w:eastAsia="Lora"/>
          <w:b w:val="0"/>
          <w:i w:val="0"/>
          <w:color w:val="000000"/>
          <w:sz w:val="18"/>
        </w:rPr>
        <w:t>process will prevent HCDMs from having to submit numer-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ous requests for updated information, especially since they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may not be aware when updated dossiers may be available.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In addition, the explicitness of the unsolicited request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for an updated Approved Product Dossier within a specific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time frame will help manufacturers maintain compliance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with the unsolicited request process. Whether to fulfill an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unsolicited request for the dossier is at the discretion of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the manufacturer. There may be rare instances where a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manufacturer may decide to proactively send an updated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Approved Product Dossier to an HCDM who had recently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and previously received the dossier; for example, the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dossier is being updated at the time of original request,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there are significant errors in the previous version that was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sent, or there are significant new patient safety warnings </w:t>
      </w:r>
      <w:r>
        <w:rPr>
          <w:rFonts w:ascii="Lora" w:hAnsi="Lora" w:eastAsia="Lora"/>
          <w:b w:val="0"/>
          <w:i w:val="0"/>
          <w:color w:val="000000"/>
          <w:sz w:val="18"/>
        </w:rPr>
        <w:t>such as boxed warnings.</w:t>
      </w:r>
    </w:p>
    <w:p>
      <w:pPr>
        <w:autoSpaceDN w:val="0"/>
        <w:autoSpaceDE w:val="0"/>
        <w:widowControl/>
        <w:spacing w:line="245" w:lineRule="auto" w:before="0" w:after="0"/>
        <w:ind w:left="146" w:right="672" w:firstLine="180"/>
        <w:jc w:val="both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The manufacturer may decide that an Approved Product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Dossier will no longer be kept current (e.g., the product is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near the end of its branded lifespan or has lost exclusivity).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If the manufacturer continues to provide the last version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of an Approved Product Dossier to requesters, then the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status (date created and/or date of last update) should be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indicated on the dossier. If the manufacturer discontinues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the availability of the Approved Product Dossier, then a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rationale for its discontinuation should be provided to </w:t>
      </w:r>
      <w:r>
        <w:rPr>
          <w:rFonts w:ascii="Lora" w:hAnsi="Lora" w:eastAsia="Lora"/>
          <w:b w:val="0"/>
          <w:i w:val="0"/>
          <w:color w:val="000000"/>
          <w:sz w:val="18"/>
        </w:rPr>
        <w:t>requesters of that dossier.</w:t>
      </w:r>
    </w:p>
    <w:p>
      <w:pPr>
        <w:autoSpaceDN w:val="0"/>
        <w:autoSpaceDE w:val="0"/>
        <w:widowControl/>
        <w:spacing w:line="245" w:lineRule="auto" w:before="0" w:after="0"/>
        <w:ind w:left="146" w:right="576" w:firstLine="18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Following the initial FDA approval, a product may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receive FDA approval for additional uses during its life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cycle. Development and organization of the Approved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Product Dossier for a product with multiple FDA-approved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indications should be handled at the discretion of the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manufacturer. For example, a manufacturer may develop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separate sections for each indication within the same </w:t>
      </w:r>
      <w:r>
        <w:rPr>
          <w:rFonts w:ascii="Lora" w:hAnsi="Lora" w:eastAsia="Lora"/>
          <w:b w:val="0"/>
          <w:i w:val="0"/>
          <w:color w:val="000000"/>
          <w:sz w:val="18"/>
        </w:rPr>
        <w:t>dossier or may develop separate dossiers for each indica-</w:t>
      </w:r>
      <w:r>
        <w:rPr>
          <w:rFonts w:ascii="Lora" w:hAnsi="Lora" w:eastAsia="Lora"/>
          <w:b w:val="0"/>
          <w:i w:val="0"/>
          <w:color w:val="000000"/>
          <w:sz w:val="18"/>
        </w:rPr>
        <w:t>tion or group of indications.</w:t>
      </w:r>
    </w:p>
    <w:p>
      <w:pPr>
        <w:autoSpaceDN w:val="0"/>
        <w:autoSpaceDE w:val="0"/>
        <w:widowControl/>
        <w:spacing w:line="245" w:lineRule="auto" w:before="0" w:after="0"/>
        <w:ind w:left="146" w:right="576" w:firstLine="18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It is at the manufacturer’s discretion whether updates are </w:t>
      </w:r>
      <w:r>
        <w:rPr>
          <w:rFonts w:ascii="Lora" w:hAnsi="Lora" w:eastAsia="Lora"/>
          <w:b w:val="0"/>
          <w:i w:val="0"/>
          <w:color w:val="000000"/>
          <w:sz w:val="18"/>
        </w:rPr>
        <w:t>required for any sections of the dossier to provide informa-</w:t>
      </w:r>
      <w:r>
        <w:rPr>
          <w:rFonts w:ascii="Lora" w:hAnsi="Lora" w:eastAsia="Lora"/>
          <w:b w:val="0"/>
          <w:i w:val="0"/>
          <w:color w:val="000000"/>
          <w:sz w:val="18"/>
        </w:rPr>
        <w:t>tion that is concise, relevant, and objective.</w:t>
      </w:r>
    </w:p>
    <w:p>
      <w:pPr>
        <w:autoSpaceDN w:val="0"/>
        <w:autoSpaceDE w:val="0"/>
        <w:widowControl/>
        <w:spacing w:line="240" w:lineRule="exact" w:before="222" w:after="0"/>
        <w:ind w:left="146" w:right="576" w:firstLine="0"/>
        <w:jc w:val="left"/>
      </w:pPr>
      <w:r>
        <w:rPr>
          <w:rFonts w:ascii="Asap" w:hAnsi="Asap" w:eastAsia="Asap"/>
          <w:b/>
          <w:i w:val="0"/>
          <w:color w:val="14377D"/>
          <w:sz w:val="20"/>
        </w:rPr>
        <w:t xml:space="preserve">UPDATING DOSSIERS FOR DIGITAL THERAPEUTICS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Updates to dossiers for DTx are recommended when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changes directly affect the effectiveness or safety of the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product or how patient care is delivered, such as changes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to a care algorithm or changes in patient usability that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may impact effectiveness or safety. Updates that impact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how patient data will be stored, shared, or utilized do not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typically require an update to a digital therapeutic dossier.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However, communication with HCDMs may be warranted. </w:t>
      </w:r>
    </w:p>
    <w:p>
      <w:pPr>
        <w:autoSpaceDN w:val="0"/>
        <w:autoSpaceDE w:val="0"/>
        <w:widowControl/>
        <w:spacing w:line="186" w:lineRule="exact" w:before="566" w:after="0"/>
        <w:ind w:left="0" w:right="742" w:firstLine="0"/>
        <w:jc w:val="right"/>
      </w:pPr>
      <w:r>
        <w:rPr>
          <w:rFonts w:ascii="Asap" w:hAnsi="Asap" w:eastAsia="Asap"/>
          <w:b w:val="0"/>
          <w:i w:val="0"/>
          <w:color w:val="474C55"/>
          <w:sz w:val="14"/>
        </w:rPr>
        <w:t>Vol. 30, No. 4-b</w:t>
      </w:r>
      <w:r>
        <w:rPr>
          <w:rFonts w:ascii="Asap" w:hAnsi="Asap" w:eastAsia="Asap"/>
          <w:b w:val="0"/>
          <w:i w:val="0"/>
          <w:color w:val="474C55"/>
          <w:sz w:val="14"/>
        </w:rPr>
        <w:t>|</w:t>
      </w:r>
      <w:r>
        <w:rPr>
          <w:rFonts w:ascii="Asap" w:hAnsi="Asap" w:eastAsia="Asap"/>
          <w:b w:val="0"/>
          <w:i w:val="0"/>
          <w:color w:val="474C55"/>
          <w:sz w:val="14"/>
        </w:rPr>
        <w:t>April 2024</w:t>
      </w:r>
      <w:r>
        <w:rPr>
          <w:rFonts w:ascii="Asap" w:hAnsi="Asap" w:eastAsia="Asap"/>
          <w:b w:val="0"/>
          <w:i w:val="0"/>
          <w:color w:val="474C55"/>
          <w:sz w:val="14"/>
        </w:rPr>
        <w:t>|</w:t>
      </w:r>
      <w:r>
        <w:rPr>
          <w:rFonts w:ascii="Asap" w:hAnsi="Asap" w:eastAsia="Asap"/>
          <w:b/>
          <w:i w:val="0"/>
          <w:color w:val="14377D"/>
          <w:sz w:val="14"/>
        </w:rPr>
        <w:t xml:space="preserve"> JMCP</w:t>
      </w:r>
      <w:r>
        <w:rPr>
          <w:rFonts w:ascii="Asap" w:hAnsi="Asap" w:eastAsia="Asap"/>
          <w:b w:val="0"/>
          <w:i w:val="0"/>
          <w:color w:val="14377D"/>
          <w:sz w:val="14"/>
        </w:rPr>
        <w:t>.org</w:t>
      </w:r>
    </w:p>
    <w:p>
      <w:pPr>
        <w:sectPr>
          <w:type w:val="nextColumn"/>
          <w:pgSz w:w="11880" w:h="15660"/>
          <w:pgMar w:top="360" w:right="0" w:bottom="266" w:left="740" w:header="720" w:footer="720" w:gutter="0"/>
          <w:cols w:num="2" w:equalWidth="0">
            <w:col w:w="5234" w:space="0"/>
            <w:col w:w="5906" w:space="0"/>
          </w:cols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894"/>
        <w:gridCol w:w="4894"/>
      </w:tblGrid>
      <w:tr>
        <w:trPr>
          <w:trHeight w:hRule="exact" w:val="362"/>
        </w:trPr>
        <w:tc>
          <w:tcPr>
            <w:tcW w:type="dxa" w:w="1094"/>
            <w:tcBorders/>
            <w:shd w:fill="6b146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4" w:after="0"/>
              <w:ind w:left="0" w:right="90" w:firstLine="0"/>
              <w:jc w:val="right"/>
            </w:pPr>
            <w:r>
              <w:rPr>
                <w:rFonts w:ascii="Asap" w:hAnsi="Asap" w:eastAsia="Asap"/>
                <w:b/>
                <w:i w:val="0"/>
                <w:color w:val="FFFFFF"/>
                <w:sz w:val="18"/>
              </w:rPr>
              <w:t>14</w:t>
            </w:r>
          </w:p>
        </w:tc>
        <w:tc>
          <w:tcPr>
            <w:tcW w:type="dxa" w:w="586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4" w:after="0"/>
              <w:ind w:left="90" w:right="0" w:firstLine="0"/>
              <w:jc w:val="left"/>
            </w:pPr>
            <w:r>
              <w:rPr>
                <w:rFonts w:ascii="Asap" w:hAnsi="Asap" w:eastAsia="Asap"/>
                <w:b/>
                <w:i w:val="0"/>
                <w:color w:val="474C55"/>
                <w:sz w:val="18"/>
              </w:rPr>
              <w:t>AMCP FORMAT 5.0</w:t>
            </w:r>
          </w:p>
        </w:tc>
      </w:tr>
    </w:tbl>
    <w:p>
      <w:pPr>
        <w:autoSpaceDN w:val="0"/>
        <w:autoSpaceDE w:val="0"/>
        <w:widowControl/>
        <w:spacing w:line="14" w:lineRule="exact" w:before="0" w:after="1038"/>
        <w:ind w:left="0" w:right="0"/>
      </w:pPr>
    </w:p>
    <w:p>
      <w:pPr>
        <w:sectPr>
          <w:pgSz w:w="11880" w:h="15660"/>
          <w:pgMar w:top="360" w:right="652" w:bottom="266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45" w:lineRule="auto" w:before="0" w:after="0"/>
        <w:ind w:left="720" w:right="154" w:firstLine="0"/>
        <w:jc w:val="both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In general, digital therapeutic dossiers do not need to be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updated when there are minor updates or changes to the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product that do not impact patient care or the effectiveness </w:t>
      </w:r>
      <w:r>
        <w:rPr>
          <w:rFonts w:ascii="Lora" w:hAnsi="Lora" w:eastAsia="Lora"/>
          <w:b w:val="0"/>
          <w:i w:val="0"/>
          <w:color w:val="000000"/>
          <w:sz w:val="18"/>
        </w:rPr>
        <w:t>or safety of the product.</w:t>
      </w:r>
    </w:p>
    <w:p>
      <w:pPr>
        <w:autoSpaceDN w:val="0"/>
        <w:autoSpaceDE w:val="0"/>
        <w:widowControl/>
        <w:spacing w:line="240" w:lineRule="exact" w:before="220" w:after="0"/>
        <w:ind w:left="720" w:right="144" w:firstLine="0"/>
        <w:jc w:val="left"/>
      </w:pPr>
      <w:r>
        <w:rPr>
          <w:rFonts w:ascii="Asap" w:hAnsi="Asap" w:eastAsia="Asap"/>
          <w:b/>
          <w:i w:val="0"/>
          <w:color w:val="14377D"/>
          <w:sz w:val="20"/>
        </w:rPr>
        <w:t xml:space="preserve">UPDATING DOSSIERS FOR UNAPPROVED PRODUCTS </w:t>
      </w:r>
      <w:r>
        <w:rPr>
          <w:rFonts w:ascii="Asap" w:hAnsi="Asap" w:eastAsia="Asap"/>
          <w:b/>
          <w:i w:val="0"/>
          <w:color w:val="14377D"/>
          <w:sz w:val="20"/>
        </w:rPr>
        <w:t xml:space="preserve">AND UNAPPROVED USES 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Manufacturers may use discretion on when to develop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and how often to update Unapproved Product Dossiers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and Unapproved Use Dossiers to ensure their usefulness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to HCDMs. Certain time points or milestones may be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considered for triggering the update of an Unapproved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Product or an Unapproved Use Dossier, such as initiation or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completion of a phase 3 trial or application/submission for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FDA approval. AMCP and the AMCP Format for Formulary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Submissions Committee do not intend to prescribe specific </w:t>
      </w:r>
      <w:r>
        <w:rPr>
          <w:rFonts w:ascii="Lora" w:hAnsi="Lora" w:eastAsia="Lora"/>
          <w:b w:val="0"/>
          <w:i w:val="0"/>
          <w:color w:val="000000"/>
          <w:sz w:val="18"/>
        </w:rPr>
        <w:t>time points or frequency of updates.</w:t>
      </w:r>
    </w:p>
    <w:p>
      <w:pPr>
        <w:autoSpaceDN w:val="0"/>
        <w:autoSpaceDE w:val="0"/>
        <w:widowControl/>
        <w:spacing w:line="424" w:lineRule="exact" w:before="152" w:after="0"/>
        <w:ind w:left="720" w:right="0" w:firstLine="0"/>
        <w:jc w:val="left"/>
      </w:pPr>
      <w:r>
        <w:rPr>
          <w:rFonts w:ascii="Asap" w:hAnsi="Asap" w:eastAsia="Asap"/>
          <w:b/>
          <w:i w:val="0"/>
          <w:color w:val="6C146B"/>
          <w:sz w:val="32"/>
        </w:rPr>
        <w:t xml:space="preserve">Dossier Page Limits </w:t>
      </w:r>
    </w:p>
    <w:p>
      <w:pPr>
        <w:autoSpaceDN w:val="0"/>
        <w:autoSpaceDE w:val="0"/>
        <w:widowControl/>
        <w:spacing w:line="245" w:lineRule="auto" w:before="98" w:after="0"/>
        <w:ind w:left="720" w:right="144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The AMCP Format provides guidance regarding page limit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recommendations for individual sections of a dossier.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These recommendations are for general guidance only, as </w:t>
      </w:r>
      <w:r>
        <w:rPr>
          <w:rFonts w:ascii="Lora" w:hAnsi="Lora" w:eastAsia="Lora"/>
          <w:b w:val="0"/>
          <w:i w:val="0"/>
          <w:color w:val="000000"/>
          <w:sz w:val="18"/>
        </w:rPr>
        <w:t>there are many factors that may influence the appropri-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ate section length for a product. Manufacturers should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present relevant evidence and product information as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concisely and clearly as possible to streamline the evidence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acquisition and review process. Manufacturers should not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include overly verbose or superfluous content to meet page </w:t>
      </w:r>
      <w:r>
        <w:rPr>
          <w:rFonts w:ascii="Lora" w:hAnsi="Lora" w:eastAsia="Lora"/>
          <w:b w:val="0"/>
          <w:i w:val="0"/>
          <w:color w:val="000000"/>
          <w:sz w:val="18"/>
        </w:rPr>
        <w:t>recommendations.</w:t>
      </w:r>
    </w:p>
    <w:p>
      <w:pPr>
        <w:sectPr>
          <w:type w:val="continuous"/>
          <w:pgSz w:w="11880" w:h="15660"/>
          <w:pgMar w:top="360" w:right="652" w:bottom="266" w:left="0" w:header="720" w:footer="720" w:gutter="0"/>
          <w:cols w:num="2" w:equalWidth="0">
            <w:col w:w="5962" w:space="0"/>
            <w:col w:w="5265" w:space="0"/>
          </w:cols>
          <w:docGrid w:linePitch="360"/>
        </w:sectPr>
      </w:pPr>
    </w:p>
    <w:p>
      <w:pPr>
        <w:autoSpaceDN w:val="0"/>
        <w:autoSpaceDE w:val="0"/>
        <w:widowControl/>
        <w:spacing w:line="424" w:lineRule="exact" w:before="0" w:after="0"/>
        <w:ind w:left="158" w:right="0" w:firstLine="0"/>
        <w:jc w:val="left"/>
      </w:pPr>
      <w:r>
        <w:rPr>
          <w:rFonts w:ascii="Asap" w:hAnsi="Asap" w:eastAsia="Asap"/>
          <w:b/>
          <w:i w:val="0"/>
          <w:color w:val="6C146B"/>
          <w:sz w:val="32"/>
        </w:rPr>
        <w:t xml:space="preserve">Submission Of Dossiers </w:t>
      </w:r>
    </w:p>
    <w:p>
      <w:pPr>
        <w:autoSpaceDN w:val="0"/>
        <w:autoSpaceDE w:val="0"/>
        <w:widowControl/>
        <w:spacing w:line="245" w:lineRule="auto" w:before="98" w:after="0"/>
        <w:ind w:left="158" w:right="0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Manufacturers should submit dossiers in an electronic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format rather than in print. Electronic formats may include </w:t>
      </w:r>
      <w:r>
        <w:rPr>
          <w:rFonts w:ascii="Lora" w:hAnsi="Lora" w:eastAsia="Lora"/>
          <w:b w:val="0"/>
          <w:i w:val="0"/>
          <w:color w:val="000000"/>
          <w:sz w:val="18"/>
        </w:rPr>
        <w:t>email, online platforms (e.g., Formulary Decisions, manu-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facturer websites), or other electronic technologies. This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will help reduce resource expenditures and improve health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care system staff’s ability to transfer evidence directly into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P&amp;T Committee submission monographs. This includes any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economic models provided in the dossier, which should be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presented electronically (e.g., Microsoft Excel workbook or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an alternative electronic format that is agreed upon by the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requesting organization and the manufacturer) to facilitate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ongoing dialogue as well as allow flexibility for user-defined </w:t>
      </w:r>
      <w:r>
        <w:rPr>
          <w:rFonts w:ascii="Lora" w:hAnsi="Lora" w:eastAsia="Lora"/>
          <w:b w:val="0"/>
          <w:i w:val="0"/>
          <w:color w:val="000000"/>
          <w:sz w:val="18"/>
        </w:rPr>
        <w:t>analyses.</w:t>
      </w:r>
    </w:p>
    <w:p>
      <w:pPr>
        <w:autoSpaceDN w:val="0"/>
        <w:autoSpaceDE w:val="0"/>
        <w:widowControl/>
        <w:spacing w:line="360" w:lineRule="exact" w:before="218" w:after="0"/>
        <w:ind w:left="158" w:right="1296" w:firstLine="0"/>
        <w:jc w:val="left"/>
      </w:pPr>
      <w:r>
        <w:rPr>
          <w:rFonts w:ascii="Asap" w:hAnsi="Asap" w:eastAsia="Asap"/>
          <w:b/>
          <w:i w:val="0"/>
          <w:color w:val="6C146B"/>
          <w:sz w:val="32"/>
        </w:rPr>
        <w:t xml:space="preserve">Pre-Approval Information </w:t>
      </w:r>
      <w:r>
        <w:rPr>
          <w:rFonts w:ascii="Asap" w:hAnsi="Asap" w:eastAsia="Asap"/>
          <w:b/>
          <w:i w:val="0"/>
          <w:color w:val="6C146B"/>
          <w:sz w:val="32"/>
        </w:rPr>
        <w:t xml:space="preserve">Exchange </w:t>
      </w:r>
    </w:p>
    <w:p>
      <w:pPr>
        <w:autoSpaceDN w:val="0"/>
        <w:autoSpaceDE w:val="0"/>
        <w:widowControl/>
        <w:spacing w:line="245" w:lineRule="auto" w:before="98" w:after="324"/>
        <w:ind w:left="158" w:right="0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PIE is used by manufacturers and HCDMs to facilitate the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exchange of product-specific information that may be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relevant to HCDM budgets and formulary decision-making. </w:t>
      </w:r>
      <w:r>
        <w:rPr>
          <w:rFonts w:ascii="Lora" w:hAnsi="Lora" w:eastAsia="Lora"/>
          <w:b w:val="0"/>
          <w:i w:val="0"/>
          <w:color w:val="000000"/>
          <w:sz w:val="18"/>
        </w:rPr>
        <w:t>PIE communications are typically initiated by manufactur-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ers and are generally created in tandem with Unapproved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Product Dossiers or Unapproved Use Dossiers.  PIE should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generally include information from ongoing and completed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trials, important timeline information, and information </w:t>
      </w:r>
      <w:r>
        <w:rPr>
          <w:rFonts w:ascii="Lora" w:hAnsi="Lora" w:eastAsia="Lora"/>
          <w:b w:val="0"/>
          <w:i w:val="0"/>
          <w:color w:val="000000"/>
          <w:sz w:val="18"/>
        </w:rPr>
        <w:t>relevant to patient access.  AMCP encourages manufactur-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ers to proactively engage with HCDMs in a timely fashion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to support critical planning processes, and manufacturers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should continue to update HCDMs as new information </w:t>
      </w:r>
      <w:r>
        <w:rPr>
          <w:rFonts w:ascii="Lora" w:hAnsi="Lora" w:eastAsia="Lora"/>
          <w:b w:val="0"/>
          <w:i w:val="0"/>
          <w:color w:val="000000"/>
          <w:sz w:val="18"/>
        </w:rPr>
        <w:t>becomes available.</w:t>
      </w:r>
    </w:p>
    <w:p>
      <w:pPr>
        <w:sectPr>
          <w:type w:val="nextColumn"/>
          <w:pgSz w:w="11880" w:h="15660"/>
          <w:pgMar w:top="360" w:right="652" w:bottom="266" w:left="0" w:header="720" w:footer="720" w:gutter="0"/>
          <w:cols w:num="2" w:equalWidth="0">
            <w:col w:w="5962" w:space="0"/>
            <w:col w:w="5265" w:space="0"/>
          </w:cols>
          <w:docGrid w:linePitch="360"/>
        </w:sectPr>
      </w:pPr>
    </w:p>
    <w:p>
      <w:pPr>
        <w:autoSpaceDN w:val="0"/>
        <w:autoSpaceDE w:val="0"/>
        <w:widowControl/>
        <w:spacing w:line="622" w:lineRule="exact" w:before="0" w:after="112"/>
        <w:ind w:left="720" w:right="0" w:firstLine="0"/>
        <w:jc w:val="left"/>
      </w:pPr>
      <w:r>
        <w:rPr>
          <w:rFonts w:ascii="Asap" w:hAnsi="Asap" w:eastAsia="Asap"/>
          <w:b w:val="0"/>
          <w:i w:val="0"/>
          <w:color w:val="14377D"/>
          <w:sz w:val="48"/>
        </w:rPr>
        <w:t>Special Content Considerations</w:t>
      </w:r>
    </w:p>
    <w:p>
      <w:pPr>
        <w:sectPr>
          <w:type w:val="continuous"/>
          <w:pgSz w:w="11880" w:h="15660"/>
          <w:pgMar w:top="360" w:right="652" w:bottom="266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424" w:lineRule="exact" w:before="0" w:after="0"/>
        <w:ind w:left="720" w:right="0" w:firstLine="0"/>
        <w:jc w:val="left"/>
      </w:pPr>
      <w:r>
        <w:rPr>
          <w:rFonts w:ascii="Asap" w:hAnsi="Asap" w:eastAsia="Asap"/>
          <w:b/>
          <w:i w:val="0"/>
          <w:color w:val="6C146B"/>
          <w:sz w:val="32"/>
        </w:rPr>
        <w:t>Biosimilars</w:t>
      </w:r>
    </w:p>
    <w:p>
      <w:pPr>
        <w:autoSpaceDN w:val="0"/>
        <w:tabs>
          <w:tab w:pos="900" w:val="left"/>
        </w:tabs>
        <w:autoSpaceDE w:val="0"/>
        <w:widowControl/>
        <w:spacing w:line="245" w:lineRule="auto" w:before="98" w:after="0"/>
        <w:ind w:left="720" w:right="144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A biosimilar is defined as a biological product that “is highly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similar to the reference product notwithstanding minor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differences in clinically inactive components” and that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“there are no clinically meaningful differences between the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biological product and the reference product in terms of the </w:t>
      </w:r>
      <w:r>
        <w:rPr>
          <w:rFonts w:ascii="Lora" w:hAnsi="Lora" w:eastAsia="Lora"/>
          <w:b w:val="0"/>
          <w:i w:val="0"/>
          <w:color w:val="000000"/>
          <w:sz w:val="18"/>
        </w:rPr>
        <w:t>safety,  purity, and potency of the product.”</w:t>
      </w:r>
      <w:r>
        <w:rPr>
          <w:w w:val="104.94000434875488"/>
          <w:rFonts w:ascii="Lora" w:hAnsi="Lora" w:eastAsia="Lora"/>
          <w:b w:val="0"/>
          <w:i w:val="0"/>
          <w:color w:val="000000"/>
          <w:sz w:val="10"/>
        </w:rPr>
        <w:t>15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 According to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the FDA, for a product to be a biosimilar or interchangeable,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the manufacturer must submit a 351(k) biologics license </w:t>
      </w:r>
      <w:r>
        <w:rPr>
          <w:rFonts w:ascii="Lora" w:hAnsi="Lora" w:eastAsia="Lora"/>
          <w:b w:val="0"/>
          <w:i w:val="0"/>
          <w:color w:val="000000"/>
          <w:sz w:val="18"/>
        </w:rPr>
        <w:t>application (BLA) that demonstrates biosimilarity.</w:t>
      </w:r>
      <w:r>
        <w:rPr>
          <w:w w:val="104.94000434875488"/>
          <w:rFonts w:ascii="Lora" w:hAnsi="Lora" w:eastAsia="Lora"/>
          <w:b w:val="0"/>
          <w:i w:val="0"/>
          <w:color w:val="000000"/>
          <w:sz w:val="10"/>
        </w:rPr>
        <w:t xml:space="preserve">15 </w:t>
      </w:r>
      <w:r>
        <w:br/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The FDA has provided guidance on the analyses and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testing that are required to demonstrate biosimilarity and </w:t>
      </w:r>
    </w:p>
    <w:p>
      <w:pPr>
        <w:autoSpaceDN w:val="0"/>
        <w:autoSpaceDE w:val="0"/>
        <w:widowControl/>
        <w:spacing w:line="186" w:lineRule="exact" w:before="778" w:after="0"/>
        <w:ind w:left="740" w:right="0" w:firstLine="0"/>
        <w:jc w:val="left"/>
      </w:pPr>
      <w:r>
        <w:rPr>
          <w:rFonts w:ascii="Asap" w:hAnsi="Asap" w:eastAsia="Asap"/>
          <w:b/>
          <w:i w:val="0"/>
          <w:color w:val="14377D"/>
          <w:sz w:val="14"/>
        </w:rPr>
        <w:t>JMCP</w:t>
      </w:r>
      <w:r>
        <w:rPr>
          <w:rFonts w:ascii="Asap" w:hAnsi="Asap" w:eastAsia="Asap"/>
          <w:b w:val="0"/>
          <w:i w:val="0"/>
          <w:color w:val="14377D"/>
          <w:sz w:val="14"/>
        </w:rPr>
        <w:t>.org</w:t>
      </w:r>
      <w:r>
        <w:rPr>
          <w:rFonts w:ascii="Asap" w:hAnsi="Asap" w:eastAsia="Asap"/>
          <w:b w:val="0"/>
          <w:i w:val="0"/>
          <w:color w:val="474C55"/>
          <w:sz w:val="14"/>
        </w:rPr>
        <w:t>|</w:t>
      </w:r>
      <w:r>
        <w:rPr>
          <w:rFonts w:ascii="Asap" w:hAnsi="Asap" w:eastAsia="Asap"/>
          <w:b w:val="0"/>
          <w:i w:val="0"/>
          <w:color w:val="474C55"/>
          <w:sz w:val="14"/>
        </w:rPr>
        <w:t>April 2024</w:t>
      </w:r>
      <w:r>
        <w:rPr>
          <w:rFonts w:ascii="Asap" w:hAnsi="Asap" w:eastAsia="Asap"/>
          <w:b w:val="0"/>
          <w:i w:val="0"/>
          <w:color w:val="474C55"/>
          <w:sz w:val="14"/>
        </w:rPr>
        <w:t>|</w:t>
      </w:r>
      <w:r>
        <w:rPr>
          <w:rFonts w:ascii="Asap" w:hAnsi="Asap" w:eastAsia="Asap"/>
          <w:b w:val="0"/>
          <w:i w:val="0"/>
          <w:color w:val="474C55"/>
          <w:sz w:val="14"/>
        </w:rPr>
        <w:t>Vol. 30, No. 4-B</w:t>
      </w:r>
    </w:p>
    <w:p>
      <w:pPr>
        <w:sectPr>
          <w:type w:val="continuous"/>
          <w:pgSz w:w="11880" w:h="15660"/>
          <w:pgMar w:top="360" w:right="652" w:bottom="266" w:left="0" w:header="720" w:footer="720" w:gutter="0"/>
          <w:cols w:num="2" w:equalWidth="0">
            <w:col w:w="5962" w:space="0"/>
            <w:col w:w="5265" w:space="0"/>
          </w:cols>
          <w:docGrid w:linePitch="360"/>
        </w:sectPr>
      </w:pPr>
    </w:p>
    <w:p>
      <w:pPr>
        <w:autoSpaceDN w:val="0"/>
        <w:autoSpaceDE w:val="0"/>
        <w:widowControl/>
        <w:spacing w:line="245" w:lineRule="auto" w:before="0" w:after="0"/>
        <w:ind w:left="156" w:right="20" w:firstLine="0"/>
        <w:jc w:val="both"/>
      </w:pPr>
      <w:r>
        <w:rPr>
          <w:rFonts w:ascii="Lora" w:hAnsi="Lora" w:eastAsia="Lora"/>
          <w:b w:val="0"/>
          <w:i w:val="0"/>
          <w:color w:val="000000"/>
          <w:sz w:val="18"/>
        </w:rPr>
        <w:t>interchangeability.</w:t>
      </w:r>
      <w:r>
        <w:rPr>
          <w:w w:val="104.94000434875488"/>
          <w:rFonts w:ascii="Lora" w:hAnsi="Lora" w:eastAsia="Lora"/>
          <w:b w:val="0"/>
          <w:i w:val="0"/>
          <w:color w:val="000000"/>
          <w:sz w:val="10"/>
        </w:rPr>
        <w:t>16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 Companies that develop biosimilars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should incorporate these considerations into dossiers to </w:t>
      </w:r>
      <w:r>
        <w:rPr>
          <w:rFonts w:ascii="Lora" w:hAnsi="Lora" w:eastAsia="Lora"/>
          <w:b w:val="0"/>
          <w:i w:val="0"/>
          <w:color w:val="000000"/>
          <w:sz w:val="18"/>
        </w:rPr>
        <w:t>allow HCDMs to fully evaluate these products.</w:t>
      </w:r>
    </w:p>
    <w:p>
      <w:pPr>
        <w:autoSpaceDN w:val="0"/>
        <w:autoSpaceDE w:val="0"/>
        <w:widowControl/>
        <w:spacing w:line="245" w:lineRule="auto" w:before="0" w:after="0"/>
        <w:ind w:left="156" w:right="0" w:firstLine="18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>Because biosimilar products, as well as multiple indica-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tions for a biosimilar product, may gain FDA approval based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on evidence that was generated for the reference biologic,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biosimilar companies must clearly document whether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clinical trials and other studies (e.g., pharmacokinetic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studies) were conducted with the reference biologic or the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biosimilar product. HCDMs should be able to distinguish </w:t>
      </w:r>
      <w:r>
        <w:rPr>
          <w:rFonts w:ascii="Lora" w:hAnsi="Lora" w:eastAsia="Lora"/>
          <w:b w:val="0"/>
          <w:i w:val="0"/>
          <w:color w:val="000000"/>
          <w:sz w:val="18"/>
        </w:rPr>
        <w:t>whether biosimilars are supported by direct or extrapo-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lated evidence. </w:t>
      </w:r>
    </w:p>
    <w:p>
      <w:pPr>
        <w:sectPr>
          <w:type w:val="nextColumn"/>
          <w:pgSz w:w="11880" w:h="15660"/>
          <w:pgMar w:top="360" w:right="652" w:bottom="266" w:left="0" w:header="720" w:footer="720" w:gutter="0"/>
          <w:cols w:num="2" w:equalWidth="0">
            <w:col w:w="5962" w:space="0"/>
            <w:col w:w="5265" w:space="0"/>
          </w:cols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224.0" w:type="dxa"/>
      </w:tblPr>
      <w:tblGrid>
        <w:gridCol w:w="4862"/>
        <w:gridCol w:w="4862"/>
      </w:tblGrid>
      <w:tr>
        <w:trPr>
          <w:trHeight w:hRule="exact" w:val="362"/>
        </w:trPr>
        <w:tc>
          <w:tcPr>
            <w:tcW w:type="dxa" w:w="584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4" w:after="0"/>
              <w:ind w:left="0" w:right="90" w:firstLine="0"/>
              <w:jc w:val="right"/>
            </w:pPr>
            <w:r>
              <w:rPr>
                <w:rFonts w:ascii="Asap" w:hAnsi="Asap" w:eastAsia="Asap"/>
                <w:b/>
                <w:i w:val="0"/>
                <w:color w:val="474C55"/>
                <w:sz w:val="18"/>
              </w:rPr>
              <w:t>AMCP FORMAT 5.0</w:t>
            </w:r>
          </w:p>
        </w:tc>
        <w:tc>
          <w:tcPr>
            <w:tcW w:type="dxa" w:w="1094"/>
            <w:tcBorders/>
            <w:shd w:fill="6b146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72" w:after="0"/>
              <w:ind w:left="90" w:right="0" w:firstLine="0"/>
              <w:jc w:val="left"/>
            </w:pPr>
            <w:r>
              <w:rPr>
                <w:rFonts w:ascii="Asap" w:hAnsi="Asap" w:eastAsia="Asap"/>
                <w:b/>
                <w:i w:val="0"/>
                <w:color w:val="FFFFFF"/>
                <w:sz w:val="18"/>
              </w:rPr>
              <w:t>15</w:t>
            </w:r>
          </w:p>
        </w:tc>
      </w:tr>
    </w:tbl>
    <w:p>
      <w:pPr>
        <w:autoSpaceDN w:val="0"/>
        <w:autoSpaceDE w:val="0"/>
        <w:widowControl/>
        <w:spacing w:line="14" w:lineRule="exact" w:before="0" w:after="1038"/>
        <w:ind w:left="0" w:right="0"/>
      </w:pPr>
    </w:p>
    <w:p>
      <w:pPr>
        <w:sectPr>
          <w:pgSz w:w="11880" w:h="15660"/>
          <w:pgMar w:top="360" w:right="0" w:bottom="266" w:left="716" w:header="720" w:footer="720" w:gutter="0"/>
          <w:cols/>
          <w:docGrid w:linePitch="360"/>
        </w:sectPr>
      </w:pPr>
    </w:p>
    <w:p>
      <w:pPr>
        <w:autoSpaceDN w:val="0"/>
        <w:tabs>
          <w:tab w:pos="184" w:val="left"/>
          <w:tab w:pos="364" w:val="left"/>
        </w:tabs>
        <w:autoSpaceDE w:val="0"/>
        <w:widowControl/>
        <w:spacing w:line="245" w:lineRule="auto" w:before="0" w:after="0"/>
        <w:ind w:left="4" w:right="144" w:firstLine="0"/>
        <w:jc w:val="left"/>
      </w:pP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Additional information on FDA guidance related to bio-</w:t>
      </w:r>
      <w:r>
        <w:rPr>
          <w:rFonts w:ascii="Lora" w:hAnsi="Lora" w:eastAsia="Lora"/>
          <w:b w:val="0"/>
          <w:i w:val="0"/>
          <w:color w:val="000000"/>
          <w:sz w:val="18"/>
        </w:rPr>
        <w:t>similars may be found in the following:</w:t>
      </w:r>
      <w:r>
        <w:br/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• Considerations in Demonstrating Interchangeability </w:t>
      </w:r>
      <w:r>
        <w:tab/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with a Reference Product: Guidance for Industry. May </w:t>
      </w:r>
      <w:r>
        <w:tab/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2019.</w:t>
      </w:r>
      <w:r>
        <w:rPr>
          <w:w w:val="104.94000434875488"/>
          <w:rFonts w:ascii="Lora" w:hAnsi="Lora" w:eastAsia="Lora"/>
          <w:b w:val="0"/>
          <w:i w:val="0"/>
          <w:color w:val="000000"/>
          <w:sz w:val="10"/>
        </w:rPr>
        <w:t>16</w:t>
      </w:r>
      <w:r>
        <w:br/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• Biologics Price Competition and Innovation Act of 2009 </w:t>
      </w:r>
      <w:r>
        <w:tab/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(BPCI Act).</w:t>
      </w:r>
      <w:r>
        <w:rPr>
          <w:w w:val="104.94000434875488"/>
          <w:rFonts w:ascii="Lora" w:hAnsi="Lora" w:eastAsia="Lora"/>
          <w:b w:val="0"/>
          <w:i w:val="0"/>
          <w:color w:val="000000"/>
          <w:sz w:val="10"/>
        </w:rPr>
        <w:t>17</w:t>
      </w:r>
      <w:r>
        <w:br/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• Guidance for Industry: Scientific Considerations in </w:t>
      </w:r>
      <w:r>
        <w:tab/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Demonstrating Biosimilarity to a Reference Product. </w:t>
      </w:r>
    </w:p>
    <w:p>
      <w:pPr>
        <w:autoSpaceDN w:val="0"/>
        <w:tabs>
          <w:tab w:pos="364" w:val="left"/>
        </w:tabs>
        <w:autoSpaceDE w:val="0"/>
        <w:widowControl/>
        <w:spacing w:line="245" w:lineRule="auto" w:before="0" w:after="0"/>
        <w:ind w:left="184" w:right="144" w:firstLine="0"/>
        <w:jc w:val="left"/>
      </w:pP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April 2015.</w:t>
      </w:r>
      <w:r>
        <w:rPr>
          <w:w w:val="104.94000434875488"/>
          <w:rFonts w:ascii="Lora" w:hAnsi="Lora" w:eastAsia="Lora"/>
          <w:b w:val="0"/>
          <w:i w:val="0"/>
          <w:color w:val="000000"/>
          <w:sz w:val="10"/>
        </w:rPr>
        <w:t>18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• Guidance for Industry: Development of Therapeutic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Protein Biosimilars: Comparative Analytical Assessment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and Other Quality-Related Considerations Guidance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for Industry. April 2019.</w:t>
      </w:r>
      <w:r>
        <w:rPr>
          <w:w w:val="104.94000434875488"/>
          <w:rFonts w:ascii="Lora" w:hAnsi="Lora" w:eastAsia="Lora"/>
          <w:b w:val="0"/>
          <w:i w:val="0"/>
          <w:color w:val="000000"/>
          <w:sz w:val="10"/>
        </w:rPr>
        <w:t>19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• Nonproprietary Naming of Biological Products: Update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Guidance for Industry. March 2019.</w:t>
      </w:r>
      <w:r>
        <w:rPr>
          <w:w w:val="104.94000434875488"/>
          <w:rFonts w:ascii="Lora" w:hAnsi="Lora" w:eastAsia="Lora"/>
          <w:b w:val="0"/>
          <w:i w:val="0"/>
          <w:color w:val="000000"/>
          <w:sz w:val="10"/>
        </w:rPr>
        <w:t>20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• Reference Product Exclusivity for Biological Products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Filed Under Section 351(a) of the Public Health Service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Act. Draft Guidance. August 2014.</w:t>
      </w:r>
      <w:r>
        <w:rPr>
          <w:w w:val="104.94000434875488"/>
          <w:rFonts w:ascii="Lora" w:hAnsi="Lora" w:eastAsia="Lora"/>
          <w:b w:val="0"/>
          <w:i w:val="0"/>
          <w:color w:val="000000"/>
          <w:sz w:val="10"/>
        </w:rPr>
        <w:t>21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• Clinical Pharmacology Data to Support a Demonstration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of Biosimilarity to a Reference Product. Draft Guidance. </w:t>
      </w:r>
    </w:p>
    <w:p>
      <w:pPr>
        <w:autoSpaceDN w:val="0"/>
        <w:tabs>
          <w:tab w:pos="364" w:val="left"/>
        </w:tabs>
        <w:autoSpaceDE w:val="0"/>
        <w:widowControl/>
        <w:spacing w:line="245" w:lineRule="auto" w:before="0" w:after="0"/>
        <w:ind w:left="184" w:right="144" w:firstLine="0"/>
        <w:jc w:val="left"/>
      </w:pP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December 2016.</w:t>
      </w:r>
      <w:r>
        <w:rPr>
          <w:w w:val="104.94000434875488"/>
          <w:rFonts w:ascii="Lora" w:hAnsi="Lora" w:eastAsia="Lora"/>
          <w:b w:val="0"/>
          <w:i w:val="0"/>
          <w:color w:val="000000"/>
          <w:sz w:val="10"/>
        </w:rPr>
        <w:t>22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• Questions and Answers on Biosimilar Development and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the BPCI Act. December 2018.</w:t>
      </w:r>
      <w:r>
        <w:rPr>
          <w:w w:val="104.94000434875488"/>
          <w:rFonts w:ascii="Lora" w:hAnsi="Lora" w:eastAsia="Lora"/>
          <w:b w:val="0"/>
          <w:i w:val="0"/>
          <w:color w:val="000000"/>
          <w:sz w:val="10"/>
        </w:rPr>
        <w:t>15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• New and Revised Draft Q&amp;As on Biosimilar Development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and the BPCI Act (revision 2). December 2018.</w:t>
      </w:r>
      <w:r>
        <w:rPr>
          <w:w w:val="104.94000434875488"/>
          <w:rFonts w:ascii="Lora" w:hAnsi="Lora" w:eastAsia="Lora"/>
          <w:b w:val="0"/>
          <w:i w:val="0"/>
          <w:color w:val="000000"/>
          <w:sz w:val="10"/>
        </w:rPr>
        <w:t>23</w:t>
      </w:r>
    </w:p>
    <w:p>
      <w:pPr>
        <w:autoSpaceDN w:val="0"/>
        <w:autoSpaceDE w:val="0"/>
        <w:widowControl/>
        <w:spacing w:line="424" w:lineRule="exact" w:before="152" w:after="0"/>
        <w:ind w:left="4" w:right="0" w:firstLine="0"/>
        <w:jc w:val="left"/>
      </w:pPr>
      <w:r>
        <w:rPr>
          <w:rFonts w:ascii="Asap" w:hAnsi="Asap" w:eastAsia="Asap"/>
          <w:b/>
          <w:i w:val="0"/>
          <w:color w:val="6C146B"/>
          <w:sz w:val="32"/>
        </w:rPr>
        <w:t>Companion Diagnostic Tests</w:t>
      </w:r>
    </w:p>
    <w:p>
      <w:pPr>
        <w:autoSpaceDN w:val="0"/>
        <w:tabs>
          <w:tab w:pos="184" w:val="left"/>
        </w:tabs>
        <w:autoSpaceDE w:val="0"/>
        <w:widowControl/>
        <w:spacing w:line="245" w:lineRule="auto" w:before="98" w:after="0"/>
        <w:ind w:left="4" w:right="144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CDTs have been defined in various ways and have been </w:t>
      </w:r>
      <w:r>
        <w:rPr>
          <w:rFonts w:ascii="Lora" w:hAnsi="Lora" w:eastAsia="Lora"/>
          <w:b w:val="0"/>
          <w:i w:val="0"/>
          <w:color w:val="000000"/>
          <w:sz w:val="18"/>
        </w:rPr>
        <w:t>referred to as pharmacogenomics, pharmacogenetics, tar-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geted therapy, personalized medicine, precision medicine,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biomarker testing, etc. The FDA definition describes a CDT, </w:t>
      </w:r>
      <w:r>
        <w:rPr>
          <w:rFonts w:ascii="Lora" w:hAnsi="Lora" w:eastAsia="Lora"/>
          <w:b w:val="0"/>
          <w:i w:val="0"/>
          <w:color w:val="000000"/>
          <w:sz w:val="18"/>
        </w:rPr>
        <w:t>or an in vitro companion diagnostic device, as one that pro-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vides information that is essential for the safe and effective </w:t>
      </w:r>
      <w:r>
        <w:rPr>
          <w:rFonts w:ascii="Lora" w:hAnsi="Lora" w:eastAsia="Lora"/>
          <w:b w:val="0"/>
          <w:i w:val="0"/>
          <w:color w:val="000000"/>
          <w:sz w:val="18"/>
        </w:rPr>
        <w:t>use of a corresponding therapeutic product.</w:t>
      </w:r>
      <w:r>
        <w:rPr>
          <w:w w:val="104.94000434875488"/>
          <w:rFonts w:ascii="Lora" w:hAnsi="Lora" w:eastAsia="Lora"/>
          <w:b w:val="0"/>
          <w:i w:val="0"/>
          <w:color w:val="000000"/>
          <w:sz w:val="10"/>
        </w:rPr>
        <w:t xml:space="preserve">24 </w:t>
      </w:r>
      <w:r>
        <w:br/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More specifically, in the AMCP Format, a CDT is defined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as a laboratory test or assay that provides predictive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and differential information about a patient’s response or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anticipated response to drug therapy. This contrasts with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diagnostic or prognostic tests, which provide information </w:t>
      </w:r>
      <w:r>
        <w:rPr>
          <w:rFonts w:ascii="Lora" w:hAnsi="Lora" w:eastAsia="Lora"/>
          <w:b w:val="0"/>
          <w:i w:val="0"/>
          <w:color w:val="000000"/>
          <w:sz w:val="18"/>
        </w:rPr>
        <w:t>about the disease process rather than response to treat-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ment. The Companion test Assessment Tool (CAT) was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developed to assist HCDMs in determining whether a full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technology review is necessary and, if so, what factors are </w:t>
      </w:r>
      <w:r>
        <w:rPr>
          <w:rFonts w:ascii="Lora" w:hAnsi="Lora" w:eastAsia="Lora"/>
          <w:b w:val="0"/>
          <w:i w:val="0"/>
          <w:color w:val="000000"/>
          <w:sz w:val="18"/>
        </w:rPr>
        <w:t>likely to be most influential in the CDT’s overall value.</w:t>
      </w:r>
      <w:r>
        <w:rPr>
          <w:w w:val="104.94000434875488"/>
          <w:rFonts w:ascii="Lora" w:hAnsi="Lora" w:eastAsia="Lora"/>
          <w:b w:val="0"/>
          <w:i w:val="0"/>
          <w:color w:val="000000"/>
          <w:sz w:val="10"/>
        </w:rPr>
        <w:t xml:space="preserve">25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There are multiple sources for background information </w:t>
      </w:r>
      <w:r>
        <w:rPr>
          <w:rFonts w:ascii="Lora" w:hAnsi="Lora" w:eastAsia="Lora"/>
          <w:b w:val="0"/>
          <w:i w:val="0"/>
          <w:color w:val="000000"/>
          <w:sz w:val="18"/>
        </w:rPr>
        <w:t>regarding CDTs. In addition, various other analyses evalu-</w:t>
      </w:r>
      <w:r>
        <w:rPr>
          <w:rFonts w:ascii="Lora" w:hAnsi="Lora" w:eastAsia="Lora"/>
          <w:b w:val="0"/>
          <w:i w:val="0"/>
          <w:color w:val="000000"/>
          <w:sz w:val="18"/>
        </w:rPr>
        <w:t>ating frameworks and cost-effectiveness are available.</w:t>
      </w:r>
      <w:r>
        <w:rPr>
          <w:w w:val="104.94000434875488"/>
          <w:rFonts w:ascii="Lora" w:hAnsi="Lora" w:eastAsia="Lora"/>
          <w:b w:val="0"/>
          <w:i w:val="0"/>
          <w:color w:val="000000"/>
          <w:sz w:val="10"/>
        </w:rPr>
        <w:t>26-31</w:t>
      </w:r>
    </w:p>
    <w:p>
      <w:pPr>
        <w:sectPr>
          <w:type w:val="continuous"/>
          <w:pgSz w:w="11880" w:h="15660"/>
          <w:pgMar w:top="360" w:right="0" w:bottom="266" w:left="716" w:header="720" w:footer="720" w:gutter="0"/>
          <w:cols w:num="2" w:equalWidth="0">
            <w:col w:w="5248" w:space="0"/>
            <w:col w:w="5916" w:space="0"/>
          </w:cols>
          <w:docGrid w:linePitch="360"/>
        </w:sectPr>
      </w:pPr>
    </w:p>
    <w:p>
      <w:pPr>
        <w:autoSpaceDN w:val="0"/>
        <w:autoSpaceDE w:val="0"/>
        <w:widowControl/>
        <w:spacing w:line="242" w:lineRule="exact" w:before="24" w:after="0"/>
        <w:ind w:left="156" w:right="576" w:firstLine="0"/>
        <w:jc w:val="left"/>
      </w:pPr>
      <w:r>
        <w:rPr>
          <w:rFonts w:ascii="Asap" w:hAnsi="Asap" w:eastAsia="Asap"/>
          <w:b/>
          <w:i w:val="0"/>
          <w:color w:val="14377D"/>
          <w:sz w:val="20"/>
        </w:rPr>
        <w:t xml:space="preserve">DOSSIERS FROM PHARMACEUTICAL </w:t>
      </w:r>
      <w:r>
        <w:br/>
      </w:r>
      <w:r>
        <w:rPr>
          <w:rFonts w:ascii="Asap" w:hAnsi="Asap" w:eastAsia="Asap"/>
          <w:b/>
          <w:i w:val="0"/>
          <w:color w:val="14377D"/>
          <w:sz w:val="20"/>
        </w:rPr>
        <w:t xml:space="preserve">MANUFACTURERS VERSUS CDT MANUFACTURERS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Implementation of dossier requests for CDTs using the </w:t>
      </w:r>
      <w:r>
        <w:rPr>
          <w:rFonts w:ascii="Lora" w:hAnsi="Lora" w:eastAsia="Lora"/>
          <w:b w:val="0"/>
          <w:i w:val="0"/>
          <w:color w:val="000000"/>
          <w:sz w:val="18"/>
        </w:rPr>
        <w:t>AMCP Format may be complicated by the variety of poten-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tial relationships between a pharmaceutical manufacturer </w:t>
      </w:r>
      <w:r>
        <w:rPr>
          <w:rFonts w:ascii="Lora" w:hAnsi="Lora" w:eastAsia="Lora"/>
          <w:b w:val="0"/>
          <w:i w:val="0"/>
          <w:color w:val="000000"/>
          <w:sz w:val="18"/>
        </w:rPr>
        <w:t>and CDT manufacturer/developer.</w:t>
      </w:r>
    </w:p>
    <w:p>
      <w:pPr>
        <w:autoSpaceDN w:val="0"/>
        <w:tabs>
          <w:tab w:pos="336" w:val="left"/>
          <w:tab w:pos="516" w:val="left"/>
        </w:tabs>
        <w:autoSpaceDE w:val="0"/>
        <w:widowControl/>
        <w:spacing w:line="245" w:lineRule="auto" w:before="0" w:after="0"/>
        <w:ind w:left="156" w:right="576" w:firstLine="0"/>
        <w:jc w:val="left"/>
      </w:pP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The following are possible CDT development scenarios, in </w:t>
      </w:r>
      <w:r>
        <w:rPr>
          <w:rFonts w:ascii="Lora" w:hAnsi="Lora" w:eastAsia="Lora"/>
          <w:b w:val="0"/>
          <w:i w:val="0"/>
          <w:color w:val="000000"/>
          <w:sz w:val="18"/>
        </w:rPr>
        <w:t>no preferential order:</w:t>
      </w:r>
      <w:r>
        <w:br/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• CDT co-developed with the pharmaceutical and FDA- </w:t>
      </w:r>
      <w:r>
        <w:tab/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approved together with the pharmaceutical.</w:t>
      </w:r>
    </w:p>
    <w:p>
      <w:pPr>
        <w:autoSpaceDN w:val="0"/>
        <w:tabs>
          <w:tab w:pos="516" w:val="left"/>
        </w:tabs>
        <w:autoSpaceDE w:val="0"/>
        <w:widowControl/>
        <w:spacing w:line="245" w:lineRule="auto" w:before="0" w:after="0"/>
        <w:ind w:left="336" w:right="576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• CDT developed independently of the pharmaceutical,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typically after approval of the pharmaceutical.</w:t>
      </w:r>
    </w:p>
    <w:p>
      <w:pPr>
        <w:autoSpaceDN w:val="0"/>
        <w:tabs>
          <w:tab w:pos="516" w:val="left"/>
        </w:tabs>
        <w:autoSpaceDE w:val="0"/>
        <w:widowControl/>
        <w:spacing w:line="245" w:lineRule="auto" w:before="0" w:after="0"/>
        <w:ind w:left="336" w:right="576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• CDT developed independently and targeted for a class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of medications.</w:t>
      </w:r>
    </w:p>
    <w:p>
      <w:pPr>
        <w:autoSpaceDN w:val="0"/>
        <w:autoSpaceDE w:val="0"/>
        <w:widowControl/>
        <w:spacing w:line="245" w:lineRule="auto" w:before="0" w:after="0"/>
        <w:ind w:left="156" w:right="576" w:firstLine="18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>In each of these scenarios, the pharmaceutical manufac-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turer may or may not be the same as the CDT manufacturer/ </w:t>
      </w:r>
      <w:r>
        <w:rPr>
          <w:rFonts w:ascii="Lora" w:hAnsi="Lora" w:eastAsia="Lora"/>
          <w:b w:val="0"/>
          <w:i w:val="0"/>
          <w:color w:val="000000"/>
          <w:sz w:val="18"/>
        </w:rPr>
        <w:t>developer. In the case where the pharmaceutical manufac-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turer is different from the CDT manufacturer/developer, </w:t>
      </w:r>
      <w:r>
        <w:rPr>
          <w:rFonts w:ascii="Lora" w:hAnsi="Lora" w:eastAsia="Lora"/>
          <w:b w:val="0"/>
          <w:i w:val="0"/>
          <w:color w:val="000000"/>
          <w:sz w:val="18"/>
        </w:rPr>
        <w:t>the two companies may or may not have business agree-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ments to work collaboratively in the development and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marketing of the drug and CDT. Obtaining evidence for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CDTs may also be complicated when a clinical laboratory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test is not reviewed, cleared, or approved by the FDA (a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laboratory developed test when testing is a service and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not a product or kit). Thus, depending on the development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pathway, manufacturers and CDT developers may have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different responsibilities and processes regarding evidence </w:t>
      </w:r>
      <w:r>
        <w:rPr>
          <w:rFonts w:ascii="Lora" w:hAnsi="Lora" w:eastAsia="Lora"/>
          <w:b w:val="0"/>
          <w:i w:val="0"/>
          <w:color w:val="000000"/>
          <w:sz w:val="18"/>
        </w:rPr>
        <w:t>submission to HCDMs.</w:t>
      </w:r>
    </w:p>
    <w:p>
      <w:pPr>
        <w:autoSpaceDN w:val="0"/>
        <w:tabs>
          <w:tab w:pos="336" w:val="left"/>
        </w:tabs>
        <w:autoSpaceDE w:val="0"/>
        <w:widowControl/>
        <w:spacing w:line="245" w:lineRule="auto" w:before="0" w:after="0"/>
        <w:ind w:left="156" w:right="576" w:firstLine="0"/>
        <w:jc w:val="left"/>
      </w:pP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Given the potential complexity of regulatory processes,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data sources, and manufacturer relationships, the AMCP </w:t>
      </w:r>
      <w:r>
        <w:rPr>
          <w:rFonts w:ascii="Lora" w:hAnsi="Lora" w:eastAsia="Lora"/>
          <w:b w:val="0"/>
          <w:i w:val="0"/>
          <w:color w:val="000000"/>
          <w:sz w:val="18"/>
        </w:rPr>
        <w:t>Format includes the following recommendations for devel-</w:t>
      </w:r>
      <w:r>
        <w:rPr>
          <w:rFonts w:ascii="Lora" w:hAnsi="Lora" w:eastAsia="Lora"/>
          <w:b w:val="0"/>
          <w:i w:val="0"/>
          <w:color w:val="000000"/>
          <w:sz w:val="18"/>
        </w:rPr>
        <w:t>oping dossiers with CDT evidence:</w:t>
      </w:r>
      <w:r>
        <w:br/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• The CDT is co-developed with a pharmaceutical.</w:t>
      </w:r>
    </w:p>
    <w:p>
      <w:pPr>
        <w:autoSpaceDN w:val="0"/>
        <w:autoSpaceDE w:val="0"/>
        <w:widowControl/>
        <w:spacing w:line="245" w:lineRule="auto" w:before="0" w:after="0"/>
        <w:ind w:left="696" w:right="672" w:hanging="180"/>
        <w:jc w:val="both"/>
      </w:pPr>
      <w:r>
        <w:rPr>
          <w:rFonts w:ascii="AppleSymbols" w:hAnsi="AppleSymbols" w:eastAsia="AppleSymbols"/>
          <w:b w:val="0"/>
          <w:i w:val="0"/>
          <w:color w:val="000000"/>
          <w:sz w:val="18"/>
        </w:rPr>
        <w:t>⚬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The manufacturer should provide CDT evidence as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part of the pharmaceutical dossier in the AMCP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Format because the evidence for the safety, efficacy,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and value of the pharmaceutical is inherently linked </w:t>
      </w:r>
      <w:r>
        <w:rPr>
          <w:rFonts w:ascii="Lora" w:hAnsi="Lora" w:eastAsia="Lora"/>
          <w:b w:val="0"/>
          <w:i w:val="0"/>
          <w:color w:val="000000"/>
          <w:sz w:val="18"/>
        </w:rPr>
        <w:t>to the CDT.</w:t>
      </w:r>
    </w:p>
    <w:p>
      <w:pPr>
        <w:autoSpaceDN w:val="0"/>
        <w:tabs>
          <w:tab w:pos="516" w:val="left"/>
          <w:tab w:pos="1050" w:val="left"/>
          <w:tab w:pos="1636" w:val="left"/>
          <w:tab w:pos="1976" w:val="left"/>
          <w:tab w:pos="3074" w:val="left"/>
          <w:tab w:pos="4538" w:val="left"/>
          <w:tab w:pos="4908" w:val="left"/>
        </w:tabs>
        <w:autoSpaceDE w:val="0"/>
        <w:widowControl/>
        <w:spacing w:line="245" w:lineRule="auto" w:before="0" w:after="0"/>
        <w:ind w:left="336" w:right="576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• The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CDT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is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developed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independently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of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the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pharmaceutical.</w:t>
      </w:r>
    </w:p>
    <w:p>
      <w:pPr>
        <w:autoSpaceDN w:val="0"/>
        <w:autoSpaceDE w:val="0"/>
        <w:widowControl/>
        <w:spacing w:line="245" w:lineRule="auto" w:before="0" w:after="0"/>
        <w:ind w:left="696" w:right="576" w:hanging="180"/>
        <w:jc w:val="left"/>
      </w:pPr>
      <w:r>
        <w:rPr>
          <w:rFonts w:ascii="AppleSymbols" w:hAnsi="AppleSymbols" w:eastAsia="AppleSymbols"/>
          <w:b w:val="0"/>
          <w:i w:val="0"/>
          <w:color w:val="000000"/>
          <w:sz w:val="18"/>
        </w:rPr>
        <w:t>⚬</w:t>
      </w:r>
      <w:r>
        <w:rPr>
          <w:rFonts w:ascii="Lora" w:hAnsi="Lora" w:eastAsia="Lora"/>
          <w:b w:val="0"/>
          <w:i w:val="0"/>
          <w:color w:val="000000"/>
          <w:sz w:val="18"/>
        </w:rPr>
        <w:t>If the CDT is required in the drug label, the manufac-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turer should, if possible, provide data on the clinical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validity, clinical utility, and economic value of both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the pharmaceutical and CDT in the drug dossier. </w:t>
      </w:r>
    </w:p>
    <w:p>
      <w:pPr>
        <w:autoSpaceDN w:val="0"/>
        <w:autoSpaceDE w:val="0"/>
        <w:widowControl/>
        <w:spacing w:line="245" w:lineRule="auto" w:before="0" w:after="0"/>
        <w:ind w:left="696" w:right="576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Information on analytic validity should be provided </w:t>
      </w:r>
      <w:r>
        <w:rPr>
          <w:rFonts w:ascii="Lora" w:hAnsi="Lora" w:eastAsia="Lora"/>
          <w:b w:val="0"/>
          <w:i w:val="0"/>
          <w:color w:val="000000"/>
          <w:sz w:val="18"/>
        </w:rPr>
        <w:t>if feasible.</w:t>
      </w:r>
    </w:p>
    <w:p>
      <w:pPr>
        <w:autoSpaceDN w:val="0"/>
        <w:autoSpaceDE w:val="0"/>
        <w:widowControl/>
        <w:spacing w:line="245" w:lineRule="auto" w:before="0" w:after="0"/>
        <w:ind w:left="696" w:right="672" w:hanging="180"/>
        <w:jc w:val="both"/>
      </w:pPr>
      <w:r>
        <w:rPr>
          <w:rFonts w:ascii="AppleSymbols" w:hAnsi="AppleSymbols" w:eastAsia="AppleSymbols"/>
          <w:b w:val="0"/>
          <w:i w:val="0"/>
          <w:color w:val="000000"/>
          <w:sz w:val="18"/>
        </w:rPr>
        <w:t>⚬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If the CDT is not required in the pharmaceutical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label, then the CDT developer should provide a “CDT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dossier” that provides information as out lined in this </w:t>
      </w:r>
      <w:r>
        <w:rPr>
          <w:rFonts w:ascii="Lora" w:hAnsi="Lora" w:eastAsia="Lora"/>
          <w:b w:val="0"/>
          <w:i w:val="0"/>
          <w:color w:val="000000"/>
          <w:sz w:val="18"/>
        </w:rPr>
        <w:t>section.</w:t>
      </w:r>
    </w:p>
    <w:p>
      <w:pPr>
        <w:autoSpaceDN w:val="0"/>
        <w:autoSpaceDE w:val="0"/>
        <w:widowControl/>
        <w:spacing w:line="186" w:lineRule="exact" w:before="780" w:after="0"/>
        <w:ind w:left="0" w:right="742" w:firstLine="0"/>
        <w:jc w:val="right"/>
      </w:pPr>
      <w:r>
        <w:rPr>
          <w:rFonts w:ascii="Asap" w:hAnsi="Asap" w:eastAsia="Asap"/>
          <w:b w:val="0"/>
          <w:i w:val="0"/>
          <w:color w:val="474C55"/>
          <w:sz w:val="14"/>
        </w:rPr>
        <w:t>Vol. 30, No. 4-b</w:t>
      </w:r>
      <w:r>
        <w:rPr>
          <w:rFonts w:ascii="Asap" w:hAnsi="Asap" w:eastAsia="Asap"/>
          <w:b w:val="0"/>
          <w:i w:val="0"/>
          <w:color w:val="474C55"/>
          <w:sz w:val="14"/>
        </w:rPr>
        <w:t>|</w:t>
      </w:r>
      <w:r>
        <w:rPr>
          <w:rFonts w:ascii="Asap" w:hAnsi="Asap" w:eastAsia="Asap"/>
          <w:b w:val="0"/>
          <w:i w:val="0"/>
          <w:color w:val="474C55"/>
          <w:sz w:val="14"/>
        </w:rPr>
        <w:t>April 2024</w:t>
      </w:r>
      <w:r>
        <w:rPr>
          <w:rFonts w:ascii="Asap" w:hAnsi="Asap" w:eastAsia="Asap"/>
          <w:b w:val="0"/>
          <w:i w:val="0"/>
          <w:color w:val="474C55"/>
          <w:sz w:val="14"/>
        </w:rPr>
        <w:t>|</w:t>
      </w:r>
      <w:r>
        <w:rPr>
          <w:rFonts w:ascii="Asap" w:hAnsi="Asap" w:eastAsia="Asap"/>
          <w:b/>
          <w:i w:val="0"/>
          <w:color w:val="14377D"/>
          <w:sz w:val="14"/>
        </w:rPr>
        <w:t xml:space="preserve"> JMCP</w:t>
      </w:r>
      <w:r>
        <w:rPr>
          <w:rFonts w:ascii="Asap" w:hAnsi="Asap" w:eastAsia="Asap"/>
          <w:b w:val="0"/>
          <w:i w:val="0"/>
          <w:color w:val="14377D"/>
          <w:sz w:val="14"/>
        </w:rPr>
        <w:t>.org</w:t>
      </w:r>
    </w:p>
    <w:p>
      <w:pPr>
        <w:sectPr>
          <w:type w:val="nextColumn"/>
          <w:pgSz w:w="11880" w:h="15660"/>
          <w:pgMar w:top="360" w:right="0" w:bottom="266" w:left="716" w:header="720" w:footer="720" w:gutter="0"/>
          <w:cols w:num="2" w:equalWidth="0">
            <w:col w:w="5248" w:space="0"/>
            <w:col w:w="5916" w:space="0"/>
          </w:cols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894"/>
        <w:gridCol w:w="4894"/>
      </w:tblGrid>
      <w:tr>
        <w:trPr>
          <w:trHeight w:hRule="exact" w:val="362"/>
        </w:trPr>
        <w:tc>
          <w:tcPr>
            <w:tcW w:type="dxa" w:w="1094"/>
            <w:tcBorders/>
            <w:shd w:fill="6b146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4" w:after="0"/>
              <w:ind w:left="0" w:right="90" w:firstLine="0"/>
              <w:jc w:val="right"/>
            </w:pPr>
            <w:r>
              <w:rPr>
                <w:rFonts w:ascii="Asap" w:hAnsi="Asap" w:eastAsia="Asap"/>
                <w:b/>
                <w:i w:val="0"/>
                <w:color w:val="FFFFFF"/>
                <w:sz w:val="18"/>
              </w:rPr>
              <w:t>16</w:t>
            </w:r>
          </w:p>
        </w:tc>
        <w:tc>
          <w:tcPr>
            <w:tcW w:type="dxa" w:w="586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4" w:after="0"/>
              <w:ind w:left="90" w:right="0" w:firstLine="0"/>
              <w:jc w:val="left"/>
            </w:pPr>
            <w:r>
              <w:rPr>
                <w:rFonts w:ascii="Asap" w:hAnsi="Asap" w:eastAsia="Asap"/>
                <w:b/>
                <w:i w:val="0"/>
                <w:color w:val="474C55"/>
                <w:sz w:val="18"/>
              </w:rPr>
              <w:t>AMCP FORMAT 5.0</w:t>
            </w:r>
          </w:p>
        </w:tc>
      </w:tr>
    </w:tbl>
    <w:p>
      <w:pPr>
        <w:autoSpaceDN w:val="0"/>
        <w:autoSpaceDE w:val="0"/>
        <w:widowControl/>
        <w:spacing w:line="14" w:lineRule="exact" w:before="0" w:after="1038"/>
        <w:ind w:left="0" w:right="0"/>
      </w:pPr>
    </w:p>
    <w:p>
      <w:pPr>
        <w:sectPr>
          <w:pgSz w:w="11880" w:h="15660"/>
          <w:pgMar w:top="360" w:right="652" w:bottom="266" w:left="0" w:header="720" w:footer="720" w:gutter="0"/>
          <w:cols/>
          <w:docGrid w:linePitch="360"/>
        </w:sectPr>
      </w:pPr>
    </w:p>
    <w:p>
      <w:pPr>
        <w:autoSpaceDN w:val="0"/>
        <w:tabs>
          <w:tab w:pos="1080" w:val="left"/>
        </w:tabs>
        <w:autoSpaceDE w:val="0"/>
        <w:widowControl/>
        <w:spacing w:line="245" w:lineRule="auto" w:before="0" w:after="0"/>
        <w:ind w:left="900" w:right="144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• The CDT is developed independently and is targeted for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a class of medications.</w:t>
      </w:r>
    </w:p>
    <w:p>
      <w:pPr>
        <w:autoSpaceDN w:val="0"/>
        <w:tabs>
          <w:tab w:pos="1260" w:val="left"/>
        </w:tabs>
        <w:autoSpaceDE w:val="0"/>
        <w:widowControl/>
        <w:spacing w:line="245" w:lineRule="auto" w:before="0" w:after="0"/>
        <w:ind w:left="1080" w:right="144" w:firstLine="0"/>
        <w:jc w:val="left"/>
      </w:pPr>
      <w:r>
        <w:rPr>
          <w:rFonts w:ascii="AppleSymbols" w:hAnsi="AppleSymbols" w:eastAsia="AppleSymbols"/>
          <w:b w:val="0"/>
          <w:i w:val="0"/>
          <w:color w:val="000000"/>
          <w:sz w:val="18"/>
        </w:rPr>
        <w:t>⚬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The CDT developer should provide a “CDT dossier”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that provides information as outlined in this section.</w:t>
      </w:r>
    </w:p>
    <w:p>
      <w:pPr>
        <w:autoSpaceDN w:val="0"/>
        <w:autoSpaceDE w:val="0"/>
        <w:widowControl/>
        <w:spacing w:line="360" w:lineRule="exact" w:before="216" w:after="0"/>
        <w:ind w:left="720" w:right="1296" w:firstLine="0"/>
        <w:jc w:val="left"/>
      </w:pPr>
      <w:r>
        <w:rPr>
          <w:rFonts w:ascii="Asap" w:hAnsi="Asap" w:eastAsia="Asap"/>
          <w:b/>
          <w:i w:val="0"/>
          <w:color w:val="6C146B"/>
          <w:sz w:val="32"/>
        </w:rPr>
        <w:t xml:space="preserve">Comparative Effectiveness </w:t>
      </w:r>
      <w:r>
        <w:rPr>
          <w:rFonts w:ascii="Asap" w:hAnsi="Asap" w:eastAsia="Asap"/>
          <w:b/>
          <w:i w:val="0"/>
          <w:color w:val="6C146B"/>
          <w:sz w:val="32"/>
        </w:rPr>
        <w:t>Research</w:t>
      </w:r>
    </w:p>
    <w:p>
      <w:pPr>
        <w:autoSpaceDN w:val="0"/>
        <w:autoSpaceDE w:val="0"/>
        <w:widowControl/>
        <w:spacing w:line="245" w:lineRule="auto" w:before="98" w:after="0"/>
        <w:ind w:left="720" w:right="144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While the AMCP Format does not require manufacturers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to use any particular research design to present evidence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of benefit, safety, cost-effectiveness, or financial impact </w:t>
      </w:r>
      <w:r>
        <w:rPr>
          <w:rFonts w:ascii="Lora" w:hAnsi="Lora" w:eastAsia="Lora"/>
          <w:b w:val="0"/>
          <w:i w:val="0"/>
          <w:color w:val="000000"/>
          <w:sz w:val="18"/>
        </w:rPr>
        <w:t>of their products, it does strongly recommend that manu-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facturers include evidence from comparative effectiveness </w:t>
      </w:r>
      <w:r>
        <w:rPr>
          <w:rFonts w:ascii="Lora" w:hAnsi="Lora" w:eastAsia="Lora"/>
          <w:b w:val="0"/>
          <w:i w:val="0"/>
          <w:color w:val="000000"/>
          <w:sz w:val="18"/>
        </w:rPr>
        <w:t>research (CER) studies as they become available.</w:t>
      </w:r>
    </w:p>
    <w:p>
      <w:pPr>
        <w:autoSpaceDN w:val="0"/>
        <w:autoSpaceDE w:val="0"/>
        <w:widowControl/>
        <w:spacing w:line="245" w:lineRule="auto" w:before="0" w:after="0"/>
        <w:ind w:left="720" w:right="154" w:firstLine="180"/>
        <w:jc w:val="both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Initial approval of products by the FDA is based on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randomized controlled trials (RCTs) comparing the product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to placebo or, more preferably, a relevant active comparator.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Because of their highly controlled research settings, RCTs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are considered the gold standard for clinical research with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high internal validity. </w:t>
      </w:r>
    </w:p>
    <w:p>
      <w:pPr>
        <w:autoSpaceDN w:val="0"/>
        <w:autoSpaceDE w:val="0"/>
        <w:widowControl/>
        <w:spacing w:line="245" w:lineRule="auto" w:before="0" w:after="0"/>
        <w:ind w:left="720" w:right="154" w:firstLine="180"/>
        <w:jc w:val="both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Real-world data from CER is usually not available at the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time of new product launch. However, in subsequent years,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real-world CER may be conducted by manufacturers as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well as by other researchers, and the new evidence should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be incorporated into the dossiers. RCTs and CER can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complement each other by generating evidence to answer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questions that may be more appropriate in one study design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or the other. For example, sometimes, it is not ethical or </w:t>
      </w:r>
      <w:r>
        <w:rPr>
          <w:rFonts w:ascii="Lora" w:hAnsi="Lora" w:eastAsia="Lora"/>
          <w:b w:val="0"/>
          <w:i w:val="0"/>
          <w:color w:val="000000"/>
          <w:sz w:val="18"/>
        </w:rPr>
        <w:t>feasible to conduct RCTs.</w:t>
      </w:r>
    </w:p>
    <w:p>
      <w:pPr>
        <w:autoSpaceDN w:val="0"/>
        <w:tabs>
          <w:tab w:pos="900" w:val="left"/>
        </w:tabs>
        <w:autoSpaceDE w:val="0"/>
        <w:widowControl/>
        <w:spacing w:line="245" w:lineRule="auto" w:before="0" w:after="0"/>
        <w:ind w:left="720" w:right="144" w:firstLine="0"/>
        <w:jc w:val="left"/>
      </w:pP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There are many study designs that may be used to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conduct CER. The AMCP Format does not dictate the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process by which evidence is developed, nor does it provide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methodological guidance. The reader is referred to other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sources for more background information on various study </w:t>
      </w:r>
      <w:r>
        <w:rPr>
          <w:rFonts w:ascii="Lora" w:hAnsi="Lora" w:eastAsia="Lora"/>
          <w:b w:val="0"/>
          <w:i w:val="0"/>
          <w:color w:val="000000"/>
          <w:sz w:val="18"/>
        </w:rPr>
        <w:t>designs such as Bayesian and adaptive trials,</w:t>
      </w:r>
      <w:r>
        <w:rPr>
          <w:w w:val="104.94000434875488"/>
          <w:rFonts w:ascii="Lora" w:hAnsi="Lora" w:eastAsia="Lora"/>
          <w:b w:val="0"/>
          <w:i w:val="0"/>
          <w:color w:val="000000"/>
          <w:sz w:val="10"/>
        </w:rPr>
        <w:t>32,33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 pragmatic </w:t>
      </w:r>
      <w:r>
        <w:rPr>
          <w:rFonts w:ascii="Lora" w:hAnsi="Lora" w:eastAsia="Lora"/>
          <w:b w:val="0"/>
          <w:i w:val="0"/>
          <w:color w:val="000000"/>
          <w:sz w:val="18"/>
        </w:rPr>
        <w:t>clinical trials,</w:t>
      </w:r>
      <w:r>
        <w:rPr>
          <w:w w:val="104.94000434875488"/>
          <w:rFonts w:ascii="Lora" w:hAnsi="Lora" w:eastAsia="Lora"/>
          <w:b w:val="0"/>
          <w:i w:val="0"/>
          <w:color w:val="000000"/>
          <w:sz w:val="10"/>
        </w:rPr>
        <w:t>34,35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 prospective observational studies,</w:t>
      </w:r>
      <w:r>
        <w:rPr>
          <w:w w:val="104.94000434875488"/>
          <w:rFonts w:ascii="Lora" w:hAnsi="Lora" w:eastAsia="Lora"/>
          <w:b w:val="0"/>
          <w:i w:val="0"/>
          <w:color w:val="000000"/>
          <w:sz w:val="10"/>
        </w:rPr>
        <w:t>36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 ret-</w:t>
      </w:r>
      <w:r>
        <w:rPr>
          <w:rFonts w:ascii="Lora" w:hAnsi="Lora" w:eastAsia="Lora"/>
          <w:b w:val="0"/>
          <w:i w:val="0"/>
          <w:color w:val="000000"/>
          <w:sz w:val="18"/>
        </w:rPr>
        <w:t>rospective observational studies,</w:t>
      </w:r>
      <w:r>
        <w:rPr>
          <w:w w:val="104.94000434875488"/>
          <w:rFonts w:ascii="Lora" w:hAnsi="Lora" w:eastAsia="Lora"/>
          <w:b w:val="0"/>
          <w:i w:val="0"/>
          <w:color w:val="000000"/>
          <w:sz w:val="10"/>
        </w:rPr>
        <w:t>37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 systematic evidence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reviews including indirect treatment comparisons and </w:t>
      </w:r>
      <w:r>
        <w:rPr>
          <w:rFonts w:ascii="Lora" w:hAnsi="Lora" w:eastAsia="Lora"/>
          <w:b w:val="0"/>
          <w:i w:val="0"/>
          <w:color w:val="000000"/>
          <w:sz w:val="18"/>
        </w:rPr>
        <w:t>network meta-analyses,</w:t>
      </w:r>
      <w:r>
        <w:rPr>
          <w:w w:val="104.94000434875488"/>
          <w:rFonts w:ascii="Lora" w:hAnsi="Lora" w:eastAsia="Lora"/>
          <w:b w:val="0"/>
          <w:i w:val="0"/>
          <w:color w:val="000000"/>
          <w:sz w:val="10"/>
        </w:rPr>
        <w:t xml:space="preserve">38-41 </w:t>
      </w:r>
      <w:r>
        <w:rPr>
          <w:rFonts w:ascii="Lora" w:hAnsi="Lora" w:eastAsia="Lora"/>
          <w:b w:val="0"/>
          <w:i w:val="0"/>
          <w:color w:val="000000"/>
          <w:sz w:val="18"/>
        </w:rPr>
        <w:t>and modeling studies.</w:t>
      </w:r>
      <w:r>
        <w:rPr>
          <w:w w:val="104.94000434875488"/>
          <w:rFonts w:ascii="Lora" w:hAnsi="Lora" w:eastAsia="Lora"/>
          <w:b w:val="0"/>
          <w:i w:val="0"/>
          <w:color w:val="000000"/>
          <w:sz w:val="10"/>
        </w:rPr>
        <w:t xml:space="preserve">42 </w:t>
      </w:r>
      <w:r>
        <w:br/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For assessing evidence from CER studies, various tools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may be used to evaluate different types of outcomes </w:t>
      </w:r>
      <w:r>
        <w:rPr>
          <w:rFonts w:ascii="Lora" w:hAnsi="Lora" w:eastAsia="Lora"/>
          <w:b w:val="0"/>
          <w:i w:val="0"/>
          <w:color w:val="000000"/>
          <w:sz w:val="18"/>
        </w:rPr>
        <w:t>research,</w:t>
      </w:r>
      <w:r>
        <w:rPr>
          <w:w w:val="104.94000434875488"/>
          <w:rFonts w:ascii="Lora" w:hAnsi="Lora" w:eastAsia="Lora"/>
          <w:b w:val="0"/>
          <w:i w:val="0"/>
          <w:color w:val="000000"/>
          <w:sz w:val="10"/>
        </w:rPr>
        <w:t>43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 including prospective and retrospective </w:t>
      </w:r>
      <w:r>
        <w:rPr>
          <w:rFonts w:ascii="Lora" w:hAnsi="Lora" w:eastAsia="Lora"/>
          <w:b w:val="0"/>
          <w:i w:val="0"/>
          <w:color w:val="000000"/>
          <w:sz w:val="18"/>
        </w:rPr>
        <w:t>observational studies,</w:t>
      </w:r>
      <w:r>
        <w:rPr>
          <w:w w:val="104.94000434875488"/>
          <w:rFonts w:ascii="Lora" w:hAnsi="Lora" w:eastAsia="Lora"/>
          <w:b w:val="0"/>
          <w:i w:val="0"/>
          <w:color w:val="000000"/>
          <w:sz w:val="10"/>
        </w:rPr>
        <w:t>44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 modeling studies,</w:t>
      </w:r>
      <w:r>
        <w:rPr>
          <w:w w:val="104.94000434875488"/>
          <w:rFonts w:ascii="Lora" w:hAnsi="Lora" w:eastAsia="Lora"/>
          <w:b w:val="0"/>
          <w:i w:val="0"/>
          <w:color w:val="000000"/>
          <w:sz w:val="10"/>
        </w:rPr>
        <w:t>45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 and indirect </w:t>
      </w:r>
      <w:r>
        <w:rPr>
          <w:rFonts w:ascii="Lora" w:hAnsi="Lora" w:eastAsia="Lora"/>
          <w:b w:val="0"/>
          <w:i w:val="0"/>
          <w:color w:val="000000"/>
          <w:sz w:val="18"/>
        </w:rPr>
        <w:t>treatment comparison studies.</w:t>
      </w:r>
      <w:r>
        <w:rPr>
          <w:w w:val="104.94000434875488"/>
          <w:rFonts w:ascii="Lora" w:hAnsi="Lora" w:eastAsia="Lora"/>
          <w:b w:val="0"/>
          <w:i w:val="0"/>
          <w:color w:val="000000"/>
          <w:sz w:val="10"/>
        </w:rPr>
        <w:t>46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 HCDMs may also use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tools to assess the body of evidence, such as Institute for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Clinical and Economic Review (ICER)  Evidence Rating </w:t>
      </w:r>
      <w:r>
        <w:rPr>
          <w:rFonts w:ascii="Lora" w:hAnsi="Lora" w:eastAsia="Lora"/>
          <w:b w:val="0"/>
          <w:i w:val="0"/>
          <w:color w:val="000000"/>
          <w:sz w:val="18"/>
        </w:rPr>
        <w:t>Matrix,</w:t>
      </w:r>
      <w:r>
        <w:rPr>
          <w:w w:val="104.94000434875488"/>
          <w:rFonts w:ascii="Lora" w:hAnsi="Lora" w:eastAsia="Lora"/>
          <w:b w:val="0"/>
          <w:i w:val="0"/>
          <w:color w:val="000000"/>
          <w:sz w:val="10"/>
        </w:rPr>
        <w:t>47-49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 Grading of Recommendations Assessment, </w:t>
      </w:r>
      <w:r>
        <w:rPr>
          <w:rFonts w:ascii="Lora" w:hAnsi="Lora" w:eastAsia="Lora"/>
          <w:b w:val="0"/>
          <w:i w:val="0"/>
          <w:color w:val="000000"/>
          <w:sz w:val="18"/>
        </w:rPr>
        <w:t>Development and Evaluation (GRADE),</w:t>
      </w:r>
      <w:r>
        <w:rPr>
          <w:w w:val="104.94000434875488"/>
          <w:rFonts w:ascii="Lora" w:hAnsi="Lora" w:eastAsia="Lora"/>
          <w:b w:val="0"/>
          <w:i w:val="0"/>
          <w:color w:val="000000"/>
          <w:sz w:val="10"/>
        </w:rPr>
        <w:t>50-52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 and refer to good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practices recommended by The Professional Society for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Health Economics and Outcomes Research (ISPOR) and the </w:t>
      </w:r>
      <w:r>
        <w:rPr>
          <w:rFonts w:ascii="Lora" w:hAnsi="Lora" w:eastAsia="Lora"/>
          <w:b w:val="0"/>
          <w:i w:val="0"/>
          <w:color w:val="000000"/>
          <w:sz w:val="18"/>
        </w:rPr>
        <w:t>International Society for Pharmacoepidemiology (ISPE).</w:t>
      </w:r>
      <w:r>
        <w:rPr>
          <w:w w:val="104.94000434875488"/>
          <w:rFonts w:ascii="Lora" w:hAnsi="Lora" w:eastAsia="Lora"/>
          <w:b w:val="0"/>
          <w:i w:val="0"/>
          <w:color w:val="000000"/>
          <w:sz w:val="10"/>
        </w:rPr>
        <w:t>53</w:t>
      </w:r>
    </w:p>
    <w:p>
      <w:pPr>
        <w:autoSpaceDN w:val="0"/>
        <w:autoSpaceDE w:val="0"/>
        <w:widowControl/>
        <w:spacing w:line="186" w:lineRule="exact" w:before="468" w:after="0"/>
        <w:ind w:left="740" w:right="0" w:firstLine="0"/>
        <w:jc w:val="left"/>
      </w:pPr>
      <w:r>
        <w:rPr>
          <w:rFonts w:ascii="Asap" w:hAnsi="Asap" w:eastAsia="Asap"/>
          <w:b/>
          <w:i w:val="0"/>
          <w:color w:val="14377D"/>
          <w:sz w:val="14"/>
        </w:rPr>
        <w:t>JMCP</w:t>
      </w:r>
      <w:r>
        <w:rPr>
          <w:rFonts w:ascii="Asap" w:hAnsi="Asap" w:eastAsia="Asap"/>
          <w:b w:val="0"/>
          <w:i w:val="0"/>
          <w:color w:val="14377D"/>
          <w:sz w:val="14"/>
        </w:rPr>
        <w:t>.org</w:t>
      </w:r>
      <w:r>
        <w:rPr>
          <w:rFonts w:ascii="Asap" w:hAnsi="Asap" w:eastAsia="Asap"/>
          <w:b w:val="0"/>
          <w:i w:val="0"/>
          <w:color w:val="474C55"/>
          <w:sz w:val="14"/>
        </w:rPr>
        <w:t>|</w:t>
      </w:r>
      <w:r>
        <w:rPr>
          <w:rFonts w:ascii="Asap" w:hAnsi="Asap" w:eastAsia="Asap"/>
          <w:b w:val="0"/>
          <w:i w:val="0"/>
          <w:color w:val="474C55"/>
          <w:sz w:val="14"/>
        </w:rPr>
        <w:t>April 2024</w:t>
      </w:r>
      <w:r>
        <w:rPr>
          <w:rFonts w:ascii="Asap" w:hAnsi="Asap" w:eastAsia="Asap"/>
          <w:b w:val="0"/>
          <w:i w:val="0"/>
          <w:color w:val="474C55"/>
          <w:sz w:val="14"/>
        </w:rPr>
        <w:t>|</w:t>
      </w:r>
      <w:r>
        <w:rPr>
          <w:rFonts w:ascii="Asap" w:hAnsi="Asap" w:eastAsia="Asap"/>
          <w:b w:val="0"/>
          <w:i w:val="0"/>
          <w:color w:val="474C55"/>
          <w:sz w:val="14"/>
        </w:rPr>
        <w:t>Vol. 30, No. 4-B</w:t>
      </w:r>
    </w:p>
    <w:p>
      <w:pPr>
        <w:sectPr>
          <w:type w:val="continuous"/>
          <w:pgSz w:w="11880" w:h="15660"/>
          <w:pgMar w:top="360" w:right="652" w:bottom="266" w:left="0" w:header="720" w:footer="720" w:gutter="0"/>
          <w:cols w:num="2" w:equalWidth="0">
            <w:col w:w="5962" w:space="0"/>
            <w:col w:w="5265" w:space="0"/>
          </w:cols>
          <w:docGrid w:linePitch="360"/>
        </w:sectPr>
      </w:pPr>
    </w:p>
    <w:p>
      <w:pPr>
        <w:autoSpaceDN w:val="0"/>
        <w:autoSpaceDE w:val="0"/>
        <w:widowControl/>
        <w:spacing w:line="424" w:lineRule="exact" w:before="0" w:after="0"/>
        <w:ind w:left="158" w:right="0" w:firstLine="0"/>
        <w:jc w:val="left"/>
      </w:pPr>
      <w:r>
        <w:rPr>
          <w:rFonts w:ascii="Asap" w:hAnsi="Asap" w:eastAsia="Asap"/>
          <w:b/>
          <w:i w:val="0"/>
          <w:color w:val="6C146B"/>
          <w:sz w:val="32"/>
        </w:rPr>
        <w:t>Digital Therapeutics</w:t>
      </w:r>
    </w:p>
    <w:p>
      <w:pPr>
        <w:autoSpaceDN w:val="0"/>
        <w:autoSpaceDE w:val="0"/>
        <w:widowControl/>
        <w:spacing w:line="245" w:lineRule="auto" w:before="98" w:after="0"/>
        <w:ind w:left="158" w:right="0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>AMCP defines DTx as products—including software, appli-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cations (i.e., apps), or programs—designed to stand alone </w:t>
      </w:r>
      <w:r>
        <w:rPr>
          <w:rFonts w:ascii="Lora" w:hAnsi="Lora" w:eastAsia="Lora"/>
          <w:b w:val="0"/>
          <w:i w:val="0"/>
          <w:color w:val="000000"/>
          <w:sz w:val="18"/>
        </w:rPr>
        <w:t>or work in combination with existing medications or treat-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ments to help patients prevent, treat, and/or manage their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diseases, while ensuring optimal health outcomes from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therapy. A key distinguishing feature of a DTx product,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either prescription or nonprescription, is that it makes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 health claim that is validated by a third party (e.g., a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regulatory authority). However, definitions of digital health,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DTx, and digital health technology (DHT) differ across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various sources and are generally broad, encompassing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many types of products (see Table 2). DTx are generally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considered a subset or subcategory of DHT, which includes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the full spectrum of digital technologies (i.e., health system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tools, clinician-facing tools, and patient-facing wellness;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care support; and monitoring, diagnostic, and therapeutic </w:t>
      </w:r>
      <w:r>
        <w:rPr>
          <w:rFonts w:ascii="Lora" w:hAnsi="Lora" w:eastAsia="Lora"/>
          <w:b w:val="0"/>
          <w:i w:val="0"/>
          <w:color w:val="000000"/>
          <w:sz w:val="18"/>
        </w:rPr>
        <w:t>products).</w:t>
      </w:r>
    </w:p>
    <w:p>
      <w:pPr>
        <w:autoSpaceDN w:val="0"/>
        <w:autoSpaceDE w:val="0"/>
        <w:widowControl/>
        <w:spacing w:line="245" w:lineRule="auto" w:before="0" w:after="0"/>
        <w:ind w:left="158" w:right="0" w:firstLine="18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The role of the AMCP Format with DTx is the same as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with prescription pharmaceuticals: to convey evidentiary </w:t>
      </w:r>
      <w:r>
        <w:rPr>
          <w:rFonts w:ascii="Lora" w:hAnsi="Lora" w:eastAsia="Lora"/>
          <w:b w:val="0"/>
          <w:i w:val="0"/>
          <w:color w:val="000000"/>
          <w:sz w:val="18"/>
        </w:rPr>
        <w:t>needs. The goal of the dossier is to standardize com-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munication of the evidence and supplemental information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for evaluation of multiple types of products based on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their benefit/risk profile, alternative options, and place in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therapy. Given the volume of DTx products coming to the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market, standardized resources will be critical in allowing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HCDMs to systematically evaluate DTx for coverage or to </w:t>
      </w:r>
      <w:r>
        <w:rPr>
          <w:rFonts w:ascii="Lora" w:hAnsi="Lora" w:eastAsia="Lora"/>
          <w:b w:val="0"/>
          <w:i w:val="0"/>
          <w:color w:val="000000"/>
          <w:sz w:val="18"/>
        </w:rPr>
        <w:t>incorporate them into a treatment regimen.</w:t>
      </w:r>
    </w:p>
    <w:p>
      <w:pPr>
        <w:autoSpaceDN w:val="0"/>
        <w:tabs>
          <w:tab w:pos="338" w:val="left"/>
          <w:tab w:pos="518" w:val="left"/>
        </w:tabs>
        <w:autoSpaceDE w:val="0"/>
        <w:widowControl/>
        <w:spacing w:line="245" w:lineRule="auto" w:before="0" w:after="0"/>
        <w:ind w:left="158" w:right="0" w:firstLine="0"/>
        <w:jc w:val="left"/>
      </w:pP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Because of the vast number, type, and complexity of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products, and evolving nature of the class, additional </w:t>
      </w:r>
      <w:r>
        <w:rPr>
          <w:rFonts w:ascii="Lora" w:hAnsi="Lora" w:eastAsia="Lora"/>
          <w:b w:val="0"/>
          <w:i w:val="0"/>
          <w:color w:val="000000"/>
          <w:sz w:val="18"/>
        </w:rPr>
        <w:t>information may be needed for the following:</w:t>
      </w:r>
      <w:r>
        <w:br/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• Functionality</w:t>
      </w:r>
      <w:r>
        <w:br/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• How DTx are made available (e.g., app, computer </w:t>
      </w:r>
      <w:r>
        <w:tab/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program, website)</w:t>
      </w:r>
      <w:r>
        <w:br/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• Compatibility (i.e., software and/or hardware neces-</w:t>
      </w:r>
      <w:r>
        <w:tab/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sary to utilize product)</w:t>
      </w:r>
      <w:r>
        <w:br/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• Instructions for use and intended care setting</w:t>
      </w:r>
      <w:r>
        <w:br/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• Place in therapy (i.e., is the product intended to be used </w:t>
      </w:r>
      <w:r>
        <w:tab/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with certain drugs or classes of drugs? Or could it be </w:t>
      </w:r>
      <w:r>
        <w:tab/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used as a stand-alone product?)</w:t>
      </w:r>
      <w:r>
        <w:br/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• Available versions (e.g., different languages or formats)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• Technology assistance/support available</w:t>
      </w:r>
      <w:r>
        <w:br/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• Real-world evidence</w:t>
      </w:r>
      <w:r>
        <w:br/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• Regulatory codes, classifications, and identifiers</w:t>
      </w:r>
      <w:r>
        <w:br/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• Billing and reimbursement codes </w:t>
      </w:r>
      <w:r>
        <w:br/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These items may be addressed in the dossier through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existing sections. The place in therapy, functionality, and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compatibility may be addressed in Section 2.0B Production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Information and Disease Description, and any trials and/or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real-world evidence may be placed into their appropriate </w:t>
      </w:r>
    </w:p>
    <w:p>
      <w:pPr>
        <w:sectPr>
          <w:type w:val="nextColumn"/>
          <w:pgSz w:w="11880" w:h="15660"/>
          <w:pgMar w:top="360" w:right="652" w:bottom="266" w:left="0" w:header="720" w:footer="720" w:gutter="0"/>
          <w:cols w:num="2" w:equalWidth="0">
            <w:col w:w="5962" w:space="0"/>
            <w:col w:w="5265" w:space="0"/>
          </w:cols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0.0" w:type="dxa"/>
      </w:tblPr>
      <w:tblGrid>
        <w:gridCol w:w="2435"/>
        <w:gridCol w:w="2435"/>
        <w:gridCol w:w="2435"/>
        <w:gridCol w:w="2435"/>
      </w:tblGrid>
      <w:tr>
        <w:trPr>
          <w:trHeight w:hRule="exact" w:val="1814"/>
        </w:trPr>
        <w:tc>
          <w:tcPr>
            <w:tcW w:type="dxa" w:w="129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44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0.0" w:type="dxa"/>
            </w:tblPr>
            <w:tblGrid>
              <w:gridCol w:w="1296"/>
            </w:tblGrid>
            <w:tr>
              <w:trPr>
                <w:trHeight w:hRule="exact" w:val="354"/>
              </w:trPr>
              <w:tc>
                <w:tcPr>
                  <w:tcW w:type="dxa" w:w="1296"/>
                  <w:tcBorders/>
                  <w:shd w:fill="474b55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34" w:after="0"/>
                    <w:ind w:left="0" w:right="0" w:firstLine="0"/>
                    <w:jc w:val="center"/>
                  </w:pPr>
                  <w:r>
                    <w:rPr>
                      <w:rFonts w:ascii="Asap" w:hAnsi="Asap" w:eastAsia="Asap"/>
                      <w:b/>
                      <w:i w:val="0"/>
                      <w:color w:val="FFFFFF"/>
                      <w:sz w:val="20"/>
                    </w:rPr>
                    <w:t>TABLE 2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558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8" w:lineRule="exact" w:before="1508" w:after="0"/>
              <w:ind w:left="160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14377D"/>
                <w:sz w:val="20"/>
              </w:rPr>
              <w:t xml:space="preserve">Definitions Related to Digital Therapeutics </w:t>
            </w:r>
          </w:p>
        </w:tc>
        <w:tc>
          <w:tcPr>
            <w:tcW w:type="dxa" w:w="318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4" w:after="0"/>
              <w:ind w:left="0" w:right="90" w:firstLine="0"/>
              <w:jc w:val="right"/>
            </w:pPr>
            <w:r>
              <w:rPr>
                <w:rFonts w:ascii="Asap" w:hAnsi="Asap" w:eastAsia="Asap"/>
                <w:b/>
                <w:i w:val="0"/>
                <w:color w:val="474C55"/>
                <w:sz w:val="18"/>
              </w:rPr>
              <w:t>AMCP FORMAT 5.0</w:t>
            </w:r>
          </w:p>
        </w:tc>
        <w:tc>
          <w:tcPr>
            <w:tcW w:type="dxa" w:w="1094"/>
            <w:tcBorders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0.0" w:type="dxa"/>
            </w:tblPr>
            <w:tblGrid>
              <w:gridCol w:w="1094"/>
            </w:tblGrid>
            <w:tr>
              <w:trPr>
                <w:trHeight w:hRule="exact" w:val="362"/>
              </w:trPr>
              <w:tc>
                <w:tcPr>
                  <w:tcW w:type="dxa" w:w="1094"/>
                  <w:tcBorders/>
                  <w:shd w:fill="6b146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8" w:lineRule="exact" w:before="72" w:after="0"/>
                    <w:ind w:left="90" w:right="0" w:firstLine="0"/>
                    <w:jc w:val="left"/>
                  </w:pPr>
                  <w:r>
                    <w:rPr>
                      <w:rFonts w:ascii="Asap" w:hAnsi="Asap" w:eastAsia="Asap"/>
                      <w:b/>
                      <w:i w:val="0"/>
                      <w:color w:val="FFFFFF"/>
                      <w:sz w:val="18"/>
                    </w:rPr>
                    <w:t>17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2435"/>
        <w:gridCol w:w="2435"/>
        <w:gridCol w:w="2435"/>
        <w:gridCol w:w="2435"/>
      </w:tblGrid>
      <w:tr>
        <w:trPr>
          <w:trHeight w:hRule="exact" w:val="328"/>
        </w:trPr>
        <w:tc>
          <w:tcPr>
            <w:tcW w:type="dxa" w:w="1454"/>
            <w:tcBorders>
              <w:top w:sz="16.0" w:val="single" w:color="#474B55"/>
              <w:end w:sz="8.0" w:val="single" w:color="#FFFFFF"/>
              <w:bottom w:sz="8.0" w:val="single" w:color="#13377C"/>
            </w:tcBorders>
            <w:shd w:fill="c6c8c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2" w:lineRule="exact" w:before="48" w:after="0"/>
              <w:ind w:left="0" w:right="0" w:firstLine="0"/>
              <w:jc w:val="center"/>
            </w:pPr>
            <w:r>
              <w:rPr>
                <w:w w:val="102.46950387954712"/>
                <w:rFonts w:ascii="Asap" w:hAnsi="Asap" w:eastAsia="Asap"/>
                <w:b/>
                <w:i w:val="0"/>
                <w:color w:val="000000"/>
                <w:sz w:val="16"/>
              </w:rPr>
              <w:t>Term</w:t>
            </w:r>
          </w:p>
        </w:tc>
        <w:tc>
          <w:tcPr>
            <w:tcW w:type="dxa" w:w="1448"/>
            <w:tcBorders>
              <w:start w:sz="8.0" w:val="single" w:color="#FFFFFF"/>
              <w:top w:sz="16.0" w:val="single" w:color="#474B55"/>
              <w:end w:sz="8.0" w:val="single" w:color="#FFFFFF"/>
              <w:bottom w:sz="8.0" w:val="single" w:color="#13377C"/>
            </w:tcBorders>
            <w:shd w:fill="c6c8c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2" w:lineRule="exact" w:before="48" w:after="0"/>
              <w:ind w:left="0" w:right="0" w:firstLine="0"/>
              <w:jc w:val="center"/>
            </w:pPr>
            <w:r>
              <w:rPr>
                <w:w w:val="102.46950387954712"/>
                <w:rFonts w:ascii="Asap" w:hAnsi="Asap" w:eastAsia="Asap"/>
                <w:b/>
                <w:i w:val="0"/>
                <w:color w:val="000000"/>
                <w:sz w:val="16"/>
              </w:rPr>
              <w:t>Organization</w:t>
            </w:r>
          </w:p>
        </w:tc>
        <w:tc>
          <w:tcPr>
            <w:tcW w:type="dxa" w:w="3500"/>
            <w:tcBorders>
              <w:start w:sz="8.0" w:val="single" w:color="#FFFFFF"/>
              <w:top w:sz="16.0" w:val="single" w:color="#474B55"/>
              <w:end w:sz="8.0" w:val="single" w:color="#FFFFFF"/>
              <w:bottom w:sz="8.0" w:val="single" w:color="#13377C"/>
            </w:tcBorders>
            <w:shd w:fill="c6c8c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2" w:lineRule="exact" w:before="48" w:after="0"/>
              <w:ind w:left="0" w:right="0" w:firstLine="0"/>
              <w:jc w:val="center"/>
            </w:pPr>
            <w:r>
              <w:rPr>
                <w:w w:val="102.46950387954712"/>
                <w:rFonts w:ascii="Asap" w:hAnsi="Asap" w:eastAsia="Asap"/>
                <w:b/>
                <w:i w:val="0"/>
                <w:color w:val="000000"/>
                <w:sz w:val="16"/>
              </w:rPr>
              <w:t>Definition</w:t>
            </w:r>
          </w:p>
        </w:tc>
        <w:tc>
          <w:tcPr>
            <w:tcW w:type="dxa" w:w="4058"/>
            <w:tcBorders>
              <w:start w:sz="8.0" w:val="single" w:color="#FFFFFF"/>
              <w:top w:sz="16.0" w:val="single" w:color="#474B55"/>
              <w:bottom w:sz="8.0" w:val="single" w:color="#13377C"/>
            </w:tcBorders>
            <w:shd w:fill="c6c8c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2" w:lineRule="exact" w:before="48" w:after="0"/>
              <w:ind w:left="0" w:right="0" w:firstLine="0"/>
              <w:jc w:val="center"/>
            </w:pPr>
            <w:r>
              <w:rPr>
                <w:w w:val="102.46950387954712"/>
                <w:rFonts w:ascii="Asap" w:hAnsi="Asap" w:eastAsia="Asap"/>
                <w:b/>
                <w:i w:val="0"/>
                <w:color w:val="000000"/>
                <w:sz w:val="16"/>
              </w:rPr>
              <w:t>Categories</w:t>
            </w:r>
          </w:p>
        </w:tc>
      </w:tr>
      <w:tr>
        <w:trPr>
          <w:trHeight w:hRule="exact" w:val="1680"/>
        </w:trPr>
        <w:tc>
          <w:tcPr>
            <w:tcW w:type="dxa" w:w="1454"/>
            <w:vMerge w:val="restart"/>
            <w:tcBorders>
              <w:top w:sz="8.0" w:val="single" w:color="#13377C"/>
              <w:end w:sz="8.0" w:val="single" w:color="#C6C8C7"/>
              <w:bottom w:sz="8.0" w:val="single" w:color="#C6C8C7"/>
            </w:tcBorders>
            <w:shd w:fill="eaeaf2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1236" w:after="0"/>
              <w:ind w:left="110" w:right="0" w:firstLine="0"/>
              <w:jc w:val="left"/>
            </w:pPr>
            <w:r>
              <w:rPr>
                <w:rFonts w:ascii="Asap" w:hAnsi="Asap" w:eastAsia="Asap"/>
                <w:b/>
                <w:i w:val="0"/>
                <w:color w:val="000000"/>
                <w:sz w:val="16"/>
              </w:rPr>
              <w:t>DTx</w:t>
            </w:r>
          </w:p>
        </w:tc>
        <w:tc>
          <w:tcPr>
            <w:tcW w:type="dxa" w:w="1448"/>
            <w:tcBorders>
              <w:start w:sz="8.0" w:val="single" w:color="#C6C8C7"/>
              <w:top w:sz="8.0" w:val="single" w:color="#13377C"/>
              <w:end w:sz="8.0" w:val="single" w:color="#C6C8C7"/>
              <w:bottom w:sz="8.0" w:val="single" w:color="#C6C8C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736" w:after="0"/>
              <w:ind w:left="80" w:right="0" w:firstLine="0"/>
              <w:jc w:val="left"/>
            </w:pPr>
            <w:r>
              <w:rPr>
                <w:rFonts w:ascii="Asap" w:hAnsi="Asap" w:eastAsia="Asap"/>
                <w:b/>
                <w:i w:val="0"/>
                <w:color w:val="000000"/>
                <w:sz w:val="16"/>
              </w:rPr>
              <w:t>AMCP</w:t>
            </w:r>
          </w:p>
        </w:tc>
        <w:tc>
          <w:tcPr>
            <w:tcW w:type="dxa" w:w="3500"/>
            <w:tcBorders>
              <w:start w:sz="8.0" w:val="single" w:color="#C6C8C7"/>
              <w:top w:sz="8.0" w:val="single" w:color="#13377C"/>
              <w:end w:sz="8.0" w:val="single" w:color="#C6C8C7"/>
              <w:bottom w:sz="8.0" w:val="single" w:color="#C6C8C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0" w:lineRule="exact" w:before="86" w:after="0"/>
              <w:ind w:left="80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 xml:space="preserve">Products (software, apps, or programs) designed </w:t>
            </w: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 xml:space="preserve">to stand alone or work in combination with </w:t>
            </w:r>
            <w:r>
              <w:br/>
            </w: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 xml:space="preserve">existing medications or treatments to help </w:t>
            </w:r>
            <w:r>
              <w:br/>
            </w: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>patients prevent, treat, and/or manage their dis-</w:t>
            </w: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 xml:space="preserve">eases while ensuring optimal health outcomes </w:t>
            </w: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 xml:space="preserve">from therapy. A key distinguishing feature of a </w:t>
            </w: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 xml:space="preserve">prescription (or regulated) DTx product is that it </w:t>
            </w: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 xml:space="preserve">makes a health claim that is validated by a third </w:t>
            </w: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>party (e.g., a regulatory authority).</w:t>
            </w:r>
          </w:p>
        </w:tc>
        <w:tc>
          <w:tcPr>
            <w:tcW w:type="dxa" w:w="4058"/>
            <w:vMerge w:val="restart"/>
            <w:tcBorders>
              <w:start w:sz="8.0" w:val="single" w:color="#C6C8C7"/>
              <w:top w:sz="8.0" w:val="single" w:color="#13377C"/>
              <w:bottom w:sz="8.0" w:val="single" w:color="#C6C8C7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exact" w:before="952" w:after="0"/>
              <w:ind w:left="80" w:right="432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 xml:space="preserve">Treat a disease </w:t>
            </w:r>
            <w:r>
              <w:br/>
            </w: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 xml:space="preserve">Manage a disease </w:t>
            </w:r>
            <w:r>
              <w:br/>
            </w: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>Improve a health function (e.g., prevent a disease)</w:t>
            </w:r>
          </w:p>
        </w:tc>
      </w:tr>
      <w:tr>
        <w:trPr>
          <w:trHeight w:hRule="exact" w:val="1000"/>
        </w:trPr>
        <w:tc>
          <w:tcPr>
            <w:tcW w:type="dxa" w:w="2435"/>
            <w:vMerge/>
            <w:tcBorders>
              <w:top w:sz="8.0" w:val="single" w:color="#13377C"/>
              <w:end w:sz="8.0" w:val="single" w:color="#C6C8C7"/>
              <w:bottom w:sz="8.0" w:val="single" w:color="#C6C8C7"/>
            </w:tcBorders>
          </w:tcPr>
          <w:p/>
        </w:tc>
        <w:tc>
          <w:tcPr>
            <w:tcW w:type="dxa" w:w="1448"/>
            <w:tcBorders>
              <w:start w:sz="8.0" w:val="single" w:color="#C6C8C7"/>
              <w:top w:sz="8.0" w:val="single" w:color="#C6C8C7"/>
              <w:end w:sz="8.0" w:val="single" w:color="#C6C8C7"/>
              <w:bottom w:sz="8.0" w:val="single" w:color="#C6C8C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396" w:after="0"/>
              <w:ind w:left="80" w:right="0" w:firstLine="0"/>
              <w:jc w:val="left"/>
            </w:pPr>
            <w:r>
              <w:rPr>
                <w:rFonts w:ascii="Asap" w:hAnsi="Asap" w:eastAsia="Asap"/>
                <w:b/>
                <w:i w:val="0"/>
                <w:color w:val="000000"/>
                <w:sz w:val="16"/>
              </w:rPr>
              <w:t>DTA</w:t>
            </w:r>
          </w:p>
        </w:tc>
        <w:tc>
          <w:tcPr>
            <w:tcW w:type="dxa" w:w="3500"/>
            <w:tcBorders>
              <w:start w:sz="8.0" w:val="single" w:color="#C6C8C7"/>
              <w:top w:sz="8.0" w:val="single" w:color="#C6C8C7"/>
              <w:end w:sz="8.0" w:val="single" w:color="#C6C8C7"/>
              <w:bottom w:sz="8.0" w:val="single" w:color="#C6C8C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0" w:lineRule="exact" w:before="86" w:after="0"/>
              <w:ind w:left="80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 xml:space="preserve">Health software intended to treat or alleviate a </w:t>
            </w: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>disease, disorder, condition, or injury by gener-</w:t>
            </w: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 xml:space="preserve">ating and delivering a medical intervention that </w:t>
            </w: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 xml:space="preserve">has a demonstrable positive therapeutic impact </w:t>
            </w: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>on a patient’s health.</w:t>
            </w:r>
            <w:r>
              <w:rPr>
                <w:w w:val="97.16666539510092"/>
                <w:rFonts w:ascii="Asap" w:hAnsi="Asap" w:eastAsia="Asap"/>
                <w:b w:val="0"/>
                <w:i w:val="0"/>
                <w:color w:val="000000"/>
                <w:sz w:val="9"/>
              </w:rPr>
              <w:t>54</w:t>
            </w:r>
          </w:p>
        </w:tc>
        <w:tc>
          <w:tcPr>
            <w:tcW w:type="dxa" w:w="2435"/>
            <w:vMerge/>
            <w:tcBorders>
              <w:start w:sz="8.0" w:val="single" w:color="#C6C8C7"/>
              <w:top w:sz="8.0" w:val="single" w:color="#13377C"/>
              <w:bottom w:sz="8.0" w:val="single" w:color="#C6C8C7"/>
            </w:tcBorders>
          </w:tcPr>
          <w:p/>
        </w:tc>
      </w:tr>
      <w:tr>
        <w:trPr>
          <w:trHeight w:hRule="exact" w:val="1290"/>
        </w:trPr>
        <w:tc>
          <w:tcPr>
            <w:tcW w:type="dxa" w:w="1454"/>
            <w:tcBorders>
              <w:top w:sz="8.0" w:val="single" w:color="#C6C8C7"/>
              <w:end w:sz="8.0" w:val="single" w:color="#C6C8C7"/>
              <w:bottom w:sz="8.0" w:val="single" w:color="#C6C8C7"/>
            </w:tcBorders>
            <w:shd w:fill="eaea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540" w:after="0"/>
              <w:ind w:left="110" w:right="0" w:firstLine="0"/>
              <w:jc w:val="left"/>
            </w:pPr>
            <w:r>
              <w:rPr>
                <w:rFonts w:ascii="Asap" w:hAnsi="Asap" w:eastAsia="Asap"/>
                <w:b/>
                <w:i w:val="0"/>
                <w:color w:val="000000"/>
                <w:sz w:val="16"/>
              </w:rPr>
              <w:t>Digital health</w:t>
            </w:r>
          </w:p>
        </w:tc>
        <w:tc>
          <w:tcPr>
            <w:tcW w:type="dxa" w:w="1448"/>
            <w:tcBorders>
              <w:start w:sz="8.0" w:val="single" w:color="#C6C8C7"/>
              <w:top w:sz="8.0" w:val="single" w:color="#C6C8C7"/>
              <w:end w:sz="8.0" w:val="single" w:color="#C6C8C7"/>
              <w:bottom w:sz="8.0" w:val="single" w:color="#C6C8C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540" w:after="0"/>
              <w:ind w:left="80" w:right="0" w:firstLine="0"/>
              <w:jc w:val="left"/>
            </w:pPr>
            <w:r>
              <w:rPr>
                <w:rFonts w:ascii="Asap" w:hAnsi="Asap" w:eastAsia="Asap"/>
                <w:b/>
                <w:i w:val="0"/>
                <w:color w:val="000000"/>
                <w:sz w:val="16"/>
              </w:rPr>
              <w:t>FDA</w:t>
            </w:r>
          </w:p>
        </w:tc>
        <w:tc>
          <w:tcPr>
            <w:tcW w:type="dxa" w:w="3500"/>
            <w:tcBorders>
              <w:start w:sz="8.0" w:val="single" w:color="#C6C8C7"/>
              <w:top w:sz="8.0" w:val="single" w:color="#C6C8C7"/>
              <w:end w:sz="8.0" w:val="single" w:color="#C6C8C7"/>
              <w:bottom w:sz="8.0" w:val="single" w:color="#C6C8C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0" w:lineRule="exact" w:before="400" w:after="0"/>
              <w:ind w:left="80" w:right="144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 xml:space="preserve">Technologies that use computing platforms, </w:t>
            </w: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 xml:space="preserve">connectivity, software, and sensors for health </w:t>
            </w: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>care and related uses.</w:t>
            </w:r>
          </w:p>
        </w:tc>
        <w:tc>
          <w:tcPr>
            <w:tcW w:type="dxa" w:w="4058"/>
            <w:tcBorders>
              <w:start w:sz="8.0" w:val="single" w:color="#C6C8C7"/>
              <w:top w:sz="8.0" w:val="single" w:color="#C6C8C7"/>
              <w:bottom w:sz="8.0" w:val="single" w:color="#C6C8C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exact" w:before="14" w:after="0"/>
              <w:ind w:left="80" w:right="1728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 xml:space="preserve">Mobile health </w:t>
            </w:r>
            <w:r>
              <w:br/>
            </w: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 xml:space="preserve">Health information technology </w:t>
            </w: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 xml:space="preserve">Wearable devices </w:t>
            </w:r>
            <w:r>
              <w:br/>
            </w: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 xml:space="preserve">Telehealth/telemedicine </w:t>
            </w:r>
            <w:r>
              <w:br/>
            </w: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>Personalized medicine</w:t>
            </w:r>
          </w:p>
        </w:tc>
      </w:tr>
      <w:tr>
        <w:trPr>
          <w:trHeight w:hRule="exact" w:val="830"/>
        </w:trPr>
        <w:tc>
          <w:tcPr>
            <w:tcW w:type="dxa" w:w="1454"/>
            <w:vMerge w:val="restart"/>
            <w:tcBorders>
              <w:top w:sz="8.0" w:val="single" w:color="#C6C8C7"/>
              <w:end w:sz="8.0" w:val="single" w:color="#C6C8C7"/>
              <w:bottom w:sz="16.0" w:val="single" w:color="#474B55"/>
            </w:tcBorders>
            <w:shd w:fill="eaeaf2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1440" w:after="0"/>
              <w:ind w:left="110" w:right="0" w:firstLine="0"/>
              <w:jc w:val="left"/>
            </w:pPr>
            <w:r>
              <w:rPr>
                <w:rFonts w:ascii="Asap" w:hAnsi="Asap" w:eastAsia="Asap"/>
                <w:b/>
                <w:i w:val="0"/>
                <w:color w:val="000000"/>
                <w:sz w:val="16"/>
              </w:rPr>
              <w:t>DHT</w:t>
            </w:r>
          </w:p>
        </w:tc>
        <w:tc>
          <w:tcPr>
            <w:tcW w:type="dxa" w:w="1448"/>
            <w:tcBorders>
              <w:start w:sz="8.0" w:val="single" w:color="#C6C8C7"/>
              <w:top w:sz="8.0" w:val="single" w:color="#C6C8C7"/>
              <w:end w:sz="8.0" w:val="single" w:color="#C6C8C7"/>
              <w:bottom w:sz="8.0" w:val="single" w:color="#C6C8C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310" w:after="0"/>
              <w:ind w:left="80" w:right="0" w:firstLine="0"/>
              <w:jc w:val="left"/>
            </w:pPr>
            <w:r>
              <w:rPr>
                <w:rFonts w:ascii="Asap" w:hAnsi="Asap" w:eastAsia="Asap"/>
                <w:b/>
                <w:i w:val="0"/>
                <w:color w:val="000000"/>
                <w:sz w:val="16"/>
              </w:rPr>
              <w:t>NICE</w:t>
            </w:r>
          </w:p>
        </w:tc>
        <w:tc>
          <w:tcPr>
            <w:tcW w:type="dxa" w:w="3500"/>
            <w:tcBorders>
              <w:start w:sz="8.0" w:val="single" w:color="#C6C8C7"/>
              <w:top w:sz="8.0" w:val="single" w:color="#C6C8C7"/>
              <w:end w:sz="8.0" w:val="single" w:color="#C6C8C7"/>
              <w:bottom w:sz="8.0" w:val="single" w:color="#C6C8C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0" w:lineRule="exact" w:before="84" w:after="0"/>
              <w:ind w:left="80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 xml:space="preserve">Apps, programs, and software used in the health </w:t>
            </w: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 xml:space="preserve">and social care system. They may stand alone </w:t>
            </w: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 xml:space="preserve">or be combined with other products, such as </w:t>
            </w: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>medical devices or diagnostic tests.</w:t>
            </w:r>
          </w:p>
        </w:tc>
        <w:tc>
          <w:tcPr>
            <w:tcW w:type="dxa" w:w="4058"/>
            <w:vMerge w:val="restart"/>
            <w:tcBorders>
              <w:start w:sz="8.0" w:val="single" w:color="#C6C8C7"/>
              <w:top w:sz="8.0" w:val="single" w:color="#C6C8C7"/>
              <w:bottom w:sz="16.0" w:val="single" w:color="#474B55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exact" w:before="1156" w:after="0"/>
              <w:ind w:left="80" w:right="1584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 xml:space="preserve">Provide an intervention </w:t>
            </w:r>
            <w:r>
              <w:br/>
            </w: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 xml:space="preserve">Aid understanding/communicating </w:t>
            </w: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>Offer system services</w:t>
            </w:r>
          </w:p>
        </w:tc>
      </w:tr>
      <w:tr>
        <w:trPr>
          <w:trHeight w:hRule="exact" w:val="2262"/>
        </w:trPr>
        <w:tc>
          <w:tcPr>
            <w:tcW w:type="dxa" w:w="2435"/>
            <w:vMerge/>
            <w:tcBorders>
              <w:top w:sz="8.0" w:val="single" w:color="#C6C8C7"/>
              <w:end w:sz="8.0" w:val="single" w:color="#C6C8C7"/>
              <w:bottom w:sz="16.0" w:val="single" w:color="#474B55"/>
            </w:tcBorders>
          </w:tcPr>
          <w:p/>
        </w:tc>
        <w:tc>
          <w:tcPr>
            <w:tcW w:type="dxa" w:w="1448"/>
            <w:tcBorders>
              <w:start w:sz="8.0" w:val="single" w:color="#C6C8C7"/>
              <w:top w:sz="8.0" w:val="single" w:color="#C6C8C7"/>
              <w:end w:sz="8.0" w:val="single" w:color="#C6C8C7"/>
              <w:bottom w:sz="16.0" w:val="single" w:color="#474B5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1026" w:after="0"/>
              <w:ind w:left="80" w:right="0" w:firstLine="0"/>
              <w:jc w:val="left"/>
            </w:pPr>
            <w:r>
              <w:rPr>
                <w:rFonts w:ascii="Asap" w:hAnsi="Asap" w:eastAsia="Asap"/>
                <w:b/>
                <w:i w:val="0"/>
                <w:color w:val="000000"/>
                <w:sz w:val="16"/>
              </w:rPr>
              <w:t>DTA</w:t>
            </w:r>
          </w:p>
        </w:tc>
        <w:tc>
          <w:tcPr>
            <w:tcW w:type="dxa" w:w="3500"/>
            <w:tcBorders>
              <w:start w:sz="8.0" w:val="single" w:color="#C6C8C7"/>
              <w:top w:sz="8.0" w:val="single" w:color="#C6C8C7"/>
              <w:end w:sz="8.0" w:val="single" w:color="#C6C8C7"/>
              <w:bottom w:sz="16.0" w:val="single" w:color="#474B5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0" w:lineRule="exact" w:before="84" w:after="0"/>
              <w:ind w:left="80" w:right="288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 xml:space="preserve">The term DHT represents the full spectrum </w:t>
            </w: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 xml:space="preserve">of digital health products that are available </w:t>
            </w: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 xml:space="preserve">to patients, caregivers, clinicians, and health </w:t>
            </w: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>systems.</w:t>
            </w:r>
          </w:p>
          <w:p>
            <w:pPr>
              <w:autoSpaceDN w:val="0"/>
              <w:autoSpaceDE w:val="0"/>
              <w:widowControl/>
              <w:spacing w:line="170" w:lineRule="exact" w:before="72" w:after="0"/>
              <w:ind w:left="80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 xml:space="preserve">DHT product spectrum includes various medical </w:t>
            </w: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 xml:space="preserve">device categorization sub-classifications (e.g., </w:t>
            </w: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 xml:space="preserve">health software and digital medical device), </w:t>
            </w: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 xml:space="preserve">in addition to various product indication types </w:t>
            </w: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 xml:space="preserve">(e.g., health system tools, clinician-facing tools, </w:t>
            </w: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 xml:space="preserve">and patient-facing wellness; care support; </w:t>
            </w:r>
            <w:r>
              <w:br/>
            </w: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 xml:space="preserve">and monitoring, diagnostic, and therapeutic </w:t>
            </w: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>products).</w:t>
            </w:r>
          </w:p>
        </w:tc>
        <w:tc>
          <w:tcPr>
            <w:tcW w:type="dxa" w:w="2435"/>
            <w:vMerge/>
            <w:tcBorders>
              <w:start w:sz="8.0" w:val="single" w:color="#C6C8C7"/>
              <w:top w:sz="8.0" w:val="single" w:color="#C6C8C7"/>
              <w:bottom w:sz="16.0" w:val="single" w:color="#474B55"/>
            </w:tcBorders>
          </w:tcPr>
          <w:p/>
        </w:tc>
      </w:tr>
    </w:tbl>
    <w:p>
      <w:pPr>
        <w:autoSpaceDN w:val="0"/>
        <w:autoSpaceDE w:val="0"/>
        <w:widowControl/>
        <w:spacing w:line="174" w:lineRule="exact" w:before="104" w:after="0"/>
        <w:ind w:left="40" w:right="720" w:firstLine="0"/>
        <w:jc w:val="left"/>
      </w:pPr>
      <w:r>
        <w:rPr>
          <w:rFonts w:ascii="Asap" w:hAnsi="Asap" w:eastAsia="Asap"/>
          <w:b w:val="0"/>
          <w:i w:val="0"/>
          <w:color w:val="000000"/>
          <w:sz w:val="15"/>
        </w:rPr>
        <w:t>Ad</w:t>
      </w:r>
      <w:r>
        <w:rPr>
          <w:rFonts w:ascii="Asap" w:hAnsi="Asap" w:eastAsia="Asap"/>
          <w:b w:val="0"/>
          <w:i w:val="0"/>
          <w:color w:val="000000"/>
          <w:sz w:val="15"/>
        </w:rPr>
        <w:hyperlink r:id="rId17" w:history="1">
          <w:r>
            <w:rPr>
              <w:rStyle w:val="Hyperlink"/>
            </w:rPr>
            <w:t>apted from AMCP Partnership Forum Proc</w:t>
          </w:r>
        </w:hyperlink>
      </w:r>
      <w:r>
        <w:rPr>
          <w:rFonts w:ascii="Asap" w:hAnsi="Asap" w:eastAsia="Asap"/>
          <w:b w:val="0"/>
          <w:i w:val="0"/>
          <w:color w:val="000000"/>
          <w:sz w:val="15"/>
        </w:rPr>
        <w:t>eedings: The evolving role of digital therapeutics.</w:t>
      </w:r>
      <w:r>
        <w:rPr>
          <w:rFonts w:ascii="Asap" w:hAnsi="Asap" w:eastAsia="Asap"/>
          <w:b w:val="0"/>
          <w:i/>
          <w:color w:val="000000"/>
          <w:sz w:val="15"/>
        </w:rPr>
        <w:t>J Manag Care Spec Pharm</w:t>
      </w:r>
      <w:r>
        <w:rPr>
          <w:rFonts w:ascii="Lora" w:hAnsi="Lora" w:eastAsia="Lora"/>
          <w:b w:val="0"/>
          <w:i w:val="0"/>
          <w:color w:val="000000"/>
          <w:sz w:val="15"/>
        </w:rPr>
        <w:t xml:space="preserve">. </w:t>
      </w:r>
      <w:r>
        <w:rPr>
          <w:rFonts w:ascii="Asap" w:hAnsi="Asap" w:eastAsia="Asap"/>
          <w:b w:val="0"/>
          <w:i w:val="0"/>
          <w:color w:val="000000"/>
          <w:sz w:val="15"/>
        </w:rPr>
        <w:t xml:space="preserve">2022;28(7):804-10. Available </w:t>
      </w:r>
      <w:r>
        <w:rPr>
          <w:rFonts w:ascii="Asap" w:hAnsi="Asap" w:eastAsia="Asap"/>
          <w:b w:val="0"/>
          <w:i w:val="0"/>
          <w:color w:val="000000"/>
          <w:sz w:val="15"/>
        </w:rPr>
        <w:t xml:space="preserve">at: </w:t>
      </w:r>
      <w:r>
        <w:rPr>
          <w:rFonts w:ascii="Asap" w:hAnsi="Asap" w:eastAsia="Asap"/>
          <w:b w:val="0"/>
          <w:i w:val="0"/>
          <w:color w:val="14377D"/>
          <w:sz w:val="15"/>
        </w:rPr>
        <w:hyperlink r:id="rId17" w:history="1">
          <w:r>
            <w:rPr>
              <w:rStyle w:val="Hyperlink"/>
            </w:rPr>
            <w:t>https://doi.org/10.18553/jmcp.2022.22093</w:t>
          </w:r>
        </w:hyperlink>
      </w:r>
      <w:r>
        <w:rPr>
          <w:rFonts w:ascii="Asap" w:hAnsi="Asap" w:eastAsia="Asap"/>
          <w:b w:val="0"/>
          <w:i w:val="0"/>
          <w:color w:val="000000"/>
          <w:sz w:val="15"/>
        </w:rPr>
        <w:t>. Accessed December 30, 2023.</w:t>
      </w:r>
    </w:p>
    <w:p>
      <w:pPr>
        <w:autoSpaceDN w:val="0"/>
        <w:autoSpaceDE w:val="0"/>
        <w:widowControl/>
        <w:spacing w:line="180" w:lineRule="exact" w:before="8" w:after="748"/>
        <w:ind w:left="40" w:right="864" w:firstLine="0"/>
        <w:jc w:val="left"/>
      </w:pPr>
      <w:r>
        <w:rPr>
          <w:rFonts w:ascii="Asap" w:hAnsi="Asap" w:eastAsia="Asap"/>
          <w:b w:val="0"/>
          <w:i/>
          <w:color w:val="000000"/>
          <w:sz w:val="15"/>
        </w:rPr>
        <w:t>AM</w:t>
      </w:r>
      <w:r>
        <w:rPr>
          <w:rFonts w:ascii="Asap" w:hAnsi="Asap" w:eastAsia="Asap"/>
          <w:b w:val="0"/>
          <w:i/>
          <w:color w:val="000000"/>
          <w:sz w:val="15"/>
        </w:rPr>
        <w:hyperlink r:id="rId17" w:history="1">
          <w:r>
            <w:rPr>
              <w:rStyle w:val="Hyperlink"/>
            </w:rPr>
            <w:t>CP = Academy of Managed Care Pharmac</w:t>
          </w:r>
        </w:hyperlink>
      </w:r>
      <w:r>
        <w:rPr>
          <w:rFonts w:ascii="Asap" w:hAnsi="Asap" w:eastAsia="Asap"/>
          <w:b w:val="0"/>
          <w:i/>
          <w:color w:val="000000"/>
          <w:sz w:val="15"/>
        </w:rPr>
        <w:t xml:space="preserve">y; DHT = digital health technology; DTA = Digital Therapeutics Alliance; DTx = digital therapeutics; FDA = </w:t>
      </w:r>
      <w:r>
        <w:rPr>
          <w:rFonts w:ascii="Asap" w:hAnsi="Asap" w:eastAsia="Asap"/>
          <w:b w:val="0"/>
          <w:i/>
          <w:color w:val="000000"/>
          <w:sz w:val="15"/>
        </w:rPr>
        <w:t>U.S. Food and Drug Administration; NICE = National Institute for Health and Care Excellence.</w:t>
      </w:r>
    </w:p>
    <w:p>
      <w:pPr>
        <w:sectPr>
          <w:pgSz w:w="11880" w:h="15660"/>
          <w:pgMar w:top="360" w:right="0" w:bottom="266" w:left="70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45" w:lineRule="auto" w:before="0" w:after="0"/>
        <w:ind w:left="20" w:right="144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sections within Section 3.0B Clinical Evidence. Other types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of evidence and studies that do not fit within Section 3.0B, </w:t>
      </w:r>
      <w:r>
        <w:rPr>
          <w:rFonts w:ascii="Lora" w:hAnsi="Lora" w:eastAsia="Lora"/>
          <w:b w:val="0"/>
          <w:i w:val="0"/>
          <w:color w:val="000000"/>
          <w:sz w:val="18"/>
        </w:rPr>
        <w:t>such as preference testing, usability testing, and informa-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tion on the validation of the endpoints/scales may be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included in Section 5.0B Additional Supporting Evidence.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The dossier must clearly specify which version of the DTx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product it addresses. </w:t>
      </w:r>
    </w:p>
    <w:p>
      <w:pPr>
        <w:autoSpaceDN w:val="0"/>
        <w:autoSpaceDE w:val="0"/>
        <w:widowControl/>
        <w:spacing w:line="245" w:lineRule="auto" w:before="0" w:after="0"/>
        <w:ind w:left="20" w:right="144" w:firstLine="18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>HCDMs require meaningful evidence of efficacy, includ-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ing clinical trials and real-world evidence, to support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evaluation and coverage. Although the body of evidence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for a DTx product may vary based on product type, claim,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and approval pathway, the dossier should include the </w:t>
      </w:r>
    </w:p>
    <w:p>
      <w:pPr>
        <w:sectPr>
          <w:type w:val="continuous"/>
          <w:pgSz w:w="11880" w:h="15660"/>
          <w:pgMar w:top="360" w:right="0" w:bottom="266" w:left="700" w:header="720" w:footer="720" w:gutter="0"/>
          <w:cols w:num="2" w:equalWidth="0">
            <w:col w:w="5264" w:space="0"/>
            <w:col w:w="5916" w:space="0"/>
          </w:cols>
          <w:docGrid w:linePitch="360"/>
        </w:sectPr>
      </w:pPr>
    </w:p>
    <w:p>
      <w:pPr>
        <w:autoSpaceDN w:val="0"/>
        <w:autoSpaceDE w:val="0"/>
        <w:widowControl/>
        <w:spacing w:line="245" w:lineRule="auto" w:before="0" w:after="0"/>
        <w:ind w:left="156" w:right="672" w:firstLine="0"/>
        <w:jc w:val="both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highest quality data available (i.e., data demonstrating an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improvement compared to standard of care with rigorous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methodology). The evidence section should be updated to </w:t>
      </w:r>
      <w:r>
        <w:rPr>
          <w:rFonts w:ascii="Lora" w:hAnsi="Lora" w:eastAsia="Lora"/>
          <w:b w:val="0"/>
          <w:i w:val="0"/>
          <w:color w:val="000000"/>
          <w:sz w:val="18"/>
        </w:rPr>
        <w:t>reflect the current product version.</w:t>
      </w:r>
    </w:p>
    <w:p>
      <w:pPr>
        <w:autoSpaceDN w:val="0"/>
        <w:autoSpaceDE w:val="0"/>
        <w:widowControl/>
        <w:spacing w:line="245" w:lineRule="auto" w:before="0" w:after="0"/>
        <w:ind w:left="156" w:right="672" w:firstLine="180"/>
        <w:jc w:val="both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In addition, a Table of Highlights for Digital Therapeutics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should be included in the product information section of the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dossier (see Sections 2.1.1A, 2.1.1B, and 2.1.1C). There is also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 required Privacy Data and Security appendix and optional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appendices for engagement and screenshots (Sections 6.4A,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6.6B, and 6.6C). See Table 3 for FDA performance indicators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on privacy and security. </w:t>
      </w:r>
    </w:p>
    <w:p>
      <w:pPr>
        <w:autoSpaceDN w:val="0"/>
        <w:autoSpaceDE w:val="0"/>
        <w:widowControl/>
        <w:spacing w:line="186" w:lineRule="exact" w:before="768" w:after="0"/>
        <w:ind w:left="0" w:right="742" w:firstLine="0"/>
        <w:jc w:val="right"/>
      </w:pPr>
      <w:r>
        <w:rPr>
          <w:rFonts w:ascii="Asap" w:hAnsi="Asap" w:eastAsia="Asap"/>
          <w:b w:val="0"/>
          <w:i w:val="0"/>
          <w:color w:val="474C55"/>
          <w:sz w:val="14"/>
        </w:rPr>
        <w:t>Vol. 30, No. 4-b</w:t>
      </w:r>
      <w:r>
        <w:rPr>
          <w:rFonts w:ascii="Asap" w:hAnsi="Asap" w:eastAsia="Asap"/>
          <w:b w:val="0"/>
          <w:i w:val="0"/>
          <w:color w:val="474C55"/>
          <w:sz w:val="14"/>
        </w:rPr>
        <w:t>|</w:t>
      </w:r>
      <w:r>
        <w:rPr>
          <w:rFonts w:ascii="Asap" w:hAnsi="Asap" w:eastAsia="Asap"/>
          <w:b w:val="0"/>
          <w:i w:val="0"/>
          <w:color w:val="474C55"/>
          <w:sz w:val="14"/>
        </w:rPr>
        <w:t>April 2024</w:t>
      </w:r>
      <w:r>
        <w:rPr>
          <w:rFonts w:ascii="Asap" w:hAnsi="Asap" w:eastAsia="Asap"/>
          <w:b w:val="0"/>
          <w:i w:val="0"/>
          <w:color w:val="474C55"/>
          <w:sz w:val="14"/>
        </w:rPr>
        <w:t>|</w:t>
      </w:r>
      <w:r>
        <w:rPr>
          <w:rFonts w:ascii="Asap" w:hAnsi="Asap" w:eastAsia="Asap"/>
          <w:b/>
          <w:i w:val="0"/>
          <w:color w:val="14377D"/>
          <w:sz w:val="14"/>
        </w:rPr>
        <w:t xml:space="preserve"> JMCP</w:t>
      </w:r>
      <w:r>
        <w:rPr>
          <w:rFonts w:ascii="Asap" w:hAnsi="Asap" w:eastAsia="Asap"/>
          <w:b w:val="0"/>
          <w:i w:val="0"/>
          <w:color w:val="14377D"/>
          <w:sz w:val="14"/>
        </w:rPr>
        <w:t>.org</w:t>
      </w:r>
    </w:p>
    <w:p>
      <w:pPr>
        <w:sectPr>
          <w:type w:val="nextColumn"/>
          <w:pgSz w:w="11880" w:h="15660"/>
          <w:pgMar w:top="360" w:right="0" w:bottom="266" w:left="700" w:header="720" w:footer="720" w:gutter="0"/>
          <w:cols w:num="2" w:equalWidth="0">
            <w:col w:w="5264" w:space="0"/>
            <w:col w:w="5916" w:space="0"/>
          </w:cols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894"/>
        <w:gridCol w:w="4894"/>
      </w:tblGrid>
      <w:tr>
        <w:trPr>
          <w:trHeight w:hRule="exact" w:val="362"/>
        </w:trPr>
        <w:tc>
          <w:tcPr>
            <w:tcW w:type="dxa" w:w="1094"/>
            <w:tcBorders/>
            <w:shd w:fill="6b146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4" w:after="0"/>
              <w:ind w:left="0" w:right="90" w:firstLine="0"/>
              <w:jc w:val="right"/>
            </w:pPr>
            <w:r>
              <w:rPr>
                <w:rFonts w:ascii="Asap" w:hAnsi="Asap" w:eastAsia="Asap"/>
                <w:b/>
                <w:i w:val="0"/>
                <w:color w:val="FFFFFF"/>
                <w:sz w:val="18"/>
              </w:rPr>
              <w:t>18</w:t>
            </w:r>
          </w:p>
        </w:tc>
        <w:tc>
          <w:tcPr>
            <w:tcW w:type="dxa" w:w="586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4" w:after="0"/>
              <w:ind w:left="90" w:right="0" w:firstLine="0"/>
              <w:jc w:val="left"/>
            </w:pPr>
            <w:r>
              <w:rPr>
                <w:rFonts w:ascii="Asap" w:hAnsi="Asap" w:eastAsia="Asap"/>
                <w:b/>
                <w:i w:val="0"/>
                <w:color w:val="474C55"/>
                <w:sz w:val="18"/>
              </w:rPr>
              <w:t>AMCP FORMAT 5.0</w:t>
            </w:r>
          </w:p>
        </w:tc>
      </w:tr>
    </w:tbl>
    <w:p>
      <w:pPr>
        <w:autoSpaceDN w:val="0"/>
        <w:autoSpaceDE w:val="0"/>
        <w:widowControl/>
        <w:spacing w:line="14" w:lineRule="exact" w:before="0" w:after="1038"/>
        <w:ind w:left="0" w:right="0"/>
      </w:pPr>
    </w:p>
    <w:p>
      <w:pPr>
        <w:sectPr>
          <w:pgSz w:w="11880" w:h="15660"/>
          <w:pgMar w:top="360" w:right="652" w:bottom="266" w:left="0" w:header="720" w:footer="720" w:gutter="0"/>
          <w:cols/>
          <w:docGrid w:linePitch="360"/>
        </w:sectPr>
      </w:pPr>
    </w:p>
    <w:p>
      <w:pPr>
        <w:autoSpaceDN w:val="0"/>
        <w:tabs>
          <w:tab w:pos="900" w:val="left"/>
          <w:tab w:pos="1080" w:val="left"/>
        </w:tabs>
        <w:autoSpaceDE w:val="0"/>
        <w:widowControl/>
        <w:spacing w:line="245" w:lineRule="auto" w:before="0" w:after="0"/>
        <w:ind w:left="720" w:right="144" w:firstLine="0"/>
        <w:jc w:val="left"/>
      </w:pP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Given the potential complexity of regulatory processes,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data sources, and manufacturer relationships, the AMCP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Format includes the following approaches for developing </w:t>
      </w:r>
      <w:r>
        <w:rPr>
          <w:rFonts w:ascii="Lora" w:hAnsi="Lora" w:eastAsia="Lora"/>
          <w:b w:val="0"/>
          <w:i w:val="0"/>
          <w:color w:val="000000"/>
          <w:sz w:val="18"/>
        </w:rPr>
        <w:t>DTx dossiers:</w:t>
      </w:r>
      <w:r>
        <w:br/>
      </w:r>
      <w:r>
        <w:tab/>
      </w:r>
      <w:r>
        <w:rPr>
          <w:rFonts w:ascii="Lora" w:hAnsi="Lora" w:eastAsia="Lora"/>
          <w:b w:val="0"/>
          <w:i/>
          <w:color w:val="000000"/>
          <w:sz w:val="18"/>
        </w:rPr>
        <w:t>• DTx as a stand-alone therapy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. If the DTx product is a </w:t>
      </w:r>
      <w:r>
        <w:tab/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software-only intervention independent of other phar-</w:t>
      </w:r>
      <w:r>
        <w:tab/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maceutical products or the DTx product is intended </w:t>
      </w:r>
      <w:r>
        <w:tab/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to be an add-on therapy to other standard of care </w:t>
      </w:r>
      <w:r>
        <w:tab/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treatments, a stand-alone dossier should be developed.</w:t>
      </w:r>
      <w:r>
        <w:tab/>
      </w:r>
      <w:r>
        <w:rPr>
          <w:rFonts w:ascii="Lora" w:hAnsi="Lora" w:eastAsia="Lora"/>
          <w:b w:val="0"/>
          <w:i/>
          <w:color w:val="000000"/>
          <w:sz w:val="18"/>
        </w:rPr>
        <w:t>• DTx used with other therapies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. If the DTx product is </w:t>
      </w:r>
      <w:r>
        <w:tab/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intended to be used with certain classes of medications </w:t>
      </w:r>
      <w:r>
        <w:tab/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(e.g., insulin or inhaled medications for asthma), a </w:t>
      </w:r>
    </w:p>
    <w:p>
      <w:pPr>
        <w:sectPr>
          <w:type w:val="continuous"/>
          <w:pgSz w:w="11880" w:h="15660"/>
          <w:pgMar w:top="360" w:right="652" w:bottom="266" w:left="0" w:header="720" w:footer="720" w:gutter="0"/>
          <w:cols w:num="2" w:equalWidth="0">
            <w:col w:w="6054" w:space="0"/>
            <w:col w:w="5174" w:space="0"/>
          </w:cols>
          <w:docGrid w:linePitch="360"/>
        </w:sectPr>
      </w:pPr>
    </w:p>
    <w:p>
      <w:pPr>
        <w:autoSpaceDN w:val="0"/>
        <w:autoSpaceDE w:val="0"/>
        <w:widowControl/>
        <w:spacing w:line="223" w:lineRule="auto" w:before="0" w:after="0"/>
        <w:ind w:left="426" w:right="0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>stand-alone dossier should be developed.</w:t>
      </w:r>
    </w:p>
    <w:p>
      <w:pPr>
        <w:autoSpaceDN w:val="0"/>
        <w:tabs>
          <w:tab w:pos="426" w:val="left"/>
        </w:tabs>
        <w:autoSpaceDE w:val="0"/>
        <w:widowControl/>
        <w:spacing w:line="245" w:lineRule="auto" w:before="6" w:after="0"/>
        <w:ind w:left="246" w:right="0" w:firstLine="0"/>
        <w:jc w:val="left"/>
      </w:pPr>
      <w:r>
        <w:rPr>
          <w:rFonts w:ascii="Lora" w:hAnsi="Lora" w:eastAsia="Lora"/>
          <w:b w:val="0"/>
          <w:i/>
          <w:color w:val="000000"/>
          <w:sz w:val="18"/>
        </w:rPr>
        <w:t xml:space="preserve">• The DTx product is co-developed or intended to be used </w:t>
      </w:r>
      <w:r>
        <w:tab/>
      </w:r>
      <w:r>
        <w:rPr>
          <w:rFonts w:ascii="Lora" w:hAnsi="Lora" w:eastAsia="Lora"/>
          <w:b w:val="0"/>
          <w:i/>
          <w:color w:val="000000"/>
          <w:sz w:val="18"/>
        </w:rPr>
        <w:t>with a specific pharmaceutical product.</w:t>
      </w:r>
    </w:p>
    <w:p>
      <w:pPr>
        <w:autoSpaceDN w:val="0"/>
        <w:autoSpaceDE w:val="0"/>
        <w:widowControl/>
        <w:spacing w:line="245" w:lineRule="auto" w:before="0" w:after="0"/>
        <w:ind w:left="606" w:right="0" w:hanging="180"/>
        <w:jc w:val="left"/>
      </w:pPr>
      <w:r>
        <w:rPr>
          <w:rFonts w:ascii="AppleSymbols" w:hAnsi="AppleSymbols" w:eastAsia="AppleSymbols"/>
          <w:b w:val="0"/>
          <w:i w:val="0"/>
          <w:color w:val="000000"/>
          <w:sz w:val="18"/>
        </w:rPr>
        <w:t>⚬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If the DTx product is required in the drug label, the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manufacturer should, if possible, provide data on the </w:t>
      </w:r>
      <w:r>
        <w:rPr>
          <w:rFonts w:ascii="Lora" w:hAnsi="Lora" w:eastAsia="Lora"/>
          <w:b w:val="0"/>
          <w:i w:val="0"/>
          <w:color w:val="000000"/>
          <w:sz w:val="18"/>
        </w:rPr>
        <w:t>clinical utility and economic value of the pharmaceu-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tical and the DTx product in a single dossier. </w:t>
      </w:r>
    </w:p>
    <w:p>
      <w:pPr>
        <w:autoSpaceDN w:val="0"/>
        <w:autoSpaceDE w:val="0"/>
        <w:widowControl/>
        <w:spacing w:line="245" w:lineRule="auto" w:before="0" w:after="522"/>
        <w:ind w:left="606" w:right="0" w:hanging="180"/>
        <w:jc w:val="left"/>
      </w:pPr>
      <w:r>
        <w:rPr>
          <w:rFonts w:ascii="AppleSymbols" w:hAnsi="AppleSymbols" w:eastAsia="AppleSymbols"/>
          <w:b w:val="0"/>
          <w:i w:val="0"/>
          <w:color w:val="000000"/>
          <w:sz w:val="18"/>
        </w:rPr>
        <w:t>⚬</w:t>
      </w:r>
      <w:r>
        <w:rPr>
          <w:rFonts w:ascii="Lora" w:hAnsi="Lora" w:eastAsia="Lora"/>
          <w:b w:val="0"/>
          <w:i w:val="0"/>
          <w:color w:val="000000"/>
          <w:sz w:val="18"/>
        </w:rPr>
        <w:t>If the DTx product is not required in the pharmaceu-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tical label, then the developer may create a separate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dossier that provides information as outlined in the </w:t>
      </w:r>
      <w:r>
        <w:rPr>
          <w:rFonts w:ascii="Lora" w:hAnsi="Lora" w:eastAsia="Lora"/>
          <w:b w:val="0"/>
          <w:i w:val="0"/>
          <w:color w:val="000000"/>
          <w:sz w:val="18"/>
        </w:rPr>
        <w:t>AMCP Format.</w:t>
      </w:r>
    </w:p>
    <w:p>
      <w:pPr>
        <w:sectPr>
          <w:type w:val="nextColumn"/>
          <w:pgSz w:w="11880" w:h="15660"/>
          <w:pgMar w:top="360" w:right="652" w:bottom="266" w:left="0" w:header="720" w:footer="720" w:gutter="0"/>
          <w:cols w:num="2" w:equalWidth="0">
            <w:col w:w="6054" w:space="0"/>
            <w:col w:w="5174" w:space="0"/>
          </w:cols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00.0" w:type="dxa"/>
      </w:tblPr>
      <w:tblGrid>
        <w:gridCol w:w="4894"/>
        <w:gridCol w:w="4894"/>
      </w:tblGrid>
      <w:tr>
        <w:trPr>
          <w:trHeight w:hRule="exact" w:val="552"/>
        </w:trPr>
        <w:tc>
          <w:tcPr>
            <w:tcW w:type="dxa" w:w="1194"/>
            <w:tcBorders>
              <w:top w:sz="3.5999999046325684" w:val="single" w:color="#474B5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6" w:after="0"/>
              <w:ind w:left="184" w:right="0" w:firstLine="0"/>
              <w:jc w:val="left"/>
            </w:pPr>
            <w:r>
              <w:rPr>
                <w:rFonts w:ascii="Asap" w:hAnsi="Asap" w:eastAsia="Asap"/>
                <w:b/>
                <w:i w:val="0"/>
                <w:color w:val="FFFFFF"/>
                <w:sz w:val="20"/>
              </w:rPr>
              <w:t>TABLE 3</w:t>
            </w:r>
          </w:p>
        </w:tc>
        <w:tc>
          <w:tcPr>
            <w:tcW w:type="dxa" w:w="9148"/>
            <w:tcBorders>
              <w:top w:sz="3.5999999046325684" w:val="single" w:color="#474B5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58" w:after="0"/>
              <w:ind w:left="160" w:right="432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14377D"/>
                <w:sz w:val="20"/>
              </w:rPr>
              <w:t xml:space="preserve">Nine FDA Key Performance Indicators on Privacy and Security, as Recommended by the AMCP </w:t>
            </w:r>
            <w:r>
              <w:rPr>
                <w:rFonts w:ascii="Asap" w:hAnsi="Asap" w:eastAsia="Asap"/>
                <w:b w:val="0"/>
                <w:i w:val="0"/>
                <w:color w:val="14377D"/>
                <w:sz w:val="20"/>
              </w:rPr>
              <w:t>Digital Therapeutics Advisory Group</w:t>
            </w:r>
            <w:r>
              <w:rPr>
                <w:w w:val="97.16666539510092"/>
                <w:rFonts w:ascii="Asap" w:hAnsi="Asap" w:eastAsia="Asap"/>
                <w:b w:val="0"/>
                <w:i w:val="0"/>
                <w:color w:val="14377D"/>
                <w:sz w:val="12"/>
              </w:rPr>
              <w:t>55-58</w:t>
            </w:r>
          </w:p>
        </w:tc>
      </w:tr>
    </w:tbl>
    <w:p>
      <w:pPr>
        <w:autoSpaceDN w:val="0"/>
        <w:autoSpaceDE w:val="0"/>
        <w:widowControl/>
        <w:spacing w:line="2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698.0" w:type="dxa"/>
      </w:tblPr>
      <w:tblGrid>
        <w:gridCol w:w="4894"/>
        <w:gridCol w:w="4894"/>
      </w:tblGrid>
      <w:tr>
        <w:trPr>
          <w:trHeight w:hRule="exact" w:val="310"/>
        </w:trPr>
        <w:tc>
          <w:tcPr>
            <w:tcW w:type="dxa" w:w="1876"/>
            <w:tcBorders>
              <w:top w:sz="16.0" w:val="single" w:color="#474B55"/>
              <w:end w:sz="8.0" w:val="single" w:color="#FFFFFF"/>
              <w:bottom w:sz="8.0" w:val="single" w:color="#13377C"/>
            </w:tcBorders>
            <w:shd w:fill="c6c8c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2" w:lineRule="exact" w:before="40" w:after="0"/>
              <w:ind w:left="100" w:right="0" w:firstLine="0"/>
              <w:jc w:val="left"/>
            </w:pPr>
            <w:r>
              <w:rPr>
                <w:w w:val="102.46950387954712"/>
                <w:rFonts w:ascii="Asap" w:hAnsi="Asap" w:eastAsia="Asap"/>
                <w:b/>
                <w:i w:val="0"/>
                <w:color w:val="000000"/>
                <w:sz w:val="16"/>
              </w:rPr>
              <w:t>Indicator</w:t>
            </w:r>
          </w:p>
        </w:tc>
        <w:tc>
          <w:tcPr>
            <w:tcW w:type="dxa" w:w="8554"/>
            <w:tcBorders>
              <w:start w:sz="8.0" w:val="single" w:color="#FFFFFF"/>
              <w:top w:sz="16.0" w:val="single" w:color="#474B55"/>
              <w:bottom w:sz="8.0" w:val="single" w:color="#13377C"/>
            </w:tcBorders>
            <w:shd w:fill="c6c8c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2" w:lineRule="exact" w:before="40" w:after="0"/>
              <w:ind w:left="70" w:right="0" w:firstLine="0"/>
              <w:jc w:val="left"/>
            </w:pPr>
            <w:r>
              <w:rPr>
                <w:w w:val="102.46950387954712"/>
                <w:rFonts w:ascii="Asap" w:hAnsi="Asap" w:eastAsia="Asap"/>
                <w:b/>
                <w:i w:val="0"/>
                <w:color w:val="000000"/>
                <w:sz w:val="16"/>
              </w:rPr>
              <w:t>Description</w:t>
            </w:r>
          </w:p>
        </w:tc>
      </w:tr>
      <w:tr>
        <w:trPr>
          <w:trHeight w:hRule="exact" w:val="470"/>
        </w:trPr>
        <w:tc>
          <w:tcPr>
            <w:tcW w:type="dxa" w:w="1876"/>
            <w:tcBorders>
              <w:top w:sz="8.0" w:val="single" w:color="#13377C"/>
              <w:end w:sz="8.0" w:val="single" w:color="#C6C8C7"/>
              <w:bottom w:sz="8.0" w:val="single" w:color="#C6C8C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130" w:after="0"/>
              <w:ind w:left="100" w:right="0" w:firstLine="0"/>
              <w:jc w:val="left"/>
            </w:pPr>
            <w:r>
              <w:rPr>
                <w:rFonts w:ascii="Asap" w:hAnsi="Asap" w:eastAsia="Asap"/>
                <w:b/>
                <w:i w:val="0"/>
                <w:color w:val="000000"/>
                <w:sz w:val="16"/>
              </w:rPr>
              <w:t>Complaints</w:t>
            </w:r>
          </w:p>
        </w:tc>
        <w:tc>
          <w:tcPr>
            <w:tcW w:type="dxa" w:w="8554"/>
            <w:tcBorders>
              <w:start w:sz="8.0" w:val="single" w:color="#C6C8C7"/>
              <w:top w:sz="8.0" w:val="single" w:color="#13377C"/>
              <w:bottom w:sz="8.0" w:val="single" w:color="#C6C8C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0" w:lineRule="exact" w:before="76" w:after="0"/>
              <w:ind w:left="70" w:right="288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 xml:space="preserve">Information on the process used to track complaints, concerns, and questions from users and other sources to help the </w:t>
            </w: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>organization identify defects and improve performance.</w:t>
            </w:r>
          </w:p>
        </w:tc>
      </w:tr>
      <w:tr>
        <w:trPr>
          <w:trHeight w:hRule="exact" w:val="640"/>
        </w:trPr>
        <w:tc>
          <w:tcPr>
            <w:tcW w:type="dxa" w:w="1876"/>
            <w:tcBorders>
              <w:top w:sz="8.0" w:val="single" w:color="#C6C8C7"/>
              <w:end w:sz="8.0" w:val="single" w:color="#C6C8C7"/>
              <w:bottom w:sz="8.0" w:val="single" w:color="#C6C8C7"/>
            </w:tcBorders>
            <w:shd w:fill="eaea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216" w:after="0"/>
              <w:ind w:left="100" w:right="0" w:firstLine="0"/>
              <w:jc w:val="left"/>
            </w:pPr>
            <w:r>
              <w:rPr>
                <w:rFonts w:ascii="Asap" w:hAnsi="Asap" w:eastAsia="Asap"/>
                <w:b/>
                <w:i w:val="0"/>
                <w:color w:val="000000"/>
                <w:sz w:val="16"/>
              </w:rPr>
              <w:t>Cybersecurity</w:t>
            </w:r>
          </w:p>
        </w:tc>
        <w:tc>
          <w:tcPr>
            <w:tcW w:type="dxa" w:w="8554"/>
            <w:tcBorders>
              <w:start w:sz="8.0" w:val="single" w:color="#C6C8C7"/>
              <w:top w:sz="8.0" w:val="single" w:color="#C6C8C7"/>
              <w:bottom w:sz="8.0" w:val="single" w:color="#C6C8C7"/>
            </w:tcBorders>
            <w:shd w:fill="eaea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0" w:lineRule="exact" w:before="76" w:after="0"/>
              <w:ind w:left="70" w:right="288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 xml:space="preserve">Processes for how an organization maintains data security by providing safeguards to ensure the delivery of critical </w:t>
            </w: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 xml:space="preserve">services, detect a cybersecurity event, respond to an event, and restore any capabilities or services that were impaired </w:t>
            </w: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>due to a cybersecurity incident.</w:t>
            </w:r>
          </w:p>
        </w:tc>
      </w:tr>
      <w:tr>
        <w:trPr>
          <w:trHeight w:hRule="exact" w:val="640"/>
        </w:trPr>
        <w:tc>
          <w:tcPr>
            <w:tcW w:type="dxa" w:w="1876"/>
            <w:tcBorders>
              <w:top w:sz="8.0" w:val="single" w:color="#C6C8C7"/>
              <w:end w:sz="8.0" w:val="single" w:color="#C6C8C7"/>
              <w:bottom w:sz="8.0" w:val="single" w:color="#C6C8C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216" w:after="0"/>
              <w:ind w:left="100" w:right="0" w:firstLine="0"/>
              <w:jc w:val="left"/>
            </w:pPr>
            <w:r>
              <w:rPr>
                <w:rFonts w:ascii="Asap" w:hAnsi="Asap" w:eastAsia="Asap"/>
                <w:b/>
                <w:i w:val="0"/>
                <w:color w:val="000000"/>
                <w:sz w:val="16"/>
              </w:rPr>
              <w:t>Data quality</w:t>
            </w:r>
          </w:p>
        </w:tc>
        <w:tc>
          <w:tcPr>
            <w:tcW w:type="dxa" w:w="8554"/>
            <w:tcBorders>
              <w:start w:sz="8.0" w:val="single" w:color="#C6C8C7"/>
              <w:top w:sz="8.0" w:val="single" w:color="#C6C8C7"/>
              <w:bottom w:sz="8.0" w:val="single" w:color="#C6C8C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0" w:lineRule="exact" w:before="76" w:after="0"/>
              <w:ind w:left="70" w:right="144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 xml:space="preserve">Methods an organization uses to verify the effectiveness of its data retention and integrity measures (including backups </w:t>
            </w: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 xml:space="preserve">and use of encryption) to ensure that critical data is restricted to authorized users and not altered in an unauthorized </w:t>
            </w: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>manner by destructive malware, ransomware, malicious insider activity, or through inadvertent mistakes.</w:t>
            </w:r>
          </w:p>
        </w:tc>
      </w:tr>
      <w:tr>
        <w:trPr>
          <w:trHeight w:hRule="exact" w:val="470"/>
        </w:trPr>
        <w:tc>
          <w:tcPr>
            <w:tcW w:type="dxa" w:w="1876"/>
            <w:tcBorders>
              <w:top w:sz="8.0" w:val="single" w:color="#C6C8C7"/>
              <w:end w:sz="8.0" w:val="single" w:color="#C6C8C7"/>
              <w:bottom w:sz="8.0" w:val="single" w:color="#C6C8C7"/>
            </w:tcBorders>
            <w:shd w:fill="eaea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130" w:after="0"/>
              <w:ind w:left="100" w:right="0" w:firstLine="0"/>
              <w:jc w:val="left"/>
            </w:pPr>
            <w:r>
              <w:rPr>
                <w:rFonts w:ascii="Asap" w:hAnsi="Asap" w:eastAsia="Asap"/>
                <w:b/>
                <w:i w:val="0"/>
                <w:color w:val="000000"/>
                <w:sz w:val="16"/>
              </w:rPr>
              <w:t>Defects</w:t>
            </w:r>
          </w:p>
        </w:tc>
        <w:tc>
          <w:tcPr>
            <w:tcW w:type="dxa" w:w="8554"/>
            <w:tcBorders>
              <w:start w:sz="8.0" w:val="single" w:color="#C6C8C7"/>
              <w:top w:sz="8.0" w:val="single" w:color="#C6C8C7"/>
              <w:bottom w:sz="8.0" w:val="single" w:color="#C6C8C7"/>
            </w:tcBorders>
            <w:shd w:fill="eaea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0" w:lineRule="exact" w:before="76" w:after="0"/>
              <w:ind w:left="70" w:right="288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>Identify software defects that may cause the product to behave differently from the intended behavior or lead to false-</w:t>
            </w: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>positive or false-negative results.</w:t>
            </w:r>
          </w:p>
        </w:tc>
      </w:tr>
      <w:tr>
        <w:trPr>
          <w:trHeight w:hRule="exact" w:val="490"/>
        </w:trPr>
        <w:tc>
          <w:tcPr>
            <w:tcW w:type="dxa" w:w="1876"/>
            <w:tcBorders>
              <w:top w:sz="8.0" w:val="single" w:color="#C6C8C7"/>
              <w:end w:sz="8.0" w:val="single" w:color="#C6C8C7"/>
              <w:bottom w:sz="8.0" w:val="single" w:color="#C6C8C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80" w:after="0"/>
              <w:ind w:left="100" w:right="0" w:firstLine="0"/>
              <w:jc w:val="left"/>
            </w:pPr>
            <w:r>
              <w:rPr>
                <w:rFonts w:ascii="Asap" w:hAnsi="Asap" w:eastAsia="Asap"/>
                <w:b/>
                <w:i w:val="0"/>
                <w:color w:val="000000"/>
                <w:sz w:val="16"/>
              </w:rPr>
              <w:t xml:space="preserve">Device activation/user </w:t>
            </w:r>
            <w:r>
              <w:rPr>
                <w:rFonts w:ascii="Asap" w:hAnsi="Asap" w:eastAsia="Asap"/>
                <w:b/>
                <w:i w:val="0"/>
                <w:color w:val="000000"/>
                <w:sz w:val="16"/>
              </w:rPr>
              <w:t>adherence</w:t>
            </w:r>
          </w:p>
        </w:tc>
        <w:tc>
          <w:tcPr>
            <w:tcW w:type="dxa" w:w="8554"/>
            <w:tcBorders>
              <w:start w:sz="8.0" w:val="single" w:color="#C6C8C7"/>
              <w:top w:sz="8.0" w:val="single" w:color="#C6C8C7"/>
              <w:bottom w:sz="8.0" w:val="single" w:color="#C6C8C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0" w:lineRule="exact" w:before="86" w:after="0"/>
              <w:ind w:left="70" w:right="144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 xml:space="preserve">Define the interactions between the user and the device on a rolling basis to ensure device adherence and adequate user </w:t>
            </w: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 xml:space="preserve">training that allows for effective use of the device. </w:t>
            </w:r>
          </w:p>
        </w:tc>
      </w:tr>
      <w:tr>
        <w:trPr>
          <w:trHeight w:hRule="exact" w:val="308"/>
        </w:trPr>
        <w:tc>
          <w:tcPr>
            <w:tcW w:type="dxa" w:w="1876"/>
            <w:tcBorders>
              <w:top w:sz="8.0" w:val="single" w:color="#C6C8C7"/>
              <w:end w:sz="8.0" w:val="single" w:color="#C6C8C7"/>
              <w:bottom w:sz="8.0" w:val="single" w:color="#C6C8C7"/>
            </w:tcBorders>
            <w:shd w:fill="eaea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50" w:after="0"/>
              <w:ind w:left="100" w:right="0" w:firstLine="0"/>
              <w:jc w:val="left"/>
            </w:pPr>
            <w:r>
              <w:rPr>
                <w:rFonts w:ascii="Asap" w:hAnsi="Asap" w:eastAsia="Asap"/>
                <w:b/>
                <w:i w:val="0"/>
                <w:color w:val="000000"/>
                <w:sz w:val="16"/>
              </w:rPr>
              <w:t>Regression testing</w:t>
            </w:r>
          </w:p>
        </w:tc>
        <w:tc>
          <w:tcPr>
            <w:tcW w:type="dxa" w:w="8554"/>
            <w:tcBorders>
              <w:start w:sz="8.0" w:val="single" w:color="#C6C8C7"/>
              <w:top w:sz="8.0" w:val="single" w:color="#C6C8C7"/>
              <w:bottom w:sz="8.0" w:val="single" w:color="#C6C8C7"/>
            </w:tcBorders>
            <w:shd w:fill="eaea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58" w:after="0"/>
              <w:ind w:left="70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>Process for testing when the medical device company makes an update or code modification to the software.</w:t>
            </w:r>
          </w:p>
        </w:tc>
      </w:tr>
      <w:tr>
        <w:trPr>
          <w:trHeight w:hRule="exact" w:val="640"/>
        </w:trPr>
        <w:tc>
          <w:tcPr>
            <w:tcW w:type="dxa" w:w="1876"/>
            <w:tcBorders>
              <w:top w:sz="8.0" w:val="single" w:color="#C6C8C7"/>
              <w:end w:sz="8.0" w:val="single" w:color="#C6C8C7"/>
              <w:bottom w:sz="8.0" w:val="single" w:color="#C6C8C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216" w:after="0"/>
              <w:ind w:left="100" w:right="0" w:firstLine="0"/>
              <w:jc w:val="left"/>
            </w:pPr>
            <w:r>
              <w:rPr>
                <w:rFonts w:ascii="Asap" w:hAnsi="Asap" w:eastAsia="Asap"/>
                <w:b/>
                <w:i w:val="0"/>
                <w:color w:val="000000"/>
                <w:sz w:val="16"/>
              </w:rPr>
              <w:t>Releases</w:t>
            </w:r>
          </w:p>
        </w:tc>
        <w:tc>
          <w:tcPr>
            <w:tcW w:type="dxa" w:w="8554"/>
            <w:tcBorders>
              <w:start w:sz="8.0" w:val="single" w:color="#C6C8C7"/>
              <w:top w:sz="8.0" w:val="single" w:color="#C6C8C7"/>
              <w:bottom w:sz="8.0" w:val="single" w:color="#C6C8C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0" w:lineRule="exact" w:before="76" w:after="0"/>
              <w:ind w:left="70" w:right="288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>Effective software releases and updates are fundamental not just to deploy services to users but also to resolve emer-</w:t>
            </w: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 xml:space="preserve">gency, safety, critical, and security events. Medical device companies should outline deployment strategies with active </w:t>
            </w: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>control mechanisms to push releases and updates securely and effectively.</w:t>
            </w:r>
          </w:p>
        </w:tc>
      </w:tr>
      <w:tr>
        <w:trPr>
          <w:trHeight w:hRule="exact" w:val="310"/>
        </w:trPr>
        <w:tc>
          <w:tcPr>
            <w:tcW w:type="dxa" w:w="1876"/>
            <w:tcBorders>
              <w:top w:sz="8.0" w:val="single" w:color="#C6C8C7"/>
              <w:end w:sz="8.0" w:val="single" w:color="#C6C8C7"/>
              <w:bottom w:sz="8.0" w:val="single" w:color="#C6C8C7"/>
            </w:tcBorders>
            <w:shd w:fill="eaea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52" w:after="0"/>
              <w:ind w:left="100" w:right="0" w:firstLine="0"/>
              <w:jc w:val="left"/>
            </w:pPr>
            <w:r>
              <w:rPr>
                <w:rFonts w:ascii="Asap" w:hAnsi="Asap" w:eastAsia="Asap"/>
                <w:b/>
                <w:i w:val="0"/>
                <w:color w:val="000000"/>
                <w:sz w:val="16"/>
              </w:rPr>
              <w:t>Rollbacks</w:t>
            </w:r>
          </w:p>
        </w:tc>
        <w:tc>
          <w:tcPr>
            <w:tcW w:type="dxa" w:w="8554"/>
            <w:tcBorders>
              <w:start w:sz="8.0" w:val="single" w:color="#C6C8C7"/>
              <w:top w:sz="8.0" w:val="single" w:color="#C6C8C7"/>
              <w:bottom w:sz="8.0" w:val="single" w:color="#C6C8C7"/>
            </w:tcBorders>
            <w:shd w:fill="eaea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exact" w:before="58" w:after="0"/>
              <w:ind w:left="70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>Process for restoring the software product to an earlier version when a recently released version encounters issues.</w:t>
            </w:r>
          </w:p>
        </w:tc>
      </w:tr>
      <w:tr>
        <w:trPr>
          <w:trHeight w:hRule="exact" w:val="450"/>
        </w:trPr>
        <w:tc>
          <w:tcPr>
            <w:tcW w:type="dxa" w:w="1876"/>
            <w:tcBorders>
              <w:top w:sz="8.0" w:val="single" w:color="#C6C8C7"/>
              <w:end w:sz="8.0" w:val="single" w:color="#C6C8C7"/>
              <w:bottom w:sz="16.0" w:val="single" w:color="#474B5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132" w:after="0"/>
              <w:ind w:left="100" w:right="0" w:firstLine="0"/>
              <w:jc w:val="left"/>
            </w:pPr>
            <w:r>
              <w:rPr>
                <w:rFonts w:ascii="Asap" w:hAnsi="Asap" w:eastAsia="Asap"/>
                <w:b/>
                <w:i w:val="0"/>
                <w:color w:val="000000"/>
                <w:sz w:val="16"/>
              </w:rPr>
              <w:t>Services</w:t>
            </w:r>
          </w:p>
        </w:tc>
        <w:tc>
          <w:tcPr>
            <w:tcW w:type="dxa" w:w="8554"/>
            <w:tcBorders>
              <w:start w:sz="8.0" w:val="single" w:color="#C6C8C7"/>
              <w:top w:sz="8.0" w:val="single" w:color="#C6C8C7"/>
              <w:bottom w:sz="16.0" w:val="single" w:color="#474B5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0" w:lineRule="exact" w:before="76" w:after="0"/>
              <w:ind w:left="70" w:right="288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>Process for how the developer provides software and support services to ensure that the product is delivered appropri-</w:t>
            </w: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>ately and on time.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266"/>
        <w:ind w:left="0" w:right="0"/>
      </w:pPr>
    </w:p>
    <w:p>
      <w:pPr>
        <w:sectPr>
          <w:type w:val="continuous"/>
          <w:pgSz w:w="11880" w:h="15660"/>
          <w:pgMar w:top="360" w:right="652" w:bottom="266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360" w:lineRule="exact" w:before="64" w:after="0"/>
        <w:ind w:left="698" w:right="576" w:firstLine="0"/>
        <w:jc w:val="left"/>
      </w:pPr>
      <w:r>
        <w:rPr>
          <w:rFonts w:ascii="Asap" w:hAnsi="Asap" w:eastAsia="Asap"/>
          <w:b/>
          <w:i w:val="0"/>
          <w:color w:val="6C146B"/>
          <w:sz w:val="32"/>
        </w:rPr>
        <w:t xml:space="preserve">Dossiers For Clinical Laboratory </w:t>
      </w:r>
      <w:r>
        <w:rPr>
          <w:rFonts w:ascii="Asap" w:hAnsi="Asap" w:eastAsia="Asap"/>
          <w:b/>
          <w:i w:val="0"/>
          <w:color w:val="6C146B"/>
          <w:sz w:val="32"/>
        </w:rPr>
        <w:t>Tests and Medical Devices</w:t>
      </w:r>
    </w:p>
    <w:p>
      <w:pPr>
        <w:autoSpaceDN w:val="0"/>
        <w:autoSpaceDE w:val="0"/>
        <w:widowControl/>
        <w:spacing w:line="245" w:lineRule="auto" w:before="100" w:after="0"/>
        <w:ind w:left="576" w:right="144" w:firstLine="0"/>
        <w:jc w:val="center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The AMCP Format may be used to convey evidentiary needs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for medical devices. Because of the vast number, type, and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complexities of medical devices, it is recommended that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medical devices that are directly related to the use of a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drug are most relevant and applicable for the AMCP Format.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Examples of medical devices where the AMCP Format may </w:t>
      </w:r>
      <w:r>
        <w:rPr>
          <w:rFonts w:ascii="Lora" w:hAnsi="Lora" w:eastAsia="Lora"/>
          <w:b w:val="0"/>
          <w:i w:val="0"/>
          <w:color w:val="000000"/>
          <w:sz w:val="18"/>
        </w:rPr>
        <w:t>apply, include but are not limited to, implantable drug deliv-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ery devices, blood glucose measuring devices, test strips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(e.g., blood, urine), inhalation devices (e.g., nebulizers), and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health assessment devices and tests that elucidate health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status, diagnosis, or prognosis.  Medical device companies </w:t>
      </w:r>
    </w:p>
    <w:p>
      <w:pPr>
        <w:autoSpaceDN w:val="0"/>
        <w:autoSpaceDE w:val="0"/>
        <w:widowControl/>
        <w:spacing w:line="186" w:lineRule="exact" w:before="460" w:after="0"/>
        <w:ind w:left="740" w:right="0" w:firstLine="0"/>
        <w:jc w:val="left"/>
      </w:pPr>
      <w:r>
        <w:rPr>
          <w:rFonts w:ascii="Asap" w:hAnsi="Asap" w:eastAsia="Asap"/>
          <w:b/>
          <w:i w:val="0"/>
          <w:color w:val="14377D"/>
          <w:sz w:val="14"/>
        </w:rPr>
        <w:t>JMCP</w:t>
      </w:r>
      <w:r>
        <w:rPr>
          <w:rFonts w:ascii="Asap" w:hAnsi="Asap" w:eastAsia="Asap"/>
          <w:b w:val="0"/>
          <w:i w:val="0"/>
          <w:color w:val="14377D"/>
          <w:sz w:val="14"/>
        </w:rPr>
        <w:t>.org</w:t>
      </w:r>
      <w:r>
        <w:rPr>
          <w:rFonts w:ascii="Asap" w:hAnsi="Asap" w:eastAsia="Asap"/>
          <w:b w:val="0"/>
          <w:i w:val="0"/>
          <w:color w:val="474C55"/>
          <w:sz w:val="14"/>
        </w:rPr>
        <w:t>|</w:t>
      </w:r>
      <w:r>
        <w:rPr>
          <w:rFonts w:ascii="Asap" w:hAnsi="Asap" w:eastAsia="Asap"/>
          <w:b w:val="0"/>
          <w:i w:val="0"/>
          <w:color w:val="474C55"/>
          <w:sz w:val="14"/>
        </w:rPr>
        <w:t>April 2024</w:t>
      </w:r>
      <w:r>
        <w:rPr>
          <w:rFonts w:ascii="Asap" w:hAnsi="Asap" w:eastAsia="Asap"/>
          <w:b w:val="0"/>
          <w:i w:val="0"/>
          <w:color w:val="474C55"/>
          <w:sz w:val="14"/>
        </w:rPr>
        <w:t>|</w:t>
      </w:r>
      <w:r>
        <w:rPr>
          <w:rFonts w:ascii="Asap" w:hAnsi="Asap" w:eastAsia="Asap"/>
          <w:b w:val="0"/>
          <w:i w:val="0"/>
          <w:color w:val="474C55"/>
          <w:sz w:val="14"/>
        </w:rPr>
        <w:t>Vol. 30, No. 4-B</w:t>
      </w:r>
    </w:p>
    <w:p>
      <w:pPr>
        <w:sectPr>
          <w:type w:val="continuous"/>
          <w:pgSz w:w="11880" w:h="15660"/>
          <w:pgMar w:top="360" w:right="652" w:bottom="266" w:left="0" w:header="720" w:footer="720" w:gutter="0"/>
          <w:cols w:num="2" w:equalWidth="0">
            <w:col w:w="5952" w:space="0"/>
            <w:col w:w="5275" w:space="0"/>
          </w:cols>
          <w:docGrid w:linePitch="360"/>
        </w:sectPr>
      </w:pPr>
    </w:p>
    <w:p>
      <w:pPr>
        <w:autoSpaceDN w:val="0"/>
        <w:autoSpaceDE w:val="0"/>
        <w:widowControl/>
        <w:spacing w:line="245" w:lineRule="auto" w:before="0" w:after="0"/>
        <w:ind w:left="168" w:right="0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are encouraged to develop and make available medical </w:t>
      </w:r>
      <w:r>
        <w:rPr>
          <w:rFonts w:ascii="Lora" w:hAnsi="Lora" w:eastAsia="Lora"/>
          <w:b w:val="0"/>
          <w:i w:val="0"/>
          <w:color w:val="000000"/>
          <w:sz w:val="18"/>
        </w:rPr>
        <w:t>device dossiers for HCDMs.</w:t>
      </w:r>
    </w:p>
    <w:p>
      <w:pPr>
        <w:autoSpaceDN w:val="0"/>
        <w:autoSpaceDE w:val="0"/>
        <w:widowControl/>
        <w:spacing w:line="245" w:lineRule="auto" w:before="0" w:after="0"/>
        <w:ind w:left="168" w:right="0" w:firstLine="18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If a medical device company chooses to use the AMCP </w:t>
      </w:r>
      <w:r>
        <w:rPr>
          <w:rFonts w:ascii="Lora" w:hAnsi="Lora" w:eastAsia="Lora"/>
          <w:b w:val="0"/>
          <w:i w:val="0"/>
          <w:color w:val="000000"/>
          <w:sz w:val="18"/>
        </w:rPr>
        <w:t>Format to create a device dossier, the company may indi-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cate “not applicable” for AMCP Format sections that do not </w:t>
      </w:r>
      <w:r>
        <w:rPr>
          <w:rFonts w:ascii="Lora" w:hAnsi="Lora" w:eastAsia="Lora"/>
          <w:b w:val="0"/>
          <w:i w:val="0"/>
          <w:color w:val="000000"/>
          <w:sz w:val="18"/>
        </w:rPr>
        <w:t>apply to devices.</w:t>
      </w:r>
    </w:p>
    <w:p>
      <w:pPr>
        <w:autoSpaceDN w:val="0"/>
        <w:autoSpaceDE w:val="0"/>
        <w:widowControl/>
        <w:spacing w:line="245" w:lineRule="auto" w:before="0" w:after="0"/>
        <w:ind w:left="168" w:right="0" w:firstLine="18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In August 2017, the FDA released final guidance, “Use </w:t>
      </w:r>
      <w:r>
        <w:rPr>
          <w:rFonts w:ascii="Lora" w:hAnsi="Lora" w:eastAsia="Lora"/>
          <w:b w:val="0"/>
          <w:i w:val="0"/>
          <w:color w:val="000000"/>
          <w:sz w:val="18"/>
        </w:rPr>
        <w:t>of Real-world Evidence to Support Regulatory Decision-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making for Medical Devices,” for purposes of FDA approval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or clearance of medical devices. The information in the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final guidance might be instructive in providing examples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of real-world evidence and data that the FDA considers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appropriate for regulatory approval or clearance of medical </w:t>
      </w:r>
      <w:r>
        <w:rPr>
          <w:rFonts w:ascii="Lora" w:hAnsi="Lora" w:eastAsia="Lora"/>
          <w:b w:val="0"/>
          <w:i w:val="0"/>
          <w:color w:val="000000"/>
          <w:sz w:val="18"/>
        </w:rPr>
        <w:t>devices.</w:t>
      </w:r>
      <w:r>
        <w:rPr>
          <w:w w:val="104.94000434875488"/>
          <w:rFonts w:ascii="Lora" w:hAnsi="Lora" w:eastAsia="Lora"/>
          <w:b w:val="0"/>
          <w:i w:val="0"/>
          <w:color w:val="000000"/>
          <w:sz w:val="10"/>
        </w:rPr>
        <w:t>59</w:t>
      </w:r>
    </w:p>
    <w:p>
      <w:pPr>
        <w:sectPr>
          <w:type w:val="nextColumn"/>
          <w:pgSz w:w="11880" w:h="15660"/>
          <w:pgMar w:top="360" w:right="652" w:bottom="266" w:left="0" w:header="720" w:footer="720" w:gutter="0"/>
          <w:cols w:num="2" w:equalWidth="0">
            <w:col w:w="5952" w:space="0"/>
            <w:col w:w="5275" w:space="0"/>
          </w:cols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226.0" w:type="dxa"/>
      </w:tblPr>
      <w:tblGrid>
        <w:gridCol w:w="4873"/>
        <w:gridCol w:w="4873"/>
      </w:tblGrid>
      <w:tr>
        <w:trPr>
          <w:trHeight w:hRule="exact" w:val="362"/>
        </w:trPr>
        <w:tc>
          <w:tcPr>
            <w:tcW w:type="dxa" w:w="586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4" w:after="0"/>
              <w:ind w:left="0" w:right="90" w:firstLine="0"/>
              <w:jc w:val="right"/>
            </w:pPr>
            <w:r>
              <w:rPr>
                <w:rFonts w:ascii="Asap" w:hAnsi="Asap" w:eastAsia="Asap"/>
                <w:b/>
                <w:i w:val="0"/>
                <w:color w:val="474C55"/>
                <w:sz w:val="18"/>
              </w:rPr>
              <w:t>AMCP FORMAT 5.0</w:t>
            </w:r>
          </w:p>
        </w:tc>
        <w:tc>
          <w:tcPr>
            <w:tcW w:type="dxa" w:w="1094"/>
            <w:tcBorders/>
            <w:shd w:fill="6b146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72" w:after="0"/>
              <w:ind w:left="90" w:right="0" w:firstLine="0"/>
              <w:jc w:val="left"/>
            </w:pPr>
            <w:r>
              <w:rPr>
                <w:rFonts w:ascii="Asap" w:hAnsi="Asap" w:eastAsia="Asap"/>
                <w:b/>
                <w:i w:val="0"/>
                <w:color w:val="FFFFFF"/>
                <w:sz w:val="18"/>
              </w:rPr>
              <w:t>19</w:t>
            </w:r>
          </w:p>
        </w:tc>
      </w:tr>
    </w:tbl>
    <w:p>
      <w:pPr>
        <w:autoSpaceDN w:val="0"/>
        <w:autoSpaceDE w:val="0"/>
        <w:widowControl/>
        <w:spacing w:line="14" w:lineRule="exact" w:before="0" w:after="1018"/>
        <w:ind w:left="0" w:right="0"/>
      </w:pPr>
    </w:p>
    <w:p>
      <w:pPr>
        <w:sectPr>
          <w:pgSz w:w="11880" w:h="15660"/>
          <w:pgMar w:top="360" w:right="0" w:bottom="266" w:left="69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424" w:lineRule="exact" w:before="0" w:after="0"/>
        <w:ind w:left="4" w:right="0" w:firstLine="0"/>
        <w:jc w:val="left"/>
      </w:pPr>
      <w:r>
        <w:rPr>
          <w:rFonts w:ascii="Asap" w:hAnsi="Asap" w:eastAsia="Asap"/>
          <w:b/>
          <w:i w:val="0"/>
          <w:color w:val="6C146B"/>
          <w:sz w:val="32"/>
        </w:rPr>
        <w:t>Heterogeneity of Treatment Effect</w:t>
      </w:r>
    </w:p>
    <w:p>
      <w:pPr>
        <w:autoSpaceDN w:val="0"/>
        <w:autoSpaceDE w:val="0"/>
        <w:widowControl/>
        <w:spacing w:line="245" w:lineRule="auto" w:before="98" w:after="0"/>
        <w:ind w:left="4" w:right="156" w:firstLine="0"/>
        <w:jc w:val="both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Heterogeneity of treatment effect is defined as “nonrandom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explainable variability in the direction and magnitude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of individual treatment effects, including both beneficial </w:t>
      </w:r>
      <w:r>
        <w:rPr>
          <w:rFonts w:ascii="Lora" w:hAnsi="Lora" w:eastAsia="Lora"/>
          <w:b w:val="0"/>
          <w:i w:val="0"/>
          <w:color w:val="000000"/>
          <w:sz w:val="18"/>
        </w:rPr>
        <w:t>and adverse effects.”</w:t>
      </w:r>
      <w:r>
        <w:rPr>
          <w:w w:val="104.94000434875488"/>
          <w:rFonts w:ascii="Lora" w:hAnsi="Lora" w:eastAsia="Lora"/>
          <w:b w:val="0"/>
          <w:i w:val="0"/>
          <w:color w:val="000000"/>
          <w:sz w:val="10"/>
        </w:rPr>
        <w:t>60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 Response to a treatment, whether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beneficial or adverse, varies from individual to individual.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It is important for HCDMs to understand heterogeneity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of treatment effect when evaluating therapies for clinical,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coverage, and reimbursement decisions for patients. While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evaluating the body of evidence for a treatment, HCDMs </w:t>
      </w:r>
    </w:p>
    <w:p>
      <w:pPr>
        <w:sectPr>
          <w:type w:val="continuous"/>
          <w:pgSz w:w="11880" w:h="15660"/>
          <w:pgMar w:top="360" w:right="0" w:bottom="266" w:left="694" w:header="720" w:footer="720" w:gutter="0"/>
          <w:cols w:num="2" w:equalWidth="0">
            <w:col w:w="5248" w:space="0"/>
            <w:col w:w="5938" w:space="0"/>
          </w:cols>
          <w:docGrid w:linePitch="360"/>
        </w:sectPr>
      </w:pPr>
    </w:p>
    <w:p>
      <w:pPr>
        <w:autoSpaceDN w:val="0"/>
        <w:autoSpaceDE w:val="0"/>
        <w:widowControl/>
        <w:spacing w:line="245" w:lineRule="auto" w:before="0" w:after="866"/>
        <w:ind w:left="156" w:right="576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need to consider variability between individual patients,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within populations studied, and between clinical studies.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Factors known to be associated with disparate treatment </w:t>
      </w:r>
      <w:r>
        <w:rPr>
          <w:rFonts w:ascii="Lora" w:hAnsi="Lora" w:eastAsia="Lora"/>
          <w:b w:val="0"/>
          <w:i w:val="0"/>
          <w:color w:val="000000"/>
          <w:sz w:val="18"/>
        </w:rPr>
        <w:t>outcomes should be described. Identification of heteroge-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neity should be noted in Section 2.2.2B(3), and the evidence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and studies to support it should be summarized in Section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3.0B or Section 5.0B, as appropriate. Readers are referred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to additional information on heterogeneity of treatment </w:t>
      </w:r>
      <w:r>
        <w:rPr>
          <w:rFonts w:ascii="Lora" w:hAnsi="Lora" w:eastAsia="Lora"/>
          <w:b w:val="0"/>
          <w:i w:val="0"/>
          <w:color w:val="000000"/>
          <w:sz w:val="18"/>
        </w:rPr>
        <w:t>effect.</w:t>
      </w:r>
      <w:r>
        <w:rPr>
          <w:w w:val="104.94000434875488"/>
          <w:rFonts w:ascii="Lora" w:hAnsi="Lora" w:eastAsia="Lora"/>
          <w:b w:val="0"/>
          <w:i w:val="0"/>
          <w:color w:val="000000"/>
          <w:sz w:val="10"/>
        </w:rPr>
        <w:t>61-64</w:t>
      </w:r>
    </w:p>
    <w:p>
      <w:pPr>
        <w:sectPr>
          <w:type w:val="nextColumn"/>
          <w:pgSz w:w="11880" w:h="15660"/>
          <w:pgMar w:top="360" w:right="0" w:bottom="266" w:left="694" w:header="720" w:footer="720" w:gutter="0"/>
          <w:cols w:num="2" w:equalWidth="0">
            <w:col w:w="5248" w:space="0"/>
            <w:col w:w="5938" w:space="0"/>
          </w:cols>
          <w:docGrid w:linePitch="360"/>
        </w:sectPr>
      </w:pPr>
    </w:p>
    <w:p>
      <w:pPr>
        <w:autoSpaceDN w:val="0"/>
        <w:autoSpaceDE w:val="0"/>
        <w:widowControl/>
        <w:spacing w:line="560" w:lineRule="exact" w:before="62" w:after="126"/>
        <w:ind w:left="26" w:right="1728" w:firstLine="0"/>
        <w:jc w:val="left"/>
      </w:pPr>
      <w:r>
        <w:rPr>
          <w:rFonts w:ascii="Asap" w:hAnsi="Asap" w:eastAsia="Asap"/>
          <w:b w:val="0"/>
          <w:i w:val="0"/>
          <w:color w:val="14377D"/>
          <w:sz w:val="48"/>
        </w:rPr>
        <w:t xml:space="preserve">Evidence Recommendations for Unapproved </w:t>
      </w:r>
      <w:r>
        <w:rPr>
          <w:rFonts w:ascii="Asap" w:hAnsi="Asap" w:eastAsia="Asap"/>
          <w:b w:val="0"/>
          <w:i w:val="0"/>
          <w:color w:val="14377D"/>
          <w:sz w:val="48"/>
        </w:rPr>
        <w:t>Product Dossiers</w:t>
      </w:r>
    </w:p>
    <w:p>
      <w:pPr>
        <w:sectPr>
          <w:type w:val="continuous"/>
          <w:pgSz w:w="11880" w:h="15660"/>
          <w:pgMar w:top="360" w:right="0" w:bottom="266" w:left="69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66" w:lineRule="exact" w:before="0" w:after="0"/>
        <w:ind w:left="26" w:right="0" w:firstLine="0"/>
        <w:jc w:val="left"/>
      </w:pPr>
      <w:r>
        <w:rPr>
          <w:rFonts w:ascii="Asap" w:hAnsi="Asap" w:eastAsia="Asap"/>
          <w:b/>
          <w:i w:val="0"/>
          <w:color w:val="007EC5"/>
          <w:sz w:val="20"/>
        </w:rPr>
        <w:t>SECTION 1.0A – HIGHLIGHTS AND OVERVIEW</w:t>
      </w:r>
    </w:p>
    <w:p>
      <w:pPr>
        <w:autoSpaceDN w:val="0"/>
        <w:tabs>
          <w:tab w:pos="1500" w:val="left"/>
        </w:tabs>
        <w:autoSpaceDE w:val="0"/>
        <w:widowControl/>
        <w:spacing w:line="240" w:lineRule="exact" w:before="90" w:after="0"/>
        <w:ind w:left="26" w:right="864" w:firstLine="0"/>
        <w:jc w:val="left"/>
      </w:pPr>
      <w:r>
        <w:rPr>
          <w:rFonts w:ascii="Asap" w:hAnsi="Asap" w:eastAsia="Asap"/>
          <w:b/>
          <w:i w:val="0"/>
          <w:color w:val="007EC5"/>
          <w:sz w:val="20"/>
        </w:rPr>
        <w:t xml:space="preserve">SECTION 2.0A – PRODUCT INFORMATION AND </w:t>
      </w:r>
      <w:r>
        <w:tab/>
      </w:r>
      <w:r>
        <w:rPr>
          <w:rFonts w:ascii="Asap" w:hAnsi="Asap" w:eastAsia="Asap"/>
          <w:b/>
          <w:i w:val="0"/>
          <w:color w:val="007EC5"/>
          <w:sz w:val="20"/>
        </w:rPr>
        <w:t>DISEASE DESCRIPTION</w:t>
      </w:r>
    </w:p>
    <w:p>
      <w:pPr>
        <w:autoSpaceDN w:val="0"/>
        <w:autoSpaceDE w:val="0"/>
        <w:widowControl/>
        <w:spacing w:line="266" w:lineRule="exact" w:before="64" w:after="0"/>
        <w:ind w:left="26" w:right="0" w:firstLine="0"/>
        <w:jc w:val="left"/>
      </w:pPr>
      <w:r>
        <w:rPr>
          <w:rFonts w:ascii="Asap" w:hAnsi="Asap" w:eastAsia="Asap"/>
          <w:b/>
          <w:i w:val="0"/>
          <w:color w:val="007EC5"/>
          <w:sz w:val="20"/>
        </w:rPr>
        <w:t>SECTION 3.0A – CLINICAL EVIDENCE</w:t>
      </w:r>
    </w:p>
    <w:p>
      <w:pPr>
        <w:autoSpaceDN w:val="0"/>
        <w:autoSpaceDE w:val="0"/>
        <w:widowControl/>
        <w:spacing w:line="266" w:lineRule="exact" w:before="64" w:after="0"/>
        <w:ind w:left="26" w:right="0" w:firstLine="0"/>
        <w:jc w:val="left"/>
      </w:pPr>
      <w:r>
        <w:rPr>
          <w:rFonts w:ascii="Asap" w:hAnsi="Asap" w:eastAsia="Asap"/>
          <w:b/>
          <w:i w:val="0"/>
          <w:color w:val="007EC5"/>
          <w:sz w:val="20"/>
        </w:rPr>
        <w:t>SECTION 4.0A – ECONOMIC INFORMATION</w:t>
      </w:r>
    </w:p>
    <w:p>
      <w:pPr>
        <w:autoSpaceDN w:val="0"/>
        <w:autoSpaceDE w:val="0"/>
        <w:widowControl/>
        <w:spacing w:line="266" w:lineRule="exact" w:before="64" w:after="0"/>
        <w:ind w:left="26" w:right="0" w:firstLine="0"/>
        <w:jc w:val="left"/>
      </w:pPr>
      <w:r>
        <w:rPr>
          <w:rFonts w:ascii="Asap" w:hAnsi="Asap" w:eastAsia="Asap"/>
          <w:b/>
          <w:i w:val="0"/>
          <w:color w:val="007EC5"/>
          <w:sz w:val="20"/>
        </w:rPr>
        <w:t>SECTION 5.0A – ADDITIONAL SUPPORTING EVIDENCE</w:t>
      </w:r>
    </w:p>
    <w:p>
      <w:pPr>
        <w:autoSpaceDN w:val="0"/>
        <w:autoSpaceDE w:val="0"/>
        <w:widowControl/>
        <w:spacing w:line="266" w:lineRule="exact" w:before="64" w:after="0"/>
        <w:ind w:left="26" w:right="0" w:firstLine="0"/>
        <w:jc w:val="left"/>
      </w:pPr>
      <w:r>
        <w:rPr>
          <w:rFonts w:ascii="Asap" w:hAnsi="Asap" w:eastAsia="Asap"/>
          <w:b/>
          <w:i w:val="0"/>
          <w:color w:val="007EC5"/>
          <w:sz w:val="20"/>
        </w:rPr>
        <w:t>SECTION 6.0A – DOSSIER APPENDICES</w:t>
      </w:r>
    </w:p>
    <w:p>
      <w:pPr>
        <w:autoSpaceDN w:val="0"/>
        <w:autoSpaceDE w:val="0"/>
        <w:widowControl/>
        <w:spacing w:line="424" w:lineRule="exact" w:before="158" w:after="0"/>
        <w:ind w:left="26" w:right="0" w:firstLine="0"/>
        <w:jc w:val="left"/>
      </w:pPr>
      <w:r>
        <w:rPr>
          <w:rFonts w:ascii="Asap" w:hAnsi="Asap" w:eastAsia="Asap"/>
          <w:b/>
          <w:i w:val="0"/>
          <w:color w:val="6C146B"/>
          <w:sz w:val="32"/>
        </w:rPr>
        <w:t>1.0A Highlights and Overview</w:t>
      </w:r>
    </w:p>
    <w:p>
      <w:pPr>
        <w:autoSpaceDN w:val="0"/>
        <w:autoSpaceDE w:val="0"/>
        <w:widowControl/>
        <w:spacing w:line="245" w:lineRule="auto" w:before="98" w:after="0"/>
        <w:ind w:left="26" w:right="144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The recommended length of Section 1.0A is two pages </w:t>
      </w:r>
      <w:r>
        <w:rPr>
          <w:rFonts w:ascii="Lora" w:hAnsi="Lora" w:eastAsia="Lora"/>
          <w:b w:val="0"/>
          <w:i w:val="0"/>
          <w:color w:val="000000"/>
          <w:sz w:val="18"/>
        </w:rPr>
        <w:t>(maximum four).</w:t>
      </w:r>
    </w:p>
    <w:p>
      <w:pPr>
        <w:autoSpaceDN w:val="0"/>
        <w:tabs>
          <w:tab w:pos="206" w:val="left"/>
        </w:tabs>
        <w:autoSpaceDE w:val="0"/>
        <w:widowControl/>
        <w:spacing w:line="245" w:lineRule="auto" w:before="0" w:after="0"/>
        <w:ind w:left="26" w:right="144" w:firstLine="0"/>
        <w:jc w:val="left"/>
      </w:pP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This section provides an at-a-glance overview of the key </w:t>
      </w:r>
      <w:r>
        <w:rPr>
          <w:rFonts w:ascii="Lora" w:hAnsi="Lora" w:eastAsia="Lora"/>
          <w:b w:val="0"/>
          <w:i w:val="0"/>
          <w:color w:val="000000"/>
          <w:sz w:val="18"/>
        </w:rPr>
        <w:t>information about an unapproved product.</w:t>
      </w:r>
    </w:p>
    <w:p>
      <w:pPr>
        <w:autoSpaceDN w:val="0"/>
        <w:autoSpaceDE w:val="0"/>
        <w:widowControl/>
        <w:spacing w:line="245" w:lineRule="auto" w:before="0" w:after="0"/>
        <w:ind w:left="26" w:right="144" w:firstLine="18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Consistent with the FDA "Guidance on Responding to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Unsolicited Requests for Off-Label Information About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Prescription Drugs and Medical Devices," manufacturers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should not make claims, characterizations, or conclusions </w:t>
      </w:r>
      <w:r>
        <w:rPr>
          <w:rFonts w:ascii="Lora" w:hAnsi="Lora" w:eastAsia="Lora"/>
          <w:b w:val="0"/>
          <w:i w:val="0"/>
          <w:color w:val="000000"/>
          <w:sz w:val="18"/>
        </w:rPr>
        <w:t>regarding the safety, effectiveness, or uses of the unap-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proved product. Manufacturers should provide factual and </w:t>
      </w:r>
    </w:p>
    <w:p>
      <w:pPr>
        <w:sectPr>
          <w:type w:val="continuous"/>
          <w:pgSz w:w="11880" w:h="15660"/>
          <w:pgMar w:top="360" w:right="0" w:bottom="266" w:left="694" w:header="720" w:footer="720" w:gutter="0"/>
          <w:cols w:num="2" w:equalWidth="0">
            <w:col w:w="5270" w:space="0"/>
            <w:col w:w="5916" w:space="0"/>
          </w:cols>
          <w:docGrid w:linePitch="360"/>
        </w:sectPr>
      </w:pPr>
    </w:p>
    <w:p>
      <w:pPr>
        <w:autoSpaceDN w:val="0"/>
        <w:tabs>
          <w:tab w:pos="336" w:val="left"/>
        </w:tabs>
        <w:autoSpaceDE w:val="0"/>
        <w:widowControl/>
        <w:spacing w:line="245" w:lineRule="auto" w:before="0" w:after="0"/>
        <w:ind w:left="156" w:right="576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objective information about the unapproved product in an </w:t>
      </w:r>
      <w:r>
        <w:rPr>
          <w:rFonts w:ascii="Lora" w:hAnsi="Lora" w:eastAsia="Lora"/>
          <w:b w:val="0"/>
          <w:i w:val="0"/>
          <w:color w:val="000000"/>
          <w:sz w:val="18"/>
        </w:rPr>
        <w:t>Unapproved Product Dossier.</w:t>
      </w:r>
      <w:r>
        <w:rPr>
          <w:w w:val="104.94000434875488"/>
          <w:rFonts w:ascii="Lora" w:hAnsi="Lora" w:eastAsia="Lora"/>
          <w:b w:val="0"/>
          <w:i w:val="0"/>
          <w:color w:val="000000"/>
          <w:sz w:val="10"/>
        </w:rPr>
        <w:t xml:space="preserve">14 </w:t>
      </w:r>
      <w:r>
        <w:br/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There is no Executive Summary in an Unapproved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Product Dossier, as there is in an Approved Product Dossier,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because the intent of an Executive Summary is to convey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the overall value proposition of a product based on clinical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and economic evidence. In an Unapproved Product Dossier, </w:t>
      </w:r>
      <w:r>
        <w:rPr>
          <w:rFonts w:ascii="Lora" w:hAnsi="Lora" w:eastAsia="Lora"/>
          <w:b w:val="0"/>
          <w:i w:val="0"/>
          <w:color w:val="000000"/>
          <w:sz w:val="18"/>
        </w:rPr>
        <w:t>no characterization or conclusions should be made regard-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ing the safety or effectiveness of an unapproved product.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However, key information should be included about the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unapproved product, using the Table of Highlights for </w:t>
      </w:r>
      <w:r>
        <w:rPr>
          <w:rFonts w:ascii="Lora" w:hAnsi="Lora" w:eastAsia="Lora"/>
          <w:b w:val="0"/>
          <w:i w:val="0"/>
          <w:color w:val="000000"/>
          <w:sz w:val="18"/>
        </w:rPr>
        <w:t>Unapproved Products in Table 1.1A.</w:t>
      </w:r>
    </w:p>
    <w:p>
      <w:pPr>
        <w:autoSpaceDN w:val="0"/>
        <w:autoSpaceDE w:val="0"/>
        <w:widowControl/>
        <w:spacing w:line="245" w:lineRule="auto" w:before="0" w:after="0"/>
        <w:ind w:left="156" w:right="576" w:firstLine="18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It is important to acknowledge that information may or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may not be available depending on the phase of the product </w:t>
      </w:r>
      <w:r>
        <w:rPr>
          <w:rFonts w:ascii="Lora" w:hAnsi="Lora" w:eastAsia="Lora"/>
          <w:b w:val="0"/>
          <w:i w:val="0"/>
          <w:color w:val="000000"/>
          <w:sz w:val="18"/>
        </w:rPr>
        <w:t>development and life cycle (e.g., phase 2 vs. phase 3). If infor-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mation is not yet available or cannot be disclosed per the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manufacturer’s discretion, indicate “N/A.” As information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becomes available for communication, the manufacturer </w:t>
      </w:r>
      <w:r>
        <w:rPr>
          <w:rFonts w:ascii="Lora" w:hAnsi="Lora" w:eastAsia="Lora"/>
          <w:b w:val="0"/>
          <w:i w:val="0"/>
          <w:color w:val="000000"/>
          <w:sz w:val="18"/>
        </w:rPr>
        <w:t>should update the dossier.</w:t>
      </w:r>
    </w:p>
    <w:p>
      <w:pPr>
        <w:autoSpaceDN w:val="0"/>
        <w:tabs>
          <w:tab w:pos="336" w:val="left"/>
        </w:tabs>
        <w:autoSpaceDE w:val="0"/>
        <w:widowControl/>
        <w:spacing w:line="245" w:lineRule="auto" w:before="0" w:after="366"/>
        <w:ind w:left="156" w:right="576" w:firstLine="0"/>
        <w:jc w:val="left"/>
      </w:pP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Be brief and concise. Provide citations and references to </w:t>
      </w:r>
      <w:r>
        <w:rPr>
          <w:rFonts w:ascii="Lora" w:hAnsi="Lora" w:eastAsia="Lora"/>
          <w:b w:val="0"/>
          <w:i w:val="0"/>
          <w:color w:val="000000"/>
          <w:sz w:val="18"/>
        </w:rPr>
        <w:t>indicate the source of information where applicable.</w:t>
      </w:r>
    </w:p>
    <w:p>
      <w:pPr>
        <w:sectPr>
          <w:type w:val="nextColumn"/>
          <w:pgSz w:w="11880" w:h="15660"/>
          <w:pgMar w:top="360" w:right="0" w:bottom="266" w:left="694" w:header="720" w:footer="720" w:gutter="0"/>
          <w:cols w:num="2" w:equalWidth="0">
            <w:col w:w="5270" w:space="0"/>
            <w:col w:w="5916" w:space="0"/>
          </w:cols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47.99999999999997" w:type="dxa"/>
      </w:tblPr>
      <w:tblGrid>
        <w:gridCol w:w="4873"/>
        <w:gridCol w:w="4873"/>
      </w:tblGrid>
      <w:tr>
        <w:trPr>
          <w:trHeight w:hRule="exact" w:val="368"/>
        </w:trPr>
        <w:tc>
          <w:tcPr>
            <w:tcW w:type="dxa" w:w="2202"/>
            <w:tcBorders>
              <w:top w:sz="3.5999999046325684" w:val="single" w:color="#474B55"/>
            </w:tcBorders>
            <w:shd w:fill="474b55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26" w:after="0"/>
              <w:ind w:left="446" w:right="0" w:firstLine="0"/>
              <w:jc w:val="left"/>
            </w:pPr>
            <w:r>
              <w:rPr>
                <w:rFonts w:ascii="Asap" w:hAnsi="Asap" w:eastAsia="Asap"/>
                <w:b/>
                <w:i w:val="0"/>
                <w:color w:val="FFFFFF"/>
                <w:sz w:val="20"/>
              </w:rPr>
              <w:t>TABLE  1.1A</w:t>
            </w:r>
          </w:p>
        </w:tc>
        <w:tc>
          <w:tcPr>
            <w:tcW w:type="dxa" w:w="8140"/>
            <w:tcBorders>
              <w:top w:sz="3.5999999046325684" w:val="single" w:color="#474B5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0" w:lineRule="exact" w:before="58" w:after="0"/>
              <w:ind w:left="116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14377D"/>
                <w:sz w:val="20"/>
              </w:rPr>
              <w:t>TABLE OF HIGHLIGHTS FOR UNAPPROVED PRODUCTS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.999999999999943" w:type="dxa"/>
      </w:tblPr>
      <w:tblGrid>
        <w:gridCol w:w="4873"/>
        <w:gridCol w:w="4873"/>
      </w:tblGrid>
      <w:tr>
        <w:trPr>
          <w:trHeight w:hRule="exact" w:val="308"/>
        </w:trPr>
        <w:tc>
          <w:tcPr>
            <w:tcW w:type="dxa" w:w="2936"/>
            <w:tcBorders>
              <w:top w:sz="16.0" w:val="single" w:color="#474B55"/>
              <w:end w:sz="4.0" w:val="single" w:color="#FFFFFF"/>
              <w:bottom w:sz="4.0" w:val="single" w:color="#13377C"/>
            </w:tcBorders>
            <w:shd w:fill="c6c8c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2" w:lineRule="exact" w:before="38" w:after="0"/>
              <w:ind w:left="0" w:right="0" w:firstLine="0"/>
              <w:jc w:val="center"/>
            </w:pPr>
            <w:r>
              <w:rPr>
                <w:w w:val="102.46950387954712"/>
                <w:rFonts w:ascii="Asap" w:hAnsi="Asap" w:eastAsia="Asap"/>
                <w:b/>
                <w:i w:val="0"/>
                <w:color w:val="000000"/>
                <w:sz w:val="16"/>
              </w:rPr>
              <w:t>Type of Information</w:t>
            </w:r>
          </w:p>
        </w:tc>
        <w:tc>
          <w:tcPr>
            <w:tcW w:type="dxa" w:w="7514"/>
            <w:tcBorders>
              <w:start w:sz="4.0" w:val="single" w:color="#FFFFFF"/>
              <w:top w:sz="16.0" w:val="single" w:color="#474B55"/>
              <w:bottom w:sz="4.0" w:val="single" w:color="#13377C"/>
            </w:tcBorders>
            <w:shd w:fill="c6c8c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2" w:lineRule="exact" w:before="38" w:after="0"/>
              <w:ind w:left="0" w:right="0" w:firstLine="0"/>
              <w:jc w:val="center"/>
            </w:pPr>
            <w:r>
              <w:rPr>
                <w:w w:val="102.46950387954712"/>
                <w:rFonts w:ascii="Asap" w:hAnsi="Asap" w:eastAsia="Asap"/>
                <w:b/>
                <w:i w:val="0"/>
                <w:color w:val="000000"/>
                <w:sz w:val="16"/>
              </w:rPr>
              <w:t>Description of Information</w:t>
            </w:r>
          </w:p>
        </w:tc>
      </w:tr>
      <w:tr>
        <w:trPr>
          <w:trHeight w:hRule="exact" w:val="308"/>
        </w:trPr>
        <w:tc>
          <w:tcPr>
            <w:tcW w:type="dxa" w:w="2936"/>
            <w:tcBorders>
              <w:top w:sz="4.0" w:val="single" w:color="#13377C"/>
              <w:end w:sz="4.0" w:val="single" w:color="#C6C8C7"/>
              <w:bottom w:sz="4.0" w:val="single" w:color="#13377C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56" w:after="0"/>
              <w:ind w:left="100" w:right="0" w:firstLine="0"/>
              <w:jc w:val="left"/>
            </w:pPr>
            <w:r>
              <w:rPr>
                <w:rFonts w:ascii="Asap" w:hAnsi="Asap" w:eastAsia="Asap"/>
                <w:b/>
                <w:i w:val="0"/>
                <w:color w:val="000000"/>
                <w:sz w:val="16"/>
              </w:rPr>
              <w:t>Revision dates</w:t>
            </w:r>
          </w:p>
        </w:tc>
        <w:tc>
          <w:tcPr>
            <w:tcW w:type="dxa" w:w="7514"/>
            <w:tcBorders>
              <w:start w:sz="4.0" w:val="single" w:color="#C6C8C7"/>
              <w:top w:sz="4.0" w:val="single" w:color="#13377C"/>
              <w:bottom w:sz="4.0" w:val="single" w:color="#13377C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2" w:after="0"/>
              <w:ind w:left="76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>List the dates of revisions to this table in reverse chronological order</w:t>
            </w:r>
          </w:p>
        </w:tc>
      </w:tr>
      <w:tr>
        <w:trPr>
          <w:trHeight w:hRule="exact" w:val="310"/>
        </w:trPr>
        <w:tc>
          <w:tcPr>
            <w:tcW w:type="dxa" w:w="2936"/>
            <w:tcBorders>
              <w:top w:sz="4.0" w:val="single" w:color="#13377C"/>
              <w:end w:sz="4.0" w:val="single" w:color="#FFFFFF"/>
              <w:bottom w:sz="4.0" w:val="single" w:color="#13377C"/>
            </w:tcBorders>
            <w:shd w:fill="eaea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56" w:after="0"/>
              <w:ind w:left="100" w:right="0" w:firstLine="0"/>
              <w:jc w:val="left"/>
            </w:pPr>
            <w:r>
              <w:rPr>
                <w:rFonts w:ascii="Asap" w:hAnsi="Asap" w:eastAsia="Asap"/>
                <w:b/>
                <w:i w:val="0"/>
                <w:color w:val="000000"/>
                <w:sz w:val="16"/>
              </w:rPr>
              <w:t>Manufacturer name</w:t>
            </w:r>
          </w:p>
        </w:tc>
        <w:tc>
          <w:tcPr>
            <w:tcW w:type="dxa" w:w="7514"/>
            <w:tcBorders>
              <w:start w:sz="4.0" w:val="single" w:color="#FFFFFF"/>
              <w:top w:sz="4.0" w:val="single" w:color="#13377C"/>
              <w:bottom w:sz="4.0" w:val="single" w:color="#13377C"/>
            </w:tcBorders>
            <w:shd w:fill="eaea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4" w:after="0"/>
              <w:ind w:left="76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>List the names of companies involved in developing and marketing the unapproved product</w:t>
            </w:r>
          </w:p>
        </w:tc>
      </w:tr>
      <w:tr>
        <w:trPr>
          <w:trHeight w:hRule="exact" w:val="1252"/>
        </w:trPr>
        <w:tc>
          <w:tcPr>
            <w:tcW w:type="dxa" w:w="2936"/>
            <w:tcBorders>
              <w:top w:sz="4.0" w:val="single" w:color="#13377C"/>
              <w:bottom w:sz="16.0" w:val="single" w:color="#474B5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138" w:after="120"/>
              <w:ind w:left="100" w:right="0" w:firstLine="0"/>
              <w:jc w:val="left"/>
            </w:pPr>
            <w:r>
              <w:rPr>
                <w:rFonts w:ascii="Asap" w:hAnsi="Asap" w:eastAsia="Asap"/>
                <w:b/>
                <w:i w:val="0"/>
                <w:color w:val="000000"/>
                <w:sz w:val="16"/>
              </w:rPr>
              <w:t>Unapproved product name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0.0" w:type="dxa"/>
            </w:tblPr>
            <w:tblGrid>
              <w:gridCol w:w="2936"/>
            </w:tblGrid>
            <w:tr>
              <w:trPr>
                <w:trHeight w:hRule="exact" w:val="308"/>
              </w:trPr>
              <w:tc>
                <w:tcPr>
                  <w:tcW w:type="dxa" w:w="1860"/>
                  <w:tcBorders/>
                  <w:shd w:fill="eaeaf2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10" w:lineRule="exact" w:before="60" w:after="0"/>
                    <w:ind w:left="80" w:right="0" w:firstLine="0"/>
                    <w:jc w:val="left"/>
                  </w:pPr>
                  <w:r>
                    <w:rPr>
                      <w:rFonts w:ascii="Asap" w:hAnsi="Asap" w:eastAsia="Asap"/>
                      <w:b/>
                      <w:i w:val="0"/>
                      <w:color w:val="000000"/>
                      <w:sz w:val="16"/>
                    </w:rPr>
                    <w:t>Drug class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10" w:lineRule="exact" w:before="142" w:after="0"/>
              <w:ind w:left="100" w:right="0" w:firstLine="0"/>
              <w:jc w:val="left"/>
            </w:pPr>
            <w:r>
              <w:rPr>
                <w:rFonts w:ascii="Asap" w:hAnsi="Asap" w:eastAsia="Asap"/>
                <w:b/>
                <w:i w:val="0"/>
                <w:color w:val="000000"/>
                <w:sz w:val="16"/>
              </w:rPr>
              <w:t>Disease or anticipated indication</w:t>
            </w:r>
          </w:p>
        </w:tc>
        <w:tc>
          <w:tcPr>
            <w:tcW w:type="dxa" w:w="7514"/>
            <w:tcBorders>
              <w:top w:sz="4.0" w:val="single" w:color="#13377C"/>
              <w:bottom w:sz="16.0" w:val="single" w:color="#474B5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6" w:lineRule="exact" w:before="16" w:after="0"/>
              <w:ind w:left="82" w:right="144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 xml:space="preserve">List the names of the unapproved product (brand, generic, chemical, molecular, company-assigned name, </w:t>
            </w: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 xml:space="preserve">research compound number) </w:t>
            </w:r>
            <w:r>
              <w:br/>
            </w: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 xml:space="preserve">Describe the drug class in which the product belongs </w:t>
            </w:r>
            <w:r>
              <w:br/>
            </w: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 xml:space="preserve">List the diseases, indications, and target populations for which the unapproved product is being studied </w:t>
            </w: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>and FDA approval is being sought</w:t>
            </w:r>
          </w:p>
        </w:tc>
      </w:tr>
    </w:tbl>
    <w:p>
      <w:pPr>
        <w:autoSpaceDN w:val="0"/>
        <w:autoSpaceDE w:val="0"/>
        <w:widowControl/>
        <w:spacing w:line="186" w:lineRule="exact" w:before="430" w:after="0"/>
        <w:ind w:left="0" w:right="742" w:firstLine="0"/>
        <w:jc w:val="right"/>
      </w:pPr>
      <w:r>
        <w:rPr>
          <w:rFonts w:ascii="Asap" w:hAnsi="Asap" w:eastAsia="Asap"/>
          <w:b w:val="0"/>
          <w:i w:val="0"/>
          <w:color w:val="474C55"/>
          <w:sz w:val="14"/>
        </w:rPr>
        <w:t>Vol. 30, No. 4-b</w:t>
      </w:r>
      <w:r>
        <w:rPr>
          <w:rFonts w:ascii="Asap" w:hAnsi="Asap" w:eastAsia="Asap"/>
          <w:b w:val="0"/>
          <w:i w:val="0"/>
          <w:color w:val="474C55"/>
          <w:sz w:val="14"/>
        </w:rPr>
        <w:t>|</w:t>
      </w:r>
      <w:r>
        <w:rPr>
          <w:rFonts w:ascii="Asap" w:hAnsi="Asap" w:eastAsia="Asap"/>
          <w:b w:val="0"/>
          <w:i w:val="0"/>
          <w:color w:val="474C55"/>
          <w:sz w:val="14"/>
        </w:rPr>
        <w:t>April 2024</w:t>
      </w:r>
      <w:r>
        <w:rPr>
          <w:rFonts w:ascii="Asap" w:hAnsi="Asap" w:eastAsia="Asap"/>
          <w:b w:val="0"/>
          <w:i w:val="0"/>
          <w:color w:val="474C55"/>
          <w:sz w:val="14"/>
        </w:rPr>
        <w:t>|</w:t>
      </w:r>
      <w:r>
        <w:rPr>
          <w:rFonts w:ascii="Asap" w:hAnsi="Asap" w:eastAsia="Asap"/>
          <w:b/>
          <w:i w:val="0"/>
          <w:color w:val="14377D"/>
          <w:sz w:val="14"/>
        </w:rPr>
        <w:t xml:space="preserve"> JMCP</w:t>
      </w:r>
      <w:r>
        <w:rPr>
          <w:rFonts w:ascii="Asap" w:hAnsi="Asap" w:eastAsia="Asap"/>
          <w:b w:val="0"/>
          <w:i w:val="0"/>
          <w:color w:val="14377D"/>
          <w:sz w:val="14"/>
        </w:rPr>
        <w:t>.org</w:t>
      </w:r>
    </w:p>
    <w:p>
      <w:pPr>
        <w:sectPr>
          <w:type w:val="continuous"/>
          <w:pgSz w:w="11880" w:h="15660"/>
          <w:pgMar w:top="360" w:right="0" w:bottom="266" w:left="69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870"/>
        <w:gridCol w:w="4870"/>
      </w:tblGrid>
      <w:tr>
        <w:trPr>
          <w:trHeight w:hRule="exact" w:val="382"/>
        </w:trPr>
        <w:tc>
          <w:tcPr>
            <w:tcW w:type="dxa" w:w="1094"/>
            <w:tcBorders/>
            <w:shd w:fill="6b146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4" w:after="0"/>
              <w:ind w:left="0" w:right="90" w:firstLine="0"/>
              <w:jc w:val="right"/>
            </w:pPr>
            <w:r>
              <w:rPr>
                <w:rFonts w:ascii="Asap" w:hAnsi="Asap" w:eastAsia="Asap"/>
                <w:b/>
                <w:i w:val="0"/>
                <w:color w:val="FFFFFF"/>
                <w:sz w:val="18"/>
              </w:rPr>
              <w:t>20</w:t>
            </w:r>
          </w:p>
        </w:tc>
        <w:tc>
          <w:tcPr>
            <w:tcW w:type="dxa" w:w="582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4" w:after="0"/>
              <w:ind w:left="90" w:right="0" w:firstLine="0"/>
              <w:jc w:val="left"/>
            </w:pPr>
            <w:r>
              <w:rPr>
                <w:rFonts w:ascii="Asap" w:hAnsi="Asap" w:eastAsia="Asap"/>
                <w:b/>
                <w:i w:val="0"/>
                <w:color w:val="474C55"/>
                <w:sz w:val="18"/>
              </w:rPr>
              <w:t>AMCP FORMAT 5.0</w:t>
            </w:r>
          </w:p>
        </w:tc>
      </w:tr>
    </w:tbl>
    <w:p>
      <w:pPr>
        <w:autoSpaceDN w:val="0"/>
        <w:autoSpaceDE w:val="0"/>
        <w:widowControl/>
        <w:spacing w:line="105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04.0" w:type="dxa"/>
      </w:tblPr>
      <w:tblGrid>
        <w:gridCol w:w="4870"/>
        <w:gridCol w:w="4870"/>
      </w:tblGrid>
      <w:tr>
        <w:trPr>
          <w:trHeight w:hRule="exact" w:val="310"/>
        </w:trPr>
        <w:tc>
          <w:tcPr>
            <w:tcW w:type="dxa" w:w="2940"/>
            <w:tcBorders>
              <w:top w:sz="16.0" w:val="single" w:color="#474B55"/>
              <w:end w:sz="4.0" w:val="single" w:color="#FFFFFF"/>
              <w:bottom w:sz="4.0" w:val="single" w:color="#13377C"/>
            </w:tcBorders>
            <w:shd w:fill="c6c8c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2" w:lineRule="exact" w:before="40" w:after="0"/>
              <w:ind w:left="0" w:right="0" w:firstLine="0"/>
              <w:jc w:val="center"/>
            </w:pPr>
            <w:r>
              <w:rPr>
                <w:w w:val="102.46950387954712"/>
                <w:rFonts w:ascii="Asap" w:hAnsi="Asap" w:eastAsia="Asap"/>
                <w:b/>
                <w:i w:val="0"/>
                <w:color w:val="000000"/>
                <w:sz w:val="16"/>
              </w:rPr>
              <w:t>Type of Information</w:t>
            </w:r>
          </w:p>
        </w:tc>
        <w:tc>
          <w:tcPr>
            <w:tcW w:type="dxa" w:w="7492"/>
            <w:tcBorders>
              <w:start w:sz="4.0" w:val="single" w:color="#FFFFFF"/>
              <w:top w:sz="16.0" w:val="single" w:color="#474B55"/>
              <w:bottom w:sz="4.0" w:val="single" w:color="#13377C"/>
            </w:tcBorders>
            <w:shd w:fill="c6c8c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2" w:lineRule="exact" w:before="40" w:after="0"/>
              <w:ind w:left="0" w:right="0" w:firstLine="0"/>
              <w:jc w:val="center"/>
            </w:pPr>
            <w:r>
              <w:rPr>
                <w:w w:val="102.46950387954712"/>
                <w:rFonts w:ascii="Asap" w:hAnsi="Asap" w:eastAsia="Asap"/>
                <w:b/>
                <w:i w:val="0"/>
                <w:color w:val="000000"/>
                <w:sz w:val="16"/>
              </w:rPr>
              <w:t>Description of Information</w:t>
            </w:r>
          </w:p>
        </w:tc>
      </w:tr>
      <w:tr>
        <w:trPr>
          <w:trHeight w:hRule="exact" w:val="9218"/>
        </w:trPr>
        <w:tc>
          <w:tcPr>
            <w:tcW w:type="dxa" w:w="2940"/>
            <w:tcBorders>
              <w:top w:sz="4.0" w:val="single" w:color="#13377C"/>
              <w:bottom w:sz="16.0" w:val="single" w:color="#474B55"/>
            </w:tcBorders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0.0" w:type="dxa"/>
            </w:tblPr>
            <w:tblGrid>
              <w:gridCol w:w="2940"/>
            </w:tblGrid>
            <w:tr>
              <w:trPr>
                <w:trHeight w:hRule="exact" w:val="470"/>
              </w:trPr>
              <w:tc>
                <w:tcPr>
                  <w:tcW w:type="dxa" w:w="2416"/>
                  <w:tcBorders/>
                  <w:shd w:fill="eaeaf2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10" w:lineRule="exact" w:before="140" w:after="0"/>
                    <w:ind w:left="80" w:right="0" w:firstLine="0"/>
                    <w:jc w:val="left"/>
                  </w:pPr>
                  <w:r>
                    <w:rPr>
                      <w:rFonts w:ascii="Asap" w:hAnsi="Asap" w:eastAsia="Asap"/>
                      <w:b/>
                      <w:i w:val="0"/>
                      <w:color w:val="000000"/>
                      <w:sz w:val="16"/>
                    </w:rPr>
                    <w:t>Special FDA designations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10" w:lineRule="exact" w:before="60" w:after="38"/>
              <w:ind w:left="100" w:right="0" w:firstLine="0"/>
              <w:jc w:val="left"/>
            </w:pPr>
            <w:r>
              <w:rPr>
                <w:rFonts w:ascii="Asap" w:hAnsi="Asap" w:eastAsia="Asap"/>
                <w:b/>
                <w:i w:val="0"/>
                <w:color w:val="000000"/>
                <w:sz w:val="16"/>
              </w:rPr>
              <w:t>FDA submission date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0.0" w:type="dxa"/>
            </w:tblPr>
            <w:tblGrid>
              <w:gridCol w:w="2940"/>
            </w:tblGrid>
            <w:tr>
              <w:trPr>
                <w:trHeight w:hRule="exact" w:val="470"/>
              </w:trPr>
              <w:tc>
                <w:tcPr>
                  <w:tcW w:type="dxa" w:w="2716"/>
                  <w:tcBorders/>
                  <w:shd w:fill="eaeaf2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10" w:lineRule="exact" w:before="142" w:after="0"/>
                    <w:ind w:left="80" w:right="0" w:firstLine="0"/>
                    <w:jc w:val="left"/>
                  </w:pPr>
                  <w:r>
                    <w:rPr>
                      <w:rFonts w:ascii="Asap" w:hAnsi="Asap" w:eastAsia="Asap"/>
                      <w:b/>
                      <w:i w:val="0"/>
                      <w:color w:val="000000"/>
                      <w:sz w:val="16"/>
                    </w:rPr>
                    <w:t>FDA Advisory Committee meeting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10" w:lineRule="exact" w:before="62" w:after="38"/>
              <w:ind w:left="100" w:right="0" w:firstLine="0"/>
              <w:jc w:val="left"/>
            </w:pPr>
            <w:r>
              <w:rPr>
                <w:rFonts w:ascii="Asap" w:hAnsi="Asap" w:eastAsia="Asap"/>
                <w:b/>
                <w:i w:val="0"/>
                <w:color w:val="000000"/>
                <w:sz w:val="16"/>
              </w:rPr>
              <w:t>Anticipated FDA approval date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0.0" w:type="dxa"/>
            </w:tblPr>
            <w:tblGrid>
              <w:gridCol w:w="2940"/>
            </w:tblGrid>
            <w:tr>
              <w:trPr>
                <w:trHeight w:hRule="exact" w:val="310"/>
              </w:trPr>
              <w:tc>
                <w:tcPr>
                  <w:tcW w:type="dxa" w:w="2236"/>
                  <w:tcBorders/>
                  <w:shd w:fill="eaeaf2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10" w:lineRule="exact" w:before="60" w:after="0"/>
                    <w:ind w:left="80" w:right="0" w:firstLine="0"/>
                    <w:jc w:val="left"/>
                  </w:pPr>
                  <w:r>
                    <w:rPr>
                      <w:rFonts w:ascii="Asap" w:hAnsi="Asap" w:eastAsia="Asap"/>
                      <w:b/>
                      <w:i w:val="0"/>
                      <w:color w:val="000000"/>
                      <w:sz w:val="16"/>
                    </w:rPr>
                    <w:t>Product launch date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80" w:lineRule="exact" w:before="90" w:after="40"/>
              <w:ind w:left="100" w:right="288" w:firstLine="0"/>
              <w:jc w:val="left"/>
            </w:pPr>
            <w:r>
              <w:rPr>
                <w:rFonts w:ascii="Asap" w:hAnsi="Asap" w:eastAsia="Asap"/>
                <w:b/>
                <w:i w:val="0"/>
                <w:color w:val="000000"/>
                <w:sz w:val="16"/>
              </w:rPr>
              <w:t xml:space="preserve">Approval dates in other countries </w:t>
            </w:r>
            <w:r>
              <w:rPr>
                <w:rFonts w:ascii="Asap" w:hAnsi="Asap" w:eastAsia="Asap"/>
                <w:b/>
                <w:i w:val="0"/>
                <w:color w:val="000000"/>
                <w:sz w:val="16"/>
              </w:rPr>
              <w:t>(outside of the U.S.)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0.0" w:type="dxa"/>
            </w:tblPr>
            <w:tblGrid>
              <w:gridCol w:w="2940"/>
            </w:tblGrid>
            <w:tr>
              <w:trPr>
                <w:trHeight w:hRule="exact" w:val="470"/>
              </w:trPr>
              <w:tc>
                <w:tcPr>
                  <w:tcW w:type="dxa" w:w="2396"/>
                  <w:tcBorders/>
                  <w:shd w:fill="eaeaf2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10" w:lineRule="exact" w:before="140" w:after="0"/>
                    <w:ind w:left="80" w:right="0" w:firstLine="0"/>
                    <w:jc w:val="left"/>
                  </w:pPr>
                  <w:r>
                    <w:rPr>
                      <w:rFonts w:ascii="Asap" w:hAnsi="Asap" w:eastAsia="Asap"/>
                      <w:b/>
                      <w:i w:val="0"/>
                      <w:color w:val="000000"/>
                      <w:sz w:val="16"/>
                    </w:rPr>
                    <w:t>Phase 3 trials completed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10" w:lineRule="exact" w:before="140" w:after="120"/>
              <w:ind w:left="100" w:right="0" w:firstLine="0"/>
              <w:jc w:val="left"/>
            </w:pPr>
            <w:r>
              <w:rPr>
                <w:rFonts w:ascii="Asap" w:hAnsi="Asap" w:eastAsia="Asap"/>
                <w:b/>
                <w:i w:val="0"/>
                <w:color w:val="000000"/>
                <w:sz w:val="16"/>
              </w:rPr>
              <w:t>Phase 3 trials in progress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0.0" w:type="dxa"/>
            </w:tblPr>
            <w:tblGrid>
              <w:gridCol w:w="2940"/>
            </w:tblGrid>
            <w:tr>
              <w:trPr>
                <w:trHeight w:hRule="exact" w:val="470"/>
              </w:trPr>
              <w:tc>
                <w:tcPr>
                  <w:tcW w:type="dxa" w:w="2396"/>
                  <w:tcBorders/>
                  <w:shd w:fill="eaeaf2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10" w:lineRule="exact" w:before="140" w:after="0"/>
                    <w:ind w:left="80" w:right="0" w:firstLine="0"/>
                    <w:jc w:val="left"/>
                  </w:pPr>
                  <w:r>
                    <w:rPr>
                      <w:rFonts w:ascii="Asap" w:hAnsi="Asap" w:eastAsia="Asap"/>
                      <w:b/>
                      <w:i w:val="0"/>
                      <w:color w:val="000000"/>
                      <w:sz w:val="16"/>
                    </w:rPr>
                    <w:t>Phase 2 trials completed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10" w:lineRule="exact" w:before="140" w:after="120"/>
              <w:ind w:left="100" w:right="0" w:firstLine="0"/>
              <w:jc w:val="left"/>
            </w:pPr>
            <w:r>
              <w:rPr>
                <w:rFonts w:ascii="Asap" w:hAnsi="Asap" w:eastAsia="Asap"/>
                <w:b/>
                <w:i w:val="0"/>
                <w:color w:val="000000"/>
                <w:sz w:val="16"/>
              </w:rPr>
              <w:t>Phase 2 trials in progress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0.0" w:type="dxa"/>
            </w:tblPr>
            <w:tblGrid>
              <w:gridCol w:w="2940"/>
            </w:tblGrid>
            <w:tr>
              <w:trPr>
                <w:trHeight w:hRule="exact" w:val="490"/>
              </w:trPr>
              <w:tc>
                <w:tcPr>
                  <w:tcW w:type="dxa" w:w="2596"/>
                  <w:tcBorders/>
                  <w:shd w:fill="eaeaf2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80" w:lineRule="exact" w:before="90" w:after="0"/>
                    <w:ind w:left="80" w:right="288" w:firstLine="0"/>
                    <w:jc w:val="left"/>
                  </w:pPr>
                  <w:r>
                    <w:rPr>
                      <w:rFonts w:ascii="Asap" w:hAnsi="Asap" w:eastAsia="Asap"/>
                      <w:b/>
                      <w:i w:val="0"/>
                      <w:color w:val="000000"/>
                      <w:sz w:val="16"/>
                    </w:rPr>
                    <w:t xml:space="preserve">Anticipated routes and dosing </w:t>
                  </w:r>
                  <w:r>
                    <w:rPr>
                      <w:rFonts w:ascii="Asap" w:hAnsi="Asap" w:eastAsia="Asap"/>
                      <w:b/>
                      <w:i w:val="0"/>
                      <w:color w:val="000000"/>
                      <w:sz w:val="16"/>
                    </w:rPr>
                    <w:t>information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80" w:lineRule="exact" w:before="164" w:after="116"/>
              <w:ind w:left="100" w:right="432" w:firstLine="0"/>
              <w:jc w:val="left"/>
            </w:pPr>
            <w:r>
              <w:rPr>
                <w:rFonts w:ascii="Asap" w:hAnsi="Asap" w:eastAsia="Asap"/>
                <w:b/>
                <w:i w:val="0"/>
                <w:color w:val="000000"/>
                <w:sz w:val="16"/>
              </w:rPr>
              <w:t xml:space="preserve">Anticipated location/settings for </w:t>
            </w:r>
            <w:r>
              <w:rPr>
                <w:rFonts w:ascii="Asap" w:hAnsi="Asap" w:eastAsia="Asap"/>
                <w:b/>
                <w:i w:val="0"/>
                <w:color w:val="000000"/>
                <w:sz w:val="16"/>
              </w:rPr>
              <w:t>product administration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0.0" w:type="dxa"/>
            </w:tblPr>
            <w:tblGrid>
              <w:gridCol w:w="2940"/>
            </w:tblGrid>
            <w:tr>
              <w:trPr>
                <w:trHeight w:hRule="exact" w:val="488"/>
              </w:trPr>
              <w:tc>
                <w:tcPr>
                  <w:tcW w:type="dxa" w:w="2856"/>
                  <w:tcBorders/>
                  <w:shd w:fill="eaeaf2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80" w:lineRule="exact" w:before="90" w:after="0"/>
                    <w:ind w:left="80" w:right="0" w:firstLine="0"/>
                    <w:jc w:val="left"/>
                  </w:pPr>
                  <w:r>
                    <w:rPr>
                      <w:rFonts w:ascii="Asap" w:hAnsi="Asap" w:eastAsia="Asap"/>
                      <w:b/>
                      <w:i w:val="0"/>
                      <w:color w:val="000000"/>
                      <w:sz w:val="16"/>
                    </w:rPr>
                    <w:t xml:space="preserve">Prevalence of condition associated </w:t>
                  </w:r>
                  <w:r>
                    <w:rPr>
                      <w:rFonts w:ascii="Asap" w:hAnsi="Asap" w:eastAsia="Asap"/>
                      <w:b/>
                      <w:i w:val="0"/>
                      <w:color w:val="000000"/>
                      <w:sz w:val="16"/>
                    </w:rPr>
                    <w:t>with anticipated indication in the U.S.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80" w:lineRule="exact" w:before="90" w:after="40"/>
              <w:ind w:left="100" w:right="0" w:firstLine="0"/>
              <w:jc w:val="left"/>
            </w:pPr>
            <w:r>
              <w:rPr>
                <w:rFonts w:ascii="Asap" w:hAnsi="Asap" w:eastAsia="Asap"/>
                <w:b/>
                <w:i w:val="0"/>
                <w:color w:val="000000"/>
                <w:sz w:val="16"/>
              </w:rPr>
              <w:t>Annual incidence of condition associ-</w:t>
            </w:r>
            <w:r>
              <w:rPr>
                <w:rFonts w:ascii="Asap" w:hAnsi="Asap" w:eastAsia="Asap"/>
                <w:b/>
                <w:i w:val="0"/>
                <w:color w:val="000000"/>
                <w:sz w:val="16"/>
              </w:rPr>
              <w:t xml:space="preserve">ated with anticipated indication in </w:t>
            </w:r>
            <w:r>
              <w:rPr>
                <w:rFonts w:ascii="Asap" w:hAnsi="Asap" w:eastAsia="Asap"/>
                <w:b/>
                <w:i w:val="0"/>
                <w:color w:val="000000"/>
                <w:sz w:val="16"/>
              </w:rPr>
              <w:t>the U.S.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0.0" w:type="dxa"/>
            </w:tblPr>
            <w:tblGrid>
              <w:gridCol w:w="2940"/>
            </w:tblGrid>
            <w:tr>
              <w:trPr>
                <w:trHeight w:hRule="exact" w:val="2072"/>
              </w:trPr>
              <w:tc>
                <w:tcPr>
                  <w:tcW w:type="dxa" w:w="2496"/>
                  <w:tcBorders/>
                  <w:shd w:fill="eaeaf2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10" w:lineRule="exact" w:before="942" w:after="0"/>
                    <w:ind w:left="80" w:right="0" w:firstLine="0"/>
                    <w:jc w:val="left"/>
                  </w:pPr>
                  <w:r>
                    <w:rPr>
                      <w:rFonts w:ascii="Asap" w:hAnsi="Asap" w:eastAsia="Asap"/>
                      <w:b/>
                      <w:i w:val="0"/>
                      <w:color w:val="000000"/>
                      <w:sz w:val="16"/>
                    </w:rPr>
                    <w:t>Product pricing information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10" w:lineRule="exact" w:before="60" w:after="20"/>
              <w:ind w:left="0" w:right="0" w:firstLine="0"/>
              <w:jc w:val="center"/>
            </w:pPr>
            <w:r>
              <w:rPr>
                <w:rFonts w:ascii="Asap" w:hAnsi="Asap" w:eastAsia="Asap"/>
                <w:b/>
                <w:i w:val="0"/>
                <w:color w:val="000000"/>
                <w:sz w:val="16"/>
              </w:rPr>
              <w:t>Anticipated patient support programs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0.0" w:type="dxa"/>
            </w:tblPr>
            <w:tblGrid>
              <w:gridCol w:w="2940"/>
            </w:tblGrid>
            <w:tr>
              <w:trPr>
                <w:trHeight w:hRule="exact" w:val="290"/>
              </w:trPr>
              <w:tc>
                <w:tcPr>
                  <w:tcW w:type="dxa" w:w="2676"/>
                  <w:tcBorders/>
                  <w:shd w:fill="eaeaf2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10" w:lineRule="exact" w:before="60" w:after="0"/>
                    <w:ind w:left="80" w:right="0" w:firstLine="0"/>
                    <w:jc w:val="left"/>
                  </w:pPr>
                  <w:r>
                    <w:rPr>
                      <w:rFonts w:ascii="Asap" w:hAnsi="Asap" w:eastAsia="Asap"/>
                      <w:b/>
                      <w:i w:val="0"/>
                      <w:color w:val="000000"/>
                      <w:sz w:val="16"/>
                    </w:rPr>
                    <w:t>Anticipated distribution strategy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7492"/>
            <w:tcBorders>
              <w:top w:sz="4.0" w:val="single" w:color="#13377C"/>
              <w:bottom w:sz="16.0" w:val="single" w:color="#474B5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0" w:lineRule="exact" w:before="80" w:after="0"/>
              <w:ind w:left="78" w:right="432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 xml:space="preserve">List special designations per FDA (e.g., fast track, orphan, breakthrough) and the date of designation; </w:t>
            </w: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>provide links to source information (e.g., FDA, press release)</w:t>
            </w:r>
          </w:p>
          <w:p>
            <w:pPr>
              <w:autoSpaceDN w:val="0"/>
              <w:autoSpaceDE w:val="0"/>
              <w:widowControl/>
              <w:spacing w:line="192" w:lineRule="exact" w:before="112" w:after="0"/>
              <w:ind w:left="78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>List the date of NDA/BLA submission to the FDA</w:t>
            </w:r>
          </w:p>
          <w:p>
            <w:pPr>
              <w:autoSpaceDN w:val="0"/>
              <w:autoSpaceDE w:val="0"/>
              <w:widowControl/>
              <w:spacing w:line="170" w:lineRule="exact" w:before="134" w:after="0"/>
              <w:ind w:left="78" w:right="576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 xml:space="preserve">List the date of the planned or anticipated FDA Advisory Committee meeting or indicate if FDA has </w:t>
            </w: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>determined one is unnecessary</w:t>
            </w:r>
          </w:p>
          <w:p>
            <w:pPr>
              <w:autoSpaceDN w:val="0"/>
              <w:autoSpaceDE w:val="0"/>
              <w:widowControl/>
              <w:spacing w:line="192" w:lineRule="exact" w:before="114" w:after="0"/>
              <w:ind w:left="78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>List the date or time frame (e.g., year, quarter) of anticipated FDA approval</w:t>
            </w:r>
          </w:p>
          <w:p>
            <w:pPr>
              <w:autoSpaceDN w:val="0"/>
              <w:autoSpaceDE w:val="0"/>
              <w:widowControl/>
              <w:spacing w:line="192" w:lineRule="exact" w:before="116" w:after="0"/>
              <w:ind w:left="78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>List the date of anticipated product launch in the market</w:t>
            </w:r>
          </w:p>
          <w:p>
            <w:pPr>
              <w:autoSpaceDN w:val="0"/>
              <w:autoSpaceDE w:val="0"/>
              <w:widowControl/>
              <w:spacing w:line="192" w:lineRule="exact" w:before="208" w:after="0"/>
              <w:ind w:left="78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>List other countries and (anticipated) approval dates</w:t>
            </w:r>
          </w:p>
          <w:p>
            <w:pPr>
              <w:autoSpaceDN w:val="0"/>
              <w:autoSpaceDE w:val="0"/>
              <w:widowControl/>
              <w:spacing w:line="168" w:lineRule="exact" w:before="228" w:after="0"/>
              <w:ind w:left="78" w:right="288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 xml:space="preserve">List the name or citation of trials and dates completed, key endpoints, and number of patients; provide </w:t>
            </w: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>links to ClinicalTrials.gov or PubMed</w:t>
            </w:r>
          </w:p>
          <w:p>
            <w:pPr>
              <w:autoSpaceDN w:val="0"/>
              <w:autoSpaceDE w:val="0"/>
              <w:widowControl/>
              <w:spacing w:line="170" w:lineRule="exact" w:before="132" w:after="0"/>
              <w:ind w:left="78" w:right="288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 xml:space="preserve">List the name or citation of trials and dates in progress, key endpoints, and number of patients; provide </w:t>
            </w: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>links to ClinicalTrials.gov or PubMed</w:t>
            </w:r>
          </w:p>
          <w:p>
            <w:pPr>
              <w:autoSpaceDN w:val="0"/>
              <w:autoSpaceDE w:val="0"/>
              <w:widowControl/>
              <w:spacing w:line="170" w:lineRule="exact" w:before="130" w:after="0"/>
              <w:ind w:left="78" w:right="288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 xml:space="preserve">List the name or citation of trials and dates completed, key endpoints, and number of patients; provide </w:t>
            </w: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>links to ClinicalTrials.gov or PubMed</w:t>
            </w:r>
          </w:p>
          <w:p>
            <w:pPr>
              <w:autoSpaceDN w:val="0"/>
              <w:autoSpaceDE w:val="0"/>
              <w:widowControl/>
              <w:spacing w:line="170" w:lineRule="exact" w:before="130" w:after="0"/>
              <w:ind w:left="78" w:right="288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 xml:space="preserve">List the name or citation of trials and dates in progress, key endpoints, and number of patients; provide </w:t>
            </w: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>links to ClinicalTrials.gov or PubMed</w:t>
            </w:r>
          </w:p>
          <w:p>
            <w:pPr>
              <w:autoSpaceDN w:val="0"/>
              <w:autoSpaceDE w:val="0"/>
              <w:widowControl/>
              <w:spacing w:line="170" w:lineRule="exact" w:before="140" w:after="0"/>
              <w:ind w:left="78" w:right="432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 xml:space="preserve">Describe the routes of administration for the unapproved product that were used in clinical trials and </w:t>
            </w: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>anticipated to be approved by the FDA</w:t>
            </w:r>
          </w:p>
          <w:p>
            <w:pPr>
              <w:autoSpaceDN w:val="0"/>
              <w:autoSpaceDE w:val="0"/>
              <w:widowControl/>
              <w:spacing w:line="170" w:lineRule="exact" w:before="138" w:after="0"/>
              <w:ind w:left="78" w:right="144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 xml:space="preserve">Describe the location or health care setting where the product was administered in clinical trials and </w:t>
            </w: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 xml:space="preserve">anticipated to be given when approved by the FDA. Mention whether health care professionals/location </w:t>
            </w: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>require specific certifications to administer the product</w:t>
            </w:r>
          </w:p>
          <w:p>
            <w:pPr>
              <w:autoSpaceDN w:val="0"/>
              <w:autoSpaceDE w:val="0"/>
              <w:widowControl/>
              <w:spacing w:line="192" w:lineRule="exact" w:before="204" w:after="0"/>
              <w:ind w:left="78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>Express results per 100,000 (e.g., 1 per 100,000 women, 5 per 100,000 live births, 10 per 100,000 per year)</w:t>
            </w:r>
          </w:p>
          <w:p>
            <w:pPr>
              <w:autoSpaceDN w:val="0"/>
              <w:autoSpaceDE w:val="0"/>
              <w:widowControl/>
              <w:spacing w:line="194" w:lineRule="exact" w:before="386" w:after="0"/>
              <w:ind w:left="78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>Express results per 100,000 (e.g., 1 per 100,000 women, 5 per 100,000 live births, 10 per 100,000 per year)</w:t>
            </w:r>
          </w:p>
          <w:p>
            <w:pPr>
              <w:autoSpaceDN w:val="0"/>
              <w:autoSpaceDE w:val="0"/>
              <w:widowControl/>
              <w:spacing w:line="170" w:lineRule="exact" w:before="314" w:after="0"/>
              <w:ind w:left="78" w:right="144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 xml:space="preserve">Indicate the anticipated annual cost per patient of the product in terms of price ranges or corridors rather </w:t>
            </w: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>than an absolute dollar figure. For example, indicate one of the following:</w:t>
            </w:r>
          </w:p>
          <w:p>
            <w:pPr>
              <w:autoSpaceDN w:val="0"/>
              <w:autoSpaceDE w:val="0"/>
              <w:widowControl/>
              <w:spacing w:line="170" w:lineRule="exact" w:before="72" w:after="0"/>
              <w:ind w:left="78" w:right="288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 xml:space="preserve">[ ] ≥$1,000,000 </w:t>
            </w:r>
            <w:r>
              <w:br/>
            </w: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 xml:space="preserve">[ ] $500,000 to $999,999 </w:t>
            </w:r>
            <w:r>
              <w:br/>
            </w: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 xml:space="preserve">[ ] $300,000 to $499,999 </w:t>
            </w:r>
            <w:r>
              <w:br/>
            </w: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 xml:space="preserve">[ ] $100,000 to $299,999 </w:t>
            </w:r>
            <w:r>
              <w:br/>
            </w: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 xml:space="preserve">[ ] $50,000 to $99,999 </w:t>
            </w:r>
            <w:r>
              <w:br/>
            </w: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 xml:space="preserve">[ ] $10,000 to $49,999 </w:t>
            </w:r>
            <w:r>
              <w:br/>
            </w: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 xml:space="preserve">[ ] ≤$9,999 </w:t>
            </w:r>
            <w:r>
              <w:br/>
            </w: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>Alternatively, or in addition, indicate any other information that might help HCDMs consider the antici-</w:t>
            </w: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>pated cost impact of the unapproved product</w:t>
            </w:r>
          </w:p>
          <w:p>
            <w:pPr>
              <w:autoSpaceDN w:val="0"/>
              <w:autoSpaceDE w:val="0"/>
              <w:widowControl/>
              <w:spacing w:line="192" w:lineRule="exact" w:before="112" w:after="0"/>
              <w:ind w:left="78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>Describe potential plans for patient support programs</w:t>
            </w:r>
          </w:p>
          <w:p>
            <w:pPr>
              <w:autoSpaceDN w:val="0"/>
              <w:autoSpaceDE w:val="0"/>
              <w:widowControl/>
              <w:spacing w:line="192" w:lineRule="exact" w:before="118" w:after="0"/>
              <w:ind w:left="78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>Describe anticipated distribution plans for product (e.g., limited distribution)</w:t>
            </w:r>
          </w:p>
        </w:tc>
      </w:tr>
    </w:tbl>
    <w:p>
      <w:pPr>
        <w:autoSpaceDN w:val="0"/>
        <w:autoSpaceDE w:val="0"/>
        <w:widowControl/>
        <w:spacing w:line="188" w:lineRule="exact" w:before="280" w:after="0"/>
        <w:ind w:left="710" w:right="0" w:firstLine="0"/>
        <w:jc w:val="left"/>
      </w:pPr>
      <w:r>
        <w:rPr>
          <w:rFonts w:ascii="Asap" w:hAnsi="Asap" w:eastAsia="Asap"/>
          <w:b w:val="0"/>
          <w:i/>
          <w:color w:val="000000"/>
          <w:sz w:val="15"/>
        </w:rPr>
        <w:t xml:space="preserve">BLA = biologics license application; FDA = U.S. Food and Drug Administration; HCDM = health care decision-maker; NDA = new drug application; </w:t>
      </w:r>
    </w:p>
    <w:p>
      <w:pPr>
        <w:autoSpaceDN w:val="0"/>
        <w:autoSpaceDE w:val="0"/>
        <w:widowControl/>
        <w:spacing w:line="188" w:lineRule="exact" w:before="0" w:after="0"/>
        <w:ind w:left="710" w:right="0" w:firstLine="0"/>
        <w:jc w:val="left"/>
      </w:pPr>
      <w:r>
        <w:rPr>
          <w:rFonts w:ascii="Asap" w:hAnsi="Asap" w:eastAsia="Asap"/>
          <w:b w:val="0"/>
          <w:i/>
          <w:color w:val="000000"/>
          <w:sz w:val="15"/>
        </w:rPr>
        <w:t>U.S. = United States.</w:t>
      </w:r>
    </w:p>
    <w:p>
      <w:pPr>
        <w:autoSpaceDN w:val="0"/>
        <w:autoSpaceDE w:val="0"/>
        <w:widowControl/>
        <w:spacing w:line="186" w:lineRule="exact" w:before="2566" w:after="0"/>
        <w:ind w:left="740" w:right="0" w:firstLine="0"/>
        <w:jc w:val="left"/>
      </w:pPr>
      <w:r>
        <w:rPr>
          <w:rFonts w:ascii="Asap" w:hAnsi="Asap" w:eastAsia="Asap"/>
          <w:b/>
          <w:i w:val="0"/>
          <w:color w:val="14377D"/>
          <w:sz w:val="14"/>
        </w:rPr>
        <w:t>JMCP</w:t>
      </w:r>
      <w:r>
        <w:rPr>
          <w:rFonts w:ascii="Asap" w:hAnsi="Asap" w:eastAsia="Asap"/>
          <w:b w:val="0"/>
          <w:i w:val="0"/>
          <w:color w:val="14377D"/>
          <w:sz w:val="14"/>
        </w:rPr>
        <w:t>.org</w:t>
      </w:r>
      <w:r>
        <w:rPr>
          <w:rFonts w:ascii="Asap" w:hAnsi="Asap" w:eastAsia="Asap"/>
          <w:b w:val="0"/>
          <w:i w:val="0"/>
          <w:color w:val="474C55"/>
          <w:sz w:val="14"/>
        </w:rPr>
        <w:t>|</w:t>
      </w:r>
      <w:r>
        <w:rPr>
          <w:rFonts w:ascii="Asap" w:hAnsi="Asap" w:eastAsia="Asap"/>
          <w:b w:val="0"/>
          <w:i w:val="0"/>
          <w:color w:val="474C55"/>
          <w:sz w:val="14"/>
        </w:rPr>
        <w:t>April 2024</w:t>
      </w:r>
      <w:r>
        <w:rPr>
          <w:rFonts w:ascii="Asap" w:hAnsi="Asap" w:eastAsia="Asap"/>
          <w:b w:val="0"/>
          <w:i w:val="0"/>
          <w:color w:val="474C55"/>
          <w:sz w:val="14"/>
        </w:rPr>
        <w:t>|</w:t>
      </w:r>
      <w:r>
        <w:rPr>
          <w:rFonts w:ascii="Asap" w:hAnsi="Asap" w:eastAsia="Asap"/>
          <w:b w:val="0"/>
          <w:i w:val="0"/>
          <w:color w:val="474C55"/>
          <w:sz w:val="14"/>
        </w:rPr>
        <w:t>Vol. 30, No. 4-B</w:t>
      </w:r>
    </w:p>
    <w:p>
      <w:pPr>
        <w:sectPr>
          <w:pgSz w:w="11880" w:h="15660"/>
          <w:pgMar w:top="360" w:right="700" w:bottom="266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226.0" w:type="dxa"/>
      </w:tblPr>
      <w:tblGrid>
        <w:gridCol w:w="4873"/>
        <w:gridCol w:w="4873"/>
      </w:tblGrid>
      <w:tr>
        <w:trPr>
          <w:trHeight w:hRule="exact" w:val="362"/>
        </w:trPr>
        <w:tc>
          <w:tcPr>
            <w:tcW w:type="dxa" w:w="586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4" w:after="0"/>
              <w:ind w:left="0" w:right="90" w:firstLine="0"/>
              <w:jc w:val="right"/>
            </w:pPr>
            <w:r>
              <w:rPr>
                <w:rFonts w:ascii="Asap" w:hAnsi="Asap" w:eastAsia="Asap"/>
                <w:b/>
                <w:i w:val="0"/>
                <w:color w:val="474C55"/>
                <w:sz w:val="18"/>
              </w:rPr>
              <w:t>AMCP FORMAT 5.0</w:t>
            </w:r>
          </w:p>
        </w:tc>
        <w:tc>
          <w:tcPr>
            <w:tcW w:type="dxa" w:w="1094"/>
            <w:tcBorders/>
            <w:shd w:fill="6b146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72" w:after="0"/>
              <w:ind w:left="90" w:right="0" w:firstLine="0"/>
              <w:jc w:val="left"/>
            </w:pPr>
            <w:r>
              <w:rPr>
                <w:rFonts w:ascii="Asap" w:hAnsi="Asap" w:eastAsia="Asap"/>
                <w:b/>
                <w:i w:val="0"/>
                <w:color w:val="FFFFFF"/>
                <w:sz w:val="18"/>
              </w:rPr>
              <w:t>21</w:t>
            </w:r>
          </w:p>
        </w:tc>
      </w:tr>
    </w:tbl>
    <w:p>
      <w:pPr>
        <w:autoSpaceDN w:val="0"/>
        <w:autoSpaceDE w:val="0"/>
        <w:widowControl/>
        <w:spacing w:line="14" w:lineRule="exact" w:before="0" w:after="1018"/>
        <w:ind w:left="0" w:right="0"/>
      </w:pPr>
    </w:p>
    <w:p>
      <w:pPr>
        <w:sectPr>
          <w:pgSz w:w="11880" w:h="15660"/>
          <w:pgMar w:top="360" w:right="0" w:bottom="266" w:left="69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360" w:lineRule="exact" w:before="64" w:after="0"/>
        <w:ind w:left="4" w:right="864" w:firstLine="0"/>
        <w:jc w:val="left"/>
      </w:pPr>
      <w:r>
        <w:rPr>
          <w:rFonts w:ascii="Asap" w:hAnsi="Asap" w:eastAsia="Asap"/>
          <w:b/>
          <w:i w:val="0"/>
          <w:color w:val="6C146B"/>
          <w:sz w:val="32"/>
        </w:rPr>
        <w:t xml:space="preserve">2.0A Product Information and </w:t>
      </w:r>
      <w:r>
        <w:rPr>
          <w:rFonts w:ascii="Asap" w:hAnsi="Asap" w:eastAsia="Asap"/>
          <w:b/>
          <w:i w:val="0"/>
          <w:color w:val="6C146B"/>
          <w:sz w:val="32"/>
        </w:rPr>
        <w:t>Disease Description</w:t>
      </w:r>
    </w:p>
    <w:p>
      <w:pPr>
        <w:autoSpaceDN w:val="0"/>
        <w:tabs>
          <w:tab w:pos="724" w:val="left"/>
        </w:tabs>
        <w:autoSpaceDE w:val="0"/>
        <w:widowControl/>
        <w:spacing w:line="244" w:lineRule="exact" w:before="324" w:after="0"/>
        <w:ind w:left="4" w:right="144" w:firstLine="0"/>
        <w:jc w:val="left"/>
      </w:pPr>
      <w:r>
        <w:rPr>
          <w:rFonts w:ascii="Asap" w:hAnsi="Asap" w:eastAsia="Asap"/>
          <w:b/>
          <w:i w:val="0"/>
          <w:color w:val="14377D"/>
          <w:sz w:val="20"/>
        </w:rPr>
        <w:t xml:space="preserve">2.1A </w:t>
      </w:r>
      <w:r>
        <w:tab/>
      </w:r>
      <w:r>
        <w:rPr>
          <w:rFonts w:ascii="Asap" w:hAnsi="Asap" w:eastAsia="Asap"/>
          <w:b/>
          <w:i w:val="0"/>
          <w:color w:val="14377D"/>
          <w:sz w:val="20"/>
        </w:rPr>
        <w:t xml:space="preserve">PRODUCT INFORMATION 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The recommended length of Section 2.1A is five pages </w:t>
      </w:r>
      <w:r>
        <w:rPr>
          <w:rFonts w:ascii="Lora" w:hAnsi="Lora" w:eastAsia="Lora"/>
          <w:b w:val="0"/>
          <w:i w:val="0"/>
          <w:color w:val="000000"/>
          <w:sz w:val="18"/>
        </w:rPr>
        <w:t>(maximum 10).</w:t>
      </w:r>
    </w:p>
    <w:p>
      <w:pPr>
        <w:autoSpaceDN w:val="0"/>
        <w:autoSpaceDE w:val="0"/>
        <w:widowControl/>
        <w:spacing w:line="245" w:lineRule="auto" w:before="0" w:after="0"/>
        <w:ind w:left="4" w:right="144" w:firstLine="18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Manufacturers are encouraged to provide as much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detailed, factual, and objective information about the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unapproved product as possible, without making claims,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characterizations, or conclusions regarding safety and </w:t>
      </w:r>
      <w:r>
        <w:rPr>
          <w:rFonts w:ascii="Lora" w:hAnsi="Lora" w:eastAsia="Lora"/>
          <w:b w:val="0"/>
          <w:i w:val="0"/>
          <w:color w:val="000000"/>
          <w:sz w:val="18"/>
        </w:rPr>
        <w:t>effectiveness. It is important to acknowledge that informa-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tion may or may not be available depending on the phase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of the product development and life cycle (e.g., phase 2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vs. phase 3). If information is not yet available or cannot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be disclosed per the manufacturer’s discretion, indicate </w:t>
      </w:r>
      <w:r>
        <w:rPr>
          <w:rFonts w:ascii="Lora" w:hAnsi="Lora" w:eastAsia="Lora"/>
          <w:b w:val="0"/>
          <w:i w:val="0"/>
          <w:color w:val="000000"/>
          <w:sz w:val="18"/>
        </w:rPr>
        <w:t>“N/A.” As information becomes available for communica-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tion, the manufacturer should update the dossier regularly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and revise the corresponding information in Section 1.0A </w:t>
      </w:r>
      <w:r>
        <w:rPr>
          <w:rFonts w:ascii="Lora" w:hAnsi="Lora" w:eastAsia="Lora"/>
          <w:b w:val="0"/>
          <w:i w:val="0"/>
          <w:color w:val="000000"/>
          <w:sz w:val="18"/>
        </w:rPr>
        <w:t>Highlights and Overview.</w:t>
      </w:r>
    </w:p>
    <w:p>
      <w:pPr>
        <w:autoSpaceDN w:val="0"/>
        <w:tabs>
          <w:tab w:pos="184" w:val="left"/>
          <w:tab w:pos="364" w:val="left"/>
        </w:tabs>
        <w:autoSpaceDE w:val="0"/>
        <w:widowControl/>
        <w:spacing w:line="245" w:lineRule="auto" w:before="0" w:after="0"/>
        <w:ind w:left="4" w:right="144" w:firstLine="0"/>
        <w:jc w:val="left"/>
      </w:pP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The following are the components that may be included </w:t>
      </w:r>
      <w:r>
        <w:rPr>
          <w:rFonts w:ascii="Lora" w:hAnsi="Lora" w:eastAsia="Lora"/>
          <w:b w:val="0"/>
          <w:i w:val="0"/>
          <w:color w:val="000000"/>
          <w:sz w:val="18"/>
        </w:rPr>
        <w:t>(per FDA Final Guidance,</w:t>
      </w:r>
      <w:r>
        <w:rPr>
          <w:w w:val="104.94000434875488"/>
          <w:rFonts w:ascii="Lora" w:hAnsi="Lora" w:eastAsia="Lora"/>
          <w:b w:val="0"/>
          <w:i w:val="0"/>
          <w:color w:val="000000"/>
          <w:sz w:val="10"/>
        </w:rPr>
        <w:t>3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 the PIE Act,</w:t>
      </w:r>
      <w:r>
        <w:rPr>
          <w:w w:val="104.94000434875488"/>
          <w:rFonts w:ascii="Lora" w:hAnsi="Lora" w:eastAsia="Lora"/>
          <w:b w:val="0"/>
          <w:i w:val="0"/>
          <w:color w:val="000000"/>
          <w:sz w:val="10"/>
        </w:rPr>
        <w:t>4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 and AMCP Format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recommendation): </w:t>
      </w:r>
      <w:r>
        <w:br/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1. A clear statement that the unapproved product is not </w:t>
      </w:r>
      <w:r>
        <w:tab/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FDA approved and that the safety or effectiveness of the </w:t>
      </w:r>
      <w:r>
        <w:tab/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unapproved product has not been established.</w:t>
      </w:r>
    </w:p>
    <w:p>
      <w:pPr>
        <w:autoSpaceDN w:val="0"/>
        <w:autoSpaceDE w:val="0"/>
        <w:widowControl/>
        <w:spacing w:line="245" w:lineRule="auto" w:before="0" w:after="0"/>
        <w:ind w:left="364" w:right="144" w:hanging="18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>2. Information related to the phase of product develop-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ment (e.g., the status of any studies in which a product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is being investigated and how it relates to the overall </w:t>
      </w:r>
      <w:r>
        <w:rPr>
          <w:rFonts w:ascii="Lora" w:hAnsi="Lora" w:eastAsia="Lora"/>
          <w:b w:val="0"/>
          <w:i w:val="0"/>
          <w:color w:val="000000"/>
          <w:sz w:val="18"/>
        </w:rPr>
        <w:t>product development plan, whether a marketing appli-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cation for the product has been submitted to the FDA, </w:t>
      </w:r>
    </w:p>
    <w:p>
      <w:pPr>
        <w:sectPr>
          <w:type w:val="continuous"/>
          <w:pgSz w:w="11880" w:h="15660"/>
          <w:pgMar w:top="360" w:right="0" w:bottom="266" w:left="694" w:header="720" w:footer="720" w:gutter="0"/>
          <w:cols w:num="2" w:equalWidth="0">
            <w:col w:w="5248" w:space="0"/>
            <w:col w:w="5938" w:space="0"/>
          </w:cols>
          <w:docGrid w:linePitch="360"/>
        </w:sectPr>
      </w:pPr>
    </w:p>
    <w:p>
      <w:pPr>
        <w:autoSpaceDN w:val="0"/>
        <w:autoSpaceDE w:val="0"/>
        <w:widowControl/>
        <w:spacing w:line="223" w:lineRule="auto" w:before="0" w:after="0"/>
        <w:ind w:left="516" w:right="0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>or when such a submission is planned).</w:t>
      </w:r>
    </w:p>
    <w:p>
      <w:pPr>
        <w:autoSpaceDN w:val="0"/>
        <w:tabs>
          <w:tab w:pos="516" w:val="left"/>
        </w:tabs>
        <w:autoSpaceDE w:val="0"/>
        <w:widowControl/>
        <w:spacing w:line="245" w:lineRule="auto" w:before="0" w:after="0"/>
        <w:ind w:left="336" w:right="720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>3. Product information (e.g., drug class, device descrip-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tion, features).</w:t>
      </w:r>
    </w:p>
    <w:p>
      <w:pPr>
        <w:autoSpaceDN w:val="0"/>
        <w:tabs>
          <w:tab w:pos="696" w:val="left"/>
        </w:tabs>
        <w:autoSpaceDE w:val="0"/>
        <w:widowControl/>
        <w:spacing w:line="245" w:lineRule="auto" w:before="0" w:after="0"/>
        <w:ind w:left="516" w:right="576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• Generic, brand, chemical, or other given name of the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unapproved product.</w:t>
      </w:r>
    </w:p>
    <w:p>
      <w:pPr>
        <w:autoSpaceDN w:val="0"/>
        <w:autoSpaceDE w:val="0"/>
        <w:widowControl/>
        <w:spacing w:line="223" w:lineRule="auto" w:before="0" w:after="0"/>
        <w:ind w:left="516" w:right="0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>• Proposed mechanism of action.</w:t>
      </w:r>
    </w:p>
    <w:p>
      <w:pPr>
        <w:autoSpaceDN w:val="0"/>
        <w:tabs>
          <w:tab w:pos="696" w:val="left"/>
        </w:tabs>
        <w:autoSpaceDE w:val="0"/>
        <w:widowControl/>
        <w:spacing w:line="245" w:lineRule="auto" w:before="0" w:after="0"/>
        <w:ind w:left="516" w:right="720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>• Pharmacology, pharmacokinetic, and pharmacody-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namic information.</w:t>
      </w:r>
    </w:p>
    <w:p>
      <w:pPr>
        <w:autoSpaceDN w:val="0"/>
        <w:tabs>
          <w:tab w:pos="696" w:val="left"/>
          <w:tab w:pos="2044" w:val="left"/>
          <w:tab w:pos="3356" w:val="left"/>
          <w:tab w:pos="3980" w:val="left"/>
        </w:tabs>
        <w:autoSpaceDE w:val="0"/>
        <w:widowControl/>
        <w:spacing w:line="245" w:lineRule="auto" w:before="0" w:after="0"/>
        <w:ind w:left="516" w:right="576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• Drug/drug,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drug/food,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and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drug/disease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interactions.</w:t>
      </w:r>
    </w:p>
    <w:p>
      <w:pPr>
        <w:autoSpaceDN w:val="0"/>
        <w:tabs>
          <w:tab w:pos="696" w:val="left"/>
        </w:tabs>
        <w:autoSpaceDE w:val="0"/>
        <w:widowControl/>
        <w:spacing w:line="245" w:lineRule="auto" w:before="0" w:after="0"/>
        <w:ind w:left="516" w:right="576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• Dosing and administration information (usually from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clinical trials).</w:t>
      </w:r>
    </w:p>
    <w:p>
      <w:pPr>
        <w:autoSpaceDN w:val="0"/>
        <w:autoSpaceDE w:val="0"/>
        <w:widowControl/>
        <w:spacing w:line="223" w:lineRule="auto" w:before="0" w:after="0"/>
        <w:ind w:left="516" w:right="0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>• Anticipated access and distribution information.</w:t>
      </w:r>
    </w:p>
    <w:p>
      <w:pPr>
        <w:autoSpaceDN w:val="0"/>
        <w:autoSpaceDE w:val="0"/>
        <w:widowControl/>
        <w:spacing w:line="245" w:lineRule="auto" w:before="0" w:after="0"/>
        <w:ind w:left="516" w:right="576" w:hanging="18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4. Information about the indications being sought, such as </w:t>
      </w:r>
      <w:r>
        <w:rPr>
          <w:rFonts w:ascii="Lora" w:hAnsi="Lora" w:eastAsia="Lora"/>
          <w:b w:val="0"/>
          <w:i w:val="0"/>
          <w:color w:val="000000"/>
          <w:sz w:val="18"/>
        </w:rPr>
        <w:t>information from the clinical study protocols about end-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points being studied and the patient population under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investigation (e.g., number of participants enrolled, </w:t>
      </w:r>
      <w:r>
        <w:rPr>
          <w:rFonts w:ascii="Lora" w:hAnsi="Lora" w:eastAsia="Lora"/>
          <w:b w:val="0"/>
          <w:i w:val="0"/>
          <w:color w:val="000000"/>
          <w:sz w:val="18"/>
        </w:rPr>
        <w:t>subject enrollment criteria, subject demographics).</w:t>
      </w:r>
    </w:p>
    <w:p>
      <w:pPr>
        <w:autoSpaceDN w:val="0"/>
        <w:autoSpaceDE w:val="0"/>
        <w:widowControl/>
        <w:spacing w:line="221" w:lineRule="auto" w:before="0" w:after="0"/>
        <w:ind w:left="336" w:right="0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>5. Product pricing information.</w:t>
      </w:r>
    </w:p>
    <w:p>
      <w:pPr>
        <w:autoSpaceDN w:val="0"/>
        <w:tabs>
          <w:tab w:pos="516" w:val="left"/>
        </w:tabs>
        <w:autoSpaceDE w:val="0"/>
        <w:widowControl/>
        <w:spacing w:line="245" w:lineRule="auto" w:before="0" w:after="0"/>
        <w:ind w:left="336" w:right="576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>6. Anticipated patient utilization projections (e.g., epide-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miological data projection on incidence and prevalence).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7. Anticipated product-related programs or services (e.g.,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patient support programs).</w:t>
      </w:r>
    </w:p>
    <w:p>
      <w:pPr>
        <w:autoSpaceDN w:val="0"/>
        <w:autoSpaceDE w:val="0"/>
        <w:widowControl/>
        <w:spacing w:line="245" w:lineRule="auto" w:before="0" w:after="0"/>
        <w:ind w:left="516" w:right="694" w:hanging="180"/>
        <w:jc w:val="both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8. Information regarding FDA expedited approval, priority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review, breakthrough therapy, accelerated approval or </w:t>
      </w:r>
      <w:r>
        <w:rPr>
          <w:rFonts w:ascii="Lora" w:hAnsi="Lora" w:eastAsia="Lora"/>
          <w:b w:val="0"/>
          <w:i w:val="0"/>
          <w:color w:val="000000"/>
          <w:sz w:val="18"/>
        </w:rPr>
        <w:t>fast track designation.</w:t>
      </w:r>
    </w:p>
    <w:p>
      <w:pPr>
        <w:autoSpaceDN w:val="0"/>
        <w:tabs>
          <w:tab w:pos="336" w:val="left"/>
          <w:tab w:pos="516" w:val="left"/>
        </w:tabs>
        <w:autoSpaceDE w:val="0"/>
        <w:widowControl/>
        <w:spacing w:line="245" w:lineRule="auto" w:before="0" w:after="442"/>
        <w:ind w:left="156" w:right="576" w:firstLine="0"/>
        <w:jc w:val="left"/>
      </w:pP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9. Other factual information per the manufacturer’s </w:t>
      </w:r>
      <w:r>
        <w:tab/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discretion </w:t>
      </w:r>
      <w:r>
        <w:br/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For DTx products, complete the Table of Highlights for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Unapproved Products (see Table 1.1A) in addition to the </w:t>
      </w:r>
      <w:r>
        <w:rPr>
          <w:rFonts w:ascii="Lora" w:hAnsi="Lora" w:eastAsia="Lora"/>
          <w:b w:val="0"/>
          <w:i w:val="0"/>
          <w:color w:val="000000"/>
          <w:sz w:val="18"/>
        </w:rPr>
        <w:t>Table of Highlights for Digital Therapeutics (Table 2.1.1A).</w:t>
      </w:r>
    </w:p>
    <w:p>
      <w:pPr>
        <w:sectPr>
          <w:type w:val="nextColumn"/>
          <w:pgSz w:w="11880" w:h="15660"/>
          <w:pgMar w:top="360" w:right="0" w:bottom="266" w:left="694" w:header="720" w:footer="720" w:gutter="0"/>
          <w:cols w:num="2" w:equalWidth="0">
            <w:col w:w="5248" w:space="0"/>
            <w:col w:w="5938" w:space="0"/>
          </w:cols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.999999999999943" w:type="dxa"/>
      </w:tblPr>
      <w:tblGrid>
        <w:gridCol w:w="3249"/>
        <w:gridCol w:w="3249"/>
        <w:gridCol w:w="3249"/>
      </w:tblGrid>
      <w:tr>
        <w:trPr>
          <w:trHeight w:hRule="exact" w:val="368"/>
        </w:trPr>
        <w:tc>
          <w:tcPr>
            <w:tcW w:type="dxa" w:w="2324"/>
            <w:tcBorders>
              <w:top w:sz="3.5999999046325684" w:val="single" w:color="#474B55"/>
              <w:bottom w:sz="16.0" w:val="single" w:color="#474B55"/>
            </w:tcBorders>
            <w:shd w:fill="474b55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26" w:after="0"/>
              <w:ind w:left="516" w:right="0" w:firstLine="0"/>
              <w:jc w:val="left"/>
            </w:pPr>
            <w:r>
              <w:rPr>
                <w:rFonts w:ascii="Asap" w:hAnsi="Asap" w:eastAsia="Asap"/>
                <w:b/>
                <w:i w:val="0"/>
                <w:color w:val="FFFFFF"/>
                <w:sz w:val="20"/>
              </w:rPr>
              <w:t>TABLE 2.1.1A</w:t>
            </w:r>
          </w:p>
        </w:tc>
        <w:tc>
          <w:tcPr>
            <w:tcW w:type="dxa" w:w="8136"/>
            <w:gridSpan w:val="2"/>
            <w:tcBorders>
              <w:top w:sz="3.5999999046325684" w:val="single" w:color="#474B55"/>
              <w:bottom w:sz="16.0" w:val="single" w:color="#474B55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0" w:lineRule="exact" w:before="58" w:after="0"/>
              <w:ind w:left="116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14377D"/>
                <w:sz w:val="20"/>
              </w:rPr>
              <w:t>TABLE OF HIGHLIGHTS FOR DIGITAL THERAPEUTICS</w:t>
            </w:r>
          </w:p>
        </w:tc>
      </w:tr>
      <w:tr>
        <w:trPr>
          <w:trHeight w:hRule="exact" w:val="310"/>
        </w:trPr>
        <w:tc>
          <w:tcPr>
            <w:tcW w:type="dxa" w:w="3462"/>
            <w:gridSpan w:val="2"/>
            <w:tcBorders>
              <w:top w:sz="16.0" w:val="single" w:color="#474B55"/>
            </w:tcBorders>
            <w:shd w:fill="c6c8c7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2" w:lineRule="exact" w:before="40" w:after="0"/>
              <w:ind w:left="0" w:right="0" w:firstLine="0"/>
              <w:jc w:val="center"/>
            </w:pPr>
            <w:r>
              <w:rPr>
                <w:w w:val="102.46950387954712"/>
                <w:rFonts w:ascii="Asap" w:hAnsi="Asap" w:eastAsia="Asap"/>
                <w:b/>
                <w:i w:val="0"/>
                <w:color w:val="000000"/>
                <w:sz w:val="16"/>
              </w:rPr>
              <w:t>Type of Information</w:t>
            </w:r>
          </w:p>
        </w:tc>
        <w:tc>
          <w:tcPr>
            <w:tcW w:type="dxa" w:w="6998"/>
            <w:tcBorders>
              <w:top w:sz="16.0" w:val="single" w:color="#474B55"/>
            </w:tcBorders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0.0" w:type="dxa"/>
            </w:tblPr>
            <w:tblGrid>
              <w:gridCol w:w="6998"/>
            </w:tblGrid>
            <w:tr>
              <w:trPr>
                <w:trHeight w:hRule="exact" w:val="290"/>
              </w:trPr>
              <w:tc>
                <w:tcPr>
                  <w:tcW w:type="dxa" w:w="6958"/>
                  <w:tcBorders/>
                  <w:shd w:fill="c6c8c7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12" w:lineRule="exact" w:before="60" w:after="0"/>
                    <w:ind w:left="0" w:right="0" w:firstLine="0"/>
                    <w:jc w:val="center"/>
                  </w:pPr>
                  <w:r>
                    <w:rPr>
                      <w:w w:val="102.46950387954712"/>
                      <w:rFonts w:ascii="Asap" w:hAnsi="Asap" w:eastAsia="Asap"/>
                      <w:b/>
                      <w:i w:val="0"/>
                      <w:color w:val="000000"/>
                      <w:sz w:val="16"/>
                    </w:rPr>
                    <w:t>Description of Information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.999999999999943" w:type="dxa"/>
      </w:tblPr>
      <w:tblGrid>
        <w:gridCol w:w="4873"/>
        <w:gridCol w:w="4873"/>
      </w:tblGrid>
      <w:tr>
        <w:trPr>
          <w:trHeight w:hRule="exact" w:val="3206"/>
        </w:trPr>
        <w:tc>
          <w:tcPr>
            <w:tcW w:type="dxa" w:w="3484"/>
            <w:tcBorders>
              <w:top w:sz="4.0" w:val="single" w:color="#13377C"/>
              <w:bottom w:sz="16.0" w:val="single" w:color="#474B5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54" w:after="40"/>
              <w:ind w:left="100" w:right="0" w:firstLine="0"/>
              <w:jc w:val="left"/>
            </w:pPr>
            <w:r>
              <w:rPr>
                <w:rFonts w:ascii="Asap" w:hAnsi="Asap" w:eastAsia="Asap"/>
                <w:b/>
                <w:i w:val="0"/>
                <w:color w:val="000000"/>
                <w:sz w:val="16"/>
              </w:rPr>
              <w:t>Product version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0.0" w:type="dxa"/>
            </w:tblPr>
            <w:tblGrid>
              <w:gridCol w:w="3484"/>
            </w:tblGrid>
            <w:tr>
              <w:trPr>
                <w:trHeight w:hRule="exact" w:val="470"/>
              </w:trPr>
              <w:tc>
                <w:tcPr>
                  <w:tcW w:type="dxa" w:w="2420"/>
                  <w:tcBorders/>
                  <w:shd w:fill="eaeaf2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10" w:lineRule="exact" w:before="140" w:after="0"/>
                    <w:ind w:left="80" w:right="0" w:firstLine="0"/>
                    <w:jc w:val="left"/>
                  </w:pPr>
                  <w:r>
                    <w:rPr>
                      <w:rFonts w:ascii="Asap" w:hAnsi="Asap" w:eastAsia="Asap"/>
                      <w:b/>
                      <w:i w:val="0"/>
                      <w:color w:val="000000"/>
                      <w:sz w:val="16"/>
                    </w:rPr>
                    <w:t>Approval pathway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80" w:lineRule="exact" w:before="238" w:after="186"/>
              <w:ind w:left="100" w:right="288" w:firstLine="0"/>
              <w:jc w:val="left"/>
            </w:pPr>
            <w:r>
              <w:rPr>
                <w:rFonts w:ascii="Asap" w:hAnsi="Asap" w:eastAsia="Asap"/>
                <w:b/>
                <w:i w:val="0"/>
                <w:color w:val="000000"/>
                <w:sz w:val="16"/>
              </w:rPr>
              <w:t xml:space="preserve">Intended environment of therapy delivery </w:t>
            </w:r>
            <w:r>
              <w:rPr>
                <w:rFonts w:ascii="Asap" w:hAnsi="Asap" w:eastAsia="Asap"/>
                <w:b/>
                <w:i w:val="0"/>
                <w:color w:val="000000"/>
                <w:sz w:val="16"/>
              </w:rPr>
              <w:t>and ongoing use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0.0" w:type="dxa"/>
            </w:tblPr>
            <w:tblGrid>
              <w:gridCol w:w="3484"/>
            </w:tblGrid>
            <w:tr>
              <w:trPr>
                <w:trHeight w:hRule="exact" w:val="1026"/>
              </w:trPr>
              <w:tc>
                <w:tcPr>
                  <w:tcW w:type="dxa" w:w="2900"/>
                  <w:tcBorders/>
                  <w:shd w:fill="eaeaf2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10" w:lineRule="exact" w:before="418" w:after="0"/>
                    <w:ind w:left="80" w:right="0" w:firstLine="0"/>
                    <w:jc w:val="left"/>
                  </w:pPr>
                  <w:r>
                    <w:rPr>
                      <w:rFonts w:ascii="Asap" w:hAnsi="Asap" w:eastAsia="Asap"/>
                      <w:b/>
                      <w:i w:val="0"/>
                      <w:color w:val="000000"/>
                      <w:sz w:val="16"/>
                    </w:rPr>
                    <w:t>Relationship to other therapies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10" w:lineRule="exact" w:before="60" w:after="20"/>
              <w:ind w:left="100" w:right="0" w:firstLine="0"/>
              <w:jc w:val="left"/>
            </w:pPr>
            <w:r>
              <w:rPr>
                <w:rFonts w:ascii="Asap" w:hAnsi="Asap" w:eastAsia="Asap"/>
                <w:b/>
                <w:i w:val="0"/>
                <w:color w:val="000000"/>
                <w:sz w:val="16"/>
              </w:rPr>
              <w:t>Language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0.0" w:type="dxa"/>
            </w:tblPr>
            <w:tblGrid>
              <w:gridCol w:w="3484"/>
            </w:tblGrid>
            <w:tr>
              <w:trPr>
                <w:trHeight w:hRule="exact" w:val="288"/>
              </w:trPr>
              <w:tc>
                <w:tcPr>
                  <w:tcW w:type="dxa" w:w="3200"/>
                  <w:tcBorders/>
                  <w:shd w:fill="eaeaf2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10" w:lineRule="exact" w:before="60" w:after="0"/>
                    <w:ind w:left="80" w:right="0" w:firstLine="0"/>
                    <w:jc w:val="left"/>
                  </w:pPr>
                  <w:r>
                    <w:rPr>
                      <w:rFonts w:ascii="Asap" w:hAnsi="Asap" w:eastAsia="Asap"/>
                      <w:b/>
                      <w:i w:val="0"/>
                      <w:color w:val="000000"/>
                      <w:sz w:val="16"/>
                    </w:rPr>
                    <w:t>Considerations for specific populations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6976"/>
            <w:tcBorders>
              <w:top w:sz="4.0" w:val="single" w:color="#13377C"/>
              <w:bottom w:sz="16.0" w:val="single" w:color="#474B5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2" w:after="0"/>
              <w:ind w:left="78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>• Include version of application that the dossier applies to</w:t>
            </w:r>
          </w:p>
          <w:p>
            <w:pPr>
              <w:autoSpaceDN w:val="0"/>
              <w:tabs>
                <w:tab w:pos="258" w:val="left"/>
              </w:tabs>
              <w:autoSpaceDE w:val="0"/>
              <w:widowControl/>
              <w:spacing w:line="170" w:lineRule="exact" w:before="136" w:after="0"/>
              <w:ind w:left="78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 xml:space="preserve">• FDA clearance, class II device, predicates based on the desktop app now transferred to the web, </w:t>
            </w:r>
            <w:r>
              <w:tab/>
            </w: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>etc.</w:t>
            </w:r>
          </w:p>
          <w:p>
            <w:pPr>
              <w:autoSpaceDN w:val="0"/>
              <w:autoSpaceDE w:val="0"/>
              <w:widowControl/>
              <w:spacing w:line="242" w:lineRule="exact" w:before="58" w:after="0"/>
              <w:ind w:left="78" w:right="3168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>• Patient setting (home, work, school)</w:t>
            </w:r>
            <w:r>
              <w:br/>
            </w: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>• Health care setting</w:t>
            </w:r>
            <w:r>
              <w:br/>
            </w: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>• Institutional setting (nursing home, long-term care)</w:t>
            </w:r>
          </w:p>
          <w:p>
            <w:pPr>
              <w:autoSpaceDN w:val="0"/>
              <w:autoSpaceDE w:val="0"/>
              <w:widowControl/>
              <w:spacing w:line="242" w:lineRule="exact" w:before="58" w:after="0"/>
              <w:ind w:left="78" w:right="3744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>• Stand alone</w:t>
            </w:r>
            <w:r>
              <w:br/>
            </w: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>• Add-on therapy to standard of care</w:t>
            </w:r>
            <w:r>
              <w:br/>
            </w: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>• Replaces existing therapy</w:t>
            </w:r>
            <w:r>
              <w:br/>
            </w: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>• Co-prescribed with pharmacologic therapy</w:t>
            </w:r>
          </w:p>
          <w:p>
            <w:pPr>
              <w:autoSpaceDN w:val="0"/>
              <w:autoSpaceDE w:val="0"/>
              <w:widowControl/>
              <w:spacing w:line="192" w:lineRule="exact" w:before="112" w:after="0"/>
              <w:ind w:left="78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>• Languages in which the product is available</w:t>
            </w:r>
          </w:p>
          <w:p>
            <w:pPr>
              <w:autoSpaceDN w:val="0"/>
              <w:autoSpaceDE w:val="0"/>
              <w:widowControl/>
              <w:spacing w:line="192" w:lineRule="exact" w:before="118" w:after="0"/>
              <w:ind w:left="78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>• Additional information on cultural, disability, age, health or digital literacy requirements</w:t>
            </w:r>
          </w:p>
        </w:tc>
      </w:tr>
    </w:tbl>
    <w:p>
      <w:pPr>
        <w:autoSpaceDN w:val="0"/>
        <w:autoSpaceDE w:val="0"/>
        <w:widowControl/>
        <w:spacing w:line="186" w:lineRule="exact" w:before="1016" w:after="0"/>
        <w:ind w:left="0" w:right="742" w:firstLine="0"/>
        <w:jc w:val="right"/>
      </w:pPr>
      <w:r>
        <w:rPr>
          <w:rFonts w:ascii="Asap" w:hAnsi="Asap" w:eastAsia="Asap"/>
          <w:b w:val="0"/>
          <w:i w:val="0"/>
          <w:color w:val="474C55"/>
          <w:sz w:val="14"/>
        </w:rPr>
        <w:t>Vol. 30, No. 4-b</w:t>
      </w:r>
      <w:r>
        <w:rPr>
          <w:rFonts w:ascii="Asap" w:hAnsi="Asap" w:eastAsia="Asap"/>
          <w:b w:val="0"/>
          <w:i w:val="0"/>
          <w:color w:val="474C55"/>
          <w:sz w:val="14"/>
        </w:rPr>
        <w:t>|</w:t>
      </w:r>
      <w:r>
        <w:rPr>
          <w:rFonts w:ascii="Asap" w:hAnsi="Asap" w:eastAsia="Asap"/>
          <w:b w:val="0"/>
          <w:i w:val="0"/>
          <w:color w:val="474C55"/>
          <w:sz w:val="14"/>
        </w:rPr>
        <w:t>April 2024</w:t>
      </w:r>
      <w:r>
        <w:rPr>
          <w:rFonts w:ascii="Asap" w:hAnsi="Asap" w:eastAsia="Asap"/>
          <w:b w:val="0"/>
          <w:i w:val="0"/>
          <w:color w:val="474C55"/>
          <w:sz w:val="14"/>
        </w:rPr>
        <w:t>|</w:t>
      </w:r>
      <w:r>
        <w:rPr>
          <w:rFonts w:ascii="Asap" w:hAnsi="Asap" w:eastAsia="Asap"/>
          <w:b/>
          <w:i w:val="0"/>
          <w:color w:val="14377D"/>
          <w:sz w:val="14"/>
        </w:rPr>
        <w:t xml:space="preserve"> JMCP</w:t>
      </w:r>
      <w:r>
        <w:rPr>
          <w:rFonts w:ascii="Asap" w:hAnsi="Asap" w:eastAsia="Asap"/>
          <w:b w:val="0"/>
          <w:i w:val="0"/>
          <w:color w:val="14377D"/>
          <w:sz w:val="14"/>
        </w:rPr>
        <w:t>.org</w:t>
      </w:r>
    </w:p>
    <w:p>
      <w:pPr>
        <w:sectPr>
          <w:type w:val="continuous"/>
          <w:pgSz w:w="11880" w:h="15660"/>
          <w:pgMar w:top="360" w:right="0" w:bottom="266" w:left="69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22.0" w:type="dxa"/>
      </w:tblPr>
      <w:tblGrid>
        <w:gridCol w:w="3263"/>
        <w:gridCol w:w="3263"/>
        <w:gridCol w:w="3263"/>
      </w:tblGrid>
      <w:tr>
        <w:trPr>
          <w:trHeight w:hRule="exact" w:val="1460"/>
        </w:trPr>
        <w:tc>
          <w:tcPr>
            <w:tcW w:type="dxa" w:w="372"/>
            <w:tcBorders>
              <w:bottom w:sz="16.0" w:val="single" w:color="#474B5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4" w:after="0"/>
              <w:ind w:left="0" w:right="0" w:firstLine="0"/>
              <w:jc w:val="center"/>
            </w:pPr>
            <w:r>
              <w:rPr>
                <w:rFonts w:ascii="Asap" w:hAnsi="Asap" w:eastAsia="Asap"/>
                <w:b/>
                <w:i w:val="0"/>
                <w:color w:val="FFFFFF"/>
                <w:sz w:val="18"/>
              </w:rPr>
              <w:t>22</w:t>
            </w:r>
          </w:p>
        </w:tc>
        <w:tc>
          <w:tcPr>
            <w:tcW w:type="dxa" w:w="3110"/>
            <w:tcBorders>
              <w:bottom w:sz="16.0" w:val="single" w:color="#474B5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4" w:after="0"/>
              <w:ind w:left="90" w:right="0" w:firstLine="0"/>
              <w:jc w:val="left"/>
            </w:pPr>
            <w:r>
              <w:rPr>
                <w:rFonts w:ascii="Asap" w:hAnsi="Asap" w:eastAsia="Asap"/>
                <w:b/>
                <w:i w:val="0"/>
                <w:color w:val="474C55"/>
                <w:sz w:val="18"/>
              </w:rPr>
              <w:t>AMCP FORMAT 5.0</w:t>
            </w:r>
          </w:p>
        </w:tc>
        <w:tc>
          <w:tcPr>
            <w:tcW w:type="dxa" w:w="6978"/>
            <w:tcBorders>
              <w:bottom w:sz="16.0" w:val="single" w:color="#474B55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10"/>
        </w:trPr>
        <w:tc>
          <w:tcPr>
            <w:tcW w:type="dxa" w:w="372"/>
            <w:tcBorders>
              <w:top w:sz="16.0" w:val="single" w:color="#474B55"/>
            </w:tcBorders>
            <w:shd w:fill="c6c8c7"/>
            <w:tcMar>
              <w:start w:w="0" w:type="dxa"/>
              <w:end w:w="0" w:type="dxa"/>
            </w:tcMar>
          </w:tcPr>
          <w:p/>
        </w:tc>
        <w:tc>
          <w:tcPr>
            <w:tcW w:type="dxa" w:w="3110"/>
            <w:tcBorders>
              <w:top w:sz="16.0" w:val="single" w:color="#474B55"/>
            </w:tcBorders>
            <w:shd w:fill="c6c8c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2" w:lineRule="exact" w:before="40" w:after="0"/>
              <w:ind w:left="646" w:right="0" w:firstLine="0"/>
              <w:jc w:val="left"/>
            </w:pPr>
            <w:r>
              <w:rPr>
                <w:w w:val="102.46950387954712"/>
                <w:rFonts w:ascii="Asap" w:hAnsi="Asap" w:eastAsia="Asap"/>
                <w:b/>
                <w:i w:val="0"/>
                <w:color w:val="000000"/>
                <w:sz w:val="16"/>
              </w:rPr>
              <w:t>Type of Information</w:t>
            </w:r>
          </w:p>
        </w:tc>
        <w:tc>
          <w:tcPr>
            <w:tcW w:type="dxa" w:w="6978"/>
            <w:tcBorders>
              <w:top w:sz="16.0" w:val="single" w:color="#474B55"/>
            </w:tcBorders>
            <w:shd w:fill="c6c8c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2" w:lineRule="exact" w:before="40" w:after="0"/>
              <w:ind w:left="0" w:right="0" w:firstLine="0"/>
              <w:jc w:val="center"/>
            </w:pPr>
            <w:r>
              <w:rPr>
                <w:w w:val="102.46950387954712"/>
                <w:rFonts w:ascii="Asap" w:hAnsi="Asap" w:eastAsia="Asap"/>
                <w:b/>
                <w:i w:val="0"/>
                <w:color w:val="000000"/>
                <w:sz w:val="16"/>
              </w:rPr>
              <w:t>Description of Information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22.0" w:type="dxa"/>
      </w:tblPr>
      <w:tblGrid>
        <w:gridCol w:w="4895"/>
        <w:gridCol w:w="4895"/>
      </w:tblGrid>
      <w:tr>
        <w:trPr>
          <w:trHeight w:hRule="exact" w:val="4706"/>
        </w:trPr>
        <w:tc>
          <w:tcPr>
            <w:tcW w:type="dxa" w:w="3482"/>
            <w:tcBorders>
              <w:top w:sz="4.0" w:val="single" w:color="#13377C"/>
              <w:bottom w:sz="16.0" w:val="single" w:color="#474B5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946" w:after="932"/>
              <w:ind w:left="100" w:right="0" w:firstLine="0"/>
              <w:jc w:val="left"/>
            </w:pPr>
            <w:r>
              <w:rPr>
                <w:rFonts w:ascii="Asap" w:hAnsi="Asap" w:eastAsia="Asap"/>
                <w:b/>
                <w:i w:val="0"/>
                <w:color w:val="000000"/>
                <w:sz w:val="16"/>
              </w:rPr>
              <w:t>Patient access to the product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0.0" w:type="dxa"/>
            </w:tblPr>
            <w:tblGrid>
              <w:gridCol w:w="3482"/>
            </w:tblGrid>
            <w:tr>
              <w:trPr>
                <w:trHeight w:hRule="exact" w:val="490"/>
              </w:trPr>
              <w:tc>
                <w:tcPr>
                  <w:tcW w:type="dxa" w:w="3278"/>
                  <w:tcBorders/>
                  <w:shd w:fill="eaeaf2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80" w:lineRule="exact" w:before="90" w:after="0"/>
                    <w:ind w:left="80" w:right="144" w:firstLine="0"/>
                    <w:jc w:val="left"/>
                  </w:pPr>
                  <w:r>
                    <w:rPr>
                      <w:rFonts w:ascii="Asap" w:hAnsi="Asap" w:eastAsia="Asap"/>
                      <w:b/>
                      <w:i w:val="0"/>
                      <w:color w:val="000000"/>
                      <w:sz w:val="16"/>
                    </w:rPr>
                    <w:t xml:space="preserve">Components required for the software to </w:t>
                  </w:r>
                  <w:r>
                    <w:rPr>
                      <w:rFonts w:ascii="Asap" w:hAnsi="Asap" w:eastAsia="Asap"/>
                      <w:b/>
                      <w:i w:val="0"/>
                      <w:color w:val="000000"/>
                      <w:sz w:val="16"/>
                    </w:rPr>
                    <w:t>deliver its therapeutic value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10" w:lineRule="exact" w:before="60" w:after="0"/>
              <w:ind w:left="100" w:right="0" w:firstLine="0"/>
              <w:jc w:val="left"/>
            </w:pPr>
            <w:r>
              <w:rPr>
                <w:rFonts w:ascii="Asap" w:hAnsi="Asap" w:eastAsia="Asap"/>
                <w:b/>
                <w:i w:val="0"/>
                <w:color w:val="000000"/>
                <w:sz w:val="16"/>
              </w:rPr>
              <w:t xml:space="preserve">Host technology and required hardware </w:t>
            </w:r>
          </w:p>
          <w:p>
            <w:pPr>
              <w:autoSpaceDN w:val="0"/>
              <w:autoSpaceDE w:val="0"/>
              <w:widowControl/>
              <w:spacing w:line="210" w:lineRule="exact" w:before="0" w:after="38"/>
              <w:ind w:left="100" w:right="0" w:firstLine="0"/>
              <w:jc w:val="left"/>
            </w:pPr>
            <w:r>
              <w:rPr>
                <w:rFonts w:ascii="Asap" w:hAnsi="Asap" w:eastAsia="Asap"/>
                <w:b/>
                <w:i w:val="0"/>
                <w:color w:val="000000"/>
                <w:sz w:val="16"/>
              </w:rPr>
              <w:t>components (if applicable)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0.0" w:type="dxa"/>
            </w:tblPr>
            <w:tblGrid>
              <w:gridCol w:w="3482"/>
            </w:tblGrid>
            <w:tr>
              <w:trPr>
                <w:trHeight w:hRule="exact" w:val="542"/>
              </w:trPr>
              <w:tc>
                <w:tcPr>
                  <w:tcW w:type="dxa" w:w="2618"/>
                  <w:tcBorders/>
                  <w:shd w:fill="eaeaf2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8" w:lineRule="exact" w:before="178" w:after="0"/>
                    <w:ind w:left="80" w:right="0" w:firstLine="0"/>
                    <w:jc w:val="left"/>
                  </w:pPr>
                  <w:r>
                    <w:rPr>
                      <w:rFonts w:ascii="Asap" w:hAnsi="Asap" w:eastAsia="Asap"/>
                      <w:b/>
                      <w:i w:val="0"/>
                      <w:color w:val="000000"/>
                      <w:sz w:val="16"/>
                    </w:rPr>
                    <w:t>Technical requirements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10" w:lineRule="exact" w:before="298" w:after="256"/>
              <w:ind w:left="100" w:right="0" w:firstLine="0"/>
              <w:jc w:val="left"/>
            </w:pPr>
            <w:r>
              <w:rPr>
                <w:rFonts w:ascii="Asap" w:hAnsi="Asap" w:eastAsia="Asap"/>
                <w:b/>
                <w:i w:val="0"/>
                <w:color w:val="000000"/>
                <w:sz w:val="16"/>
              </w:rPr>
              <w:t>Compatibility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0.0" w:type="dxa"/>
            </w:tblPr>
            <w:tblGrid>
              <w:gridCol w:w="3482"/>
            </w:tblGrid>
            <w:tr>
              <w:trPr>
                <w:trHeight w:hRule="exact" w:val="290"/>
              </w:trPr>
              <w:tc>
                <w:tcPr>
                  <w:tcW w:type="dxa" w:w="2938"/>
                  <w:tcBorders/>
                  <w:shd w:fill="eaeaf2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8" w:lineRule="exact" w:before="62" w:after="0"/>
                    <w:ind w:left="80" w:right="0" w:firstLine="0"/>
                    <w:jc w:val="left"/>
                  </w:pPr>
                  <w:r>
                    <w:rPr>
                      <w:rFonts w:ascii="Asap" w:hAnsi="Asap" w:eastAsia="Asap"/>
                      <w:b/>
                      <w:i w:val="0"/>
                      <w:color w:val="000000"/>
                      <w:sz w:val="16"/>
                    </w:rPr>
                    <w:t>Technical assistance availability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6978"/>
            <w:tcBorders>
              <w:top w:sz="4.0" w:val="single" w:color="#13377C"/>
              <w:bottom w:sz="16.0" w:val="single" w:color="#474B5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260" w:val="left"/>
              </w:tabs>
              <w:autoSpaceDE w:val="0"/>
              <w:widowControl/>
              <w:spacing w:line="224" w:lineRule="exact" w:before="26" w:after="0"/>
              <w:ind w:left="80" w:right="144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>• Formal prescription from a qualified clinician (in-person or virtual engagement)</w:t>
            </w:r>
            <w:r>
              <w:br/>
            </w: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>• Clinician referral for a nonprescription DTx product (in-person or virtual engagement)</w:t>
            </w:r>
            <w:r>
              <w:br/>
            </w: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>• Direct authorization by an employer for a nonprescription DTx product</w:t>
            </w:r>
            <w:r>
              <w:br/>
            </w: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>• Direct authorization by a payer for a nonprescription DTx product</w:t>
            </w:r>
            <w:r>
              <w:br/>
            </w: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 xml:space="preserve">• “Authorized clinical protocol” established by an HCDM to authorize automatic patient access </w:t>
            </w:r>
            <w:r>
              <w:tab/>
            </w: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>when necessary qualification requirements are met</w:t>
            </w:r>
            <w:r>
              <w:br/>
            </w: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 xml:space="preserve">• “Clinically validated screening tool” that patients use to determine whether they qualify for the </w:t>
            </w:r>
            <w:r>
              <w:tab/>
            </w: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>therapy; “over-the-counter” model where no form of third-party authorization is necessary</w:t>
            </w: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>• Details on the dispensing process may also be included (e.g., download, specialty pharmacy)</w:t>
            </w:r>
          </w:p>
          <w:p>
            <w:pPr>
              <w:autoSpaceDN w:val="0"/>
              <w:autoSpaceDE w:val="0"/>
              <w:widowControl/>
              <w:spacing w:line="192" w:lineRule="exact" w:before="204" w:after="0"/>
              <w:ind w:left="80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>• Additional hardware or software required</w:t>
            </w:r>
          </w:p>
          <w:p>
            <w:pPr>
              <w:autoSpaceDN w:val="0"/>
              <w:autoSpaceDE w:val="0"/>
              <w:widowControl/>
              <w:spacing w:line="194" w:lineRule="exact" w:before="296" w:after="0"/>
              <w:ind w:left="80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>• Smartphone, tablet, laptop, wearable device</w:t>
            </w:r>
          </w:p>
          <w:p>
            <w:pPr>
              <w:autoSpaceDN w:val="0"/>
              <w:autoSpaceDE w:val="0"/>
              <w:widowControl/>
              <w:spacing w:line="242" w:lineRule="exact" w:before="152" w:after="0"/>
              <w:ind w:left="80" w:right="5616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>• Offline-capable</w:t>
            </w:r>
            <w:r>
              <w:br/>
            </w: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>• Broadband</w:t>
            </w:r>
          </w:p>
          <w:p>
            <w:pPr>
              <w:autoSpaceDN w:val="0"/>
              <w:autoSpaceDE w:val="0"/>
              <w:widowControl/>
              <w:spacing w:line="242" w:lineRule="exact" w:before="58" w:after="0"/>
              <w:ind w:left="80" w:right="4176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>• PC/Mac</w:t>
            </w:r>
            <w:r>
              <w:br/>
            </w: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>• Browser (e.g., Chrome, Edge, Safari)</w:t>
            </w:r>
            <w:r>
              <w:br/>
            </w: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>• Operating system (e.g., iOS, Android)</w:t>
            </w:r>
          </w:p>
          <w:p>
            <w:pPr>
              <w:autoSpaceDN w:val="0"/>
              <w:autoSpaceDE w:val="0"/>
              <w:widowControl/>
              <w:spacing w:line="192" w:lineRule="exact" w:before="112" w:after="0"/>
              <w:ind w:left="80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>• In-app support via chat or call center availability</w:t>
            </w:r>
          </w:p>
        </w:tc>
      </w:tr>
    </w:tbl>
    <w:p>
      <w:pPr>
        <w:autoSpaceDN w:val="0"/>
        <w:autoSpaceDE w:val="0"/>
        <w:widowControl/>
        <w:spacing w:line="180" w:lineRule="exact" w:before="142" w:after="310"/>
        <w:ind w:left="740" w:right="0" w:firstLine="0"/>
        <w:jc w:val="left"/>
      </w:pPr>
      <w:r>
        <w:rPr>
          <w:rFonts w:ascii="Asap" w:hAnsi="Asap" w:eastAsia="Asap"/>
          <w:b w:val="0"/>
          <w:i/>
          <w:color w:val="000000"/>
          <w:sz w:val="15"/>
        </w:rPr>
        <w:t xml:space="preserve">DTx = digital therapeutics; FDA = U.S. Food and Drug Administration; HCDM = health care decision-maker; iOS = Apple operating system; PC/Mac = refers </w:t>
      </w:r>
      <w:r>
        <w:rPr>
          <w:rFonts w:ascii="Asap" w:hAnsi="Asap" w:eastAsia="Asap"/>
          <w:b w:val="0"/>
          <w:i/>
          <w:color w:val="000000"/>
          <w:sz w:val="15"/>
        </w:rPr>
        <w:t>to computers running IBM-based operating systems/computers produced by Apple.</w:t>
      </w:r>
    </w:p>
    <w:p>
      <w:pPr>
        <w:sectPr>
          <w:pgSz w:w="11880" w:h="15660"/>
          <w:pgMar w:top="360" w:right="650" w:bottom="266" w:left="0" w:header="720" w:footer="720" w:gutter="0"/>
          <w:cols/>
          <w:docGrid w:linePitch="360"/>
        </w:sectPr>
      </w:pPr>
    </w:p>
    <w:p>
      <w:pPr>
        <w:autoSpaceDN w:val="0"/>
        <w:tabs>
          <w:tab w:pos="1418" w:val="left"/>
        </w:tabs>
        <w:autoSpaceDE w:val="0"/>
        <w:widowControl/>
        <w:spacing w:line="242" w:lineRule="exact" w:before="22" w:after="0"/>
        <w:ind w:left="698" w:right="144" w:firstLine="0"/>
        <w:jc w:val="left"/>
      </w:pPr>
      <w:r>
        <w:rPr>
          <w:rFonts w:ascii="Asap" w:hAnsi="Asap" w:eastAsia="Asap"/>
          <w:b/>
          <w:i w:val="0"/>
          <w:color w:val="14377D"/>
          <w:sz w:val="20"/>
        </w:rPr>
        <w:t xml:space="preserve">2.2A </w:t>
      </w:r>
      <w:r>
        <w:tab/>
      </w:r>
      <w:r>
        <w:rPr>
          <w:rFonts w:ascii="Asap" w:hAnsi="Asap" w:eastAsia="Asap"/>
          <w:b/>
          <w:i w:val="0"/>
          <w:color w:val="14377D"/>
          <w:sz w:val="20"/>
        </w:rPr>
        <w:t xml:space="preserve">DISEASE DESCRIPTION 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The disease description should be a top-line overview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focusing on the specific patient populations for which the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product is seeking an indication. </w:t>
      </w:r>
    </w:p>
    <w:p>
      <w:pPr>
        <w:autoSpaceDN w:val="0"/>
        <w:tabs>
          <w:tab w:pos="878" w:val="left"/>
          <w:tab w:pos="1058" w:val="left"/>
        </w:tabs>
        <w:autoSpaceDE w:val="0"/>
        <w:widowControl/>
        <w:spacing w:line="245" w:lineRule="auto" w:before="0" w:after="0"/>
        <w:ind w:left="698" w:right="144" w:firstLine="0"/>
        <w:jc w:val="left"/>
      </w:pP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Manufacturers should provide a description of specific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patient subpopulations in which the product is expected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to be most effective, if known. Include clinical markers,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diagnostic or genetic criteria, or other markers, if known,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that can be used to identify these subpopulations. When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possible, this information should reflect the population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of U.S. patients. Present a summary of information from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the literature for topics, including, but not limited to the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following: </w:t>
      </w:r>
      <w:r>
        <w:br/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1. Epidemiology and relevant risk factors, with a focus on </w:t>
      </w:r>
      <w:r>
        <w:tab/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identifiable subpopulations that would be appropriate </w:t>
      </w:r>
      <w:r>
        <w:tab/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for the use of the product.</w:t>
      </w:r>
    </w:p>
    <w:p>
      <w:pPr>
        <w:autoSpaceDN w:val="0"/>
        <w:autoSpaceDE w:val="0"/>
        <w:widowControl/>
        <w:spacing w:line="223" w:lineRule="auto" w:before="0" w:after="0"/>
        <w:ind w:left="878" w:right="0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>2. Pathophysiology.</w:t>
      </w:r>
    </w:p>
    <w:p>
      <w:pPr>
        <w:autoSpaceDN w:val="0"/>
        <w:autoSpaceDE w:val="0"/>
        <w:widowControl/>
        <w:spacing w:line="223" w:lineRule="auto" w:before="0" w:after="0"/>
        <w:ind w:left="878" w:right="0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>3. Clinical presentation.</w:t>
      </w:r>
    </w:p>
    <w:p>
      <w:pPr>
        <w:autoSpaceDN w:val="0"/>
        <w:autoSpaceDE w:val="0"/>
        <w:widowControl/>
        <w:spacing w:line="223" w:lineRule="auto" w:before="0" w:after="0"/>
        <w:ind w:left="878" w:right="0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>4. Societal, humanistic, and economic burden.</w:t>
      </w:r>
    </w:p>
    <w:p>
      <w:pPr>
        <w:autoSpaceDN w:val="0"/>
        <w:autoSpaceDE w:val="0"/>
        <w:widowControl/>
        <w:spacing w:line="245" w:lineRule="auto" w:before="0" w:after="0"/>
        <w:ind w:left="1058" w:right="154" w:hanging="180"/>
        <w:jc w:val="both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5. Health disparities related to social and demographic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factors such as race, ethnicity, gender, income, or </w:t>
      </w:r>
      <w:r>
        <w:rPr>
          <w:rFonts w:ascii="Lora" w:hAnsi="Lora" w:eastAsia="Lora"/>
          <w:b w:val="0"/>
          <w:i w:val="0"/>
          <w:color w:val="000000"/>
          <w:sz w:val="18"/>
        </w:rPr>
        <w:t>geographic region.</w:t>
      </w:r>
    </w:p>
    <w:p>
      <w:pPr>
        <w:autoSpaceDN w:val="0"/>
        <w:autoSpaceDE w:val="0"/>
        <w:widowControl/>
        <w:spacing w:line="223" w:lineRule="auto" w:before="0" w:after="0"/>
        <w:ind w:left="878" w:right="0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>6. Unmet needs of current therapies.</w:t>
      </w:r>
    </w:p>
    <w:p>
      <w:pPr>
        <w:autoSpaceDN w:val="0"/>
        <w:autoSpaceDE w:val="0"/>
        <w:widowControl/>
        <w:spacing w:line="245" w:lineRule="auto" w:before="0" w:after="0"/>
        <w:ind w:left="698" w:right="154" w:firstLine="180"/>
        <w:jc w:val="both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This section may be expanded to provide greater detail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for unapproved products that would require intense clinical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monitoring to manage severe side effects, frequent dose </w:t>
      </w:r>
    </w:p>
    <w:p>
      <w:pPr>
        <w:autoSpaceDN w:val="0"/>
        <w:autoSpaceDE w:val="0"/>
        <w:widowControl/>
        <w:spacing w:line="186" w:lineRule="exact" w:before="660" w:after="0"/>
        <w:ind w:left="740" w:right="0" w:firstLine="0"/>
        <w:jc w:val="left"/>
      </w:pPr>
      <w:r>
        <w:rPr>
          <w:rFonts w:ascii="Asap" w:hAnsi="Asap" w:eastAsia="Asap"/>
          <w:b/>
          <w:i w:val="0"/>
          <w:color w:val="14377D"/>
          <w:sz w:val="14"/>
        </w:rPr>
        <w:t>JMCP</w:t>
      </w:r>
      <w:r>
        <w:rPr>
          <w:rFonts w:ascii="Asap" w:hAnsi="Asap" w:eastAsia="Asap"/>
          <w:b w:val="0"/>
          <w:i w:val="0"/>
          <w:color w:val="14377D"/>
          <w:sz w:val="14"/>
        </w:rPr>
        <w:t>.org</w:t>
      </w:r>
      <w:r>
        <w:rPr>
          <w:rFonts w:ascii="Asap" w:hAnsi="Asap" w:eastAsia="Asap"/>
          <w:b w:val="0"/>
          <w:i w:val="0"/>
          <w:color w:val="474C55"/>
          <w:sz w:val="14"/>
        </w:rPr>
        <w:t>|</w:t>
      </w:r>
      <w:r>
        <w:rPr>
          <w:rFonts w:ascii="Asap" w:hAnsi="Asap" w:eastAsia="Asap"/>
          <w:b w:val="0"/>
          <w:i w:val="0"/>
          <w:color w:val="474C55"/>
          <w:sz w:val="14"/>
        </w:rPr>
        <w:t>April 2024</w:t>
      </w:r>
      <w:r>
        <w:rPr>
          <w:rFonts w:ascii="Asap" w:hAnsi="Asap" w:eastAsia="Asap"/>
          <w:b w:val="0"/>
          <w:i w:val="0"/>
          <w:color w:val="474C55"/>
          <w:sz w:val="14"/>
        </w:rPr>
        <w:t>|</w:t>
      </w:r>
      <w:r>
        <w:rPr>
          <w:rFonts w:ascii="Asap" w:hAnsi="Asap" w:eastAsia="Asap"/>
          <w:b w:val="0"/>
          <w:i w:val="0"/>
          <w:color w:val="474C55"/>
          <w:sz w:val="14"/>
        </w:rPr>
        <w:t>Vol. 30, No. 4-B</w:t>
      </w:r>
    </w:p>
    <w:p>
      <w:pPr>
        <w:sectPr>
          <w:type w:val="continuous"/>
          <w:pgSz w:w="11880" w:h="15660"/>
          <w:pgMar w:top="360" w:right="650" w:bottom="266" w:left="0" w:header="720" w:footer="720" w:gutter="0"/>
          <w:cols w:num="2" w:equalWidth="0">
            <w:col w:w="5940" w:space="0"/>
            <w:col w:w="5290" w:space="0"/>
          </w:cols>
          <w:docGrid w:linePitch="360"/>
        </w:sectPr>
      </w:pPr>
    </w:p>
    <w:p>
      <w:pPr>
        <w:autoSpaceDN w:val="0"/>
        <w:autoSpaceDE w:val="0"/>
        <w:widowControl/>
        <w:spacing w:line="245" w:lineRule="auto" w:before="0" w:after="0"/>
        <w:ind w:left="158" w:right="44" w:firstLine="0"/>
        <w:jc w:val="both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adjustments, or specialized training for handling and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administration. For example, this section may be expanded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for unapproved products that are seeking FDA approval to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treat rare diseases for which relatively little information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may be available in the public domain. Likewise, expanded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information is useful for unapproved products that could be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costly, have few competing or generic alternatives, or have </w:t>
      </w:r>
      <w:r>
        <w:rPr>
          <w:rFonts w:ascii="Lora" w:hAnsi="Lora" w:eastAsia="Lora"/>
          <w:b w:val="0"/>
          <w:i w:val="0"/>
          <w:color w:val="000000"/>
          <w:sz w:val="18"/>
        </w:rPr>
        <w:t>limited distribution or access points.</w:t>
      </w:r>
    </w:p>
    <w:p>
      <w:pPr>
        <w:autoSpaceDN w:val="0"/>
        <w:autoSpaceDE w:val="0"/>
        <w:widowControl/>
        <w:spacing w:line="424" w:lineRule="exact" w:before="152" w:after="0"/>
        <w:ind w:left="158" w:right="0" w:firstLine="0"/>
        <w:jc w:val="left"/>
      </w:pPr>
      <w:r>
        <w:rPr>
          <w:rFonts w:ascii="Asap" w:hAnsi="Asap" w:eastAsia="Asap"/>
          <w:b/>
          <w:i w:val="0"/>
          <w:color w:val="6C146B"/>
          <w:sz w:val="32"/>
        </w:rPr>
        <w:t>3.0A Clinical Evidence</w:t>
      </w:r>
    </w:p>
    <w:p>
      <w:pPr>
        <w:autoSpaceDN w:val="0"/>
        <w:autoSpaceDE w:val="0"/>
        <w:widowControl/>
        <w:spacing w:line="245" w:lineRule="auto" w:before="100" w:after="0"/>
        <w:ind w:left="158" w:right="44" w:firstLine="0"/>
        <w:jc w:val="both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Section 3.0A should consist of studies that support the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proposed use and clinical benefits of the product in a clear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and concise format. </w:t>
      </w:r>
    </w:p>
    <w:p>
      <w:pPr>
        <w:autoSpaceDN w:val="0"/>
        <w:tabs>
          <w:tab w:pos="338" w:val="left"/>
          <w:tab w:pos="518" w:val="left"/>
        </w:tabs>
        <w:autoSpaceDE w:val="0"/>
        <w:widowControl/>
        <w:spacing w:line="245" w:lineRule="auto" w:before="0" w:after="0"/>
        <w:ind w:left="158" w:right="0" w:firstLine="0"/>
        <w:jc w:val="left"/>
      </w:pP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It is important that Section 3.0A be transparent and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reflect the full body of clinical evidence that exists for an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unapproved product. AMCP acknowledges that available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evidence for an unapproved product may be limited to a few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studies, and inclusion of all studies in the dossier is sensible.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It is important that the manufacturer exhibit transparency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and fair representation concerning the evidence included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in the dossier, while at the same time providing a dossier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that is useful and manageable for HCDMs. Therefore, it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is recommended that the evidence be separated into the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following categories: </w:t>
      </w:r>
      <w:r>
        <w:br/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1. An overview of clinical information should be provided </w:t>
      </w:r>
      <w:r>
        <w:tab/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on the first page of Section 3.0A. </w:t>
      </w:r>
    </w:p>
    <w:p>
      <w:pPr>
        <w:sectPr>
          <w:type w:val="nextColumn"/>
          <w:pgSz w:w="11880" w:h="15660"/>
          <w:pgMar w:top="360" w:right="650" w:bottom="266" w:left="0" w:header="720" w:footer="720" w:gutter="0"/>
          <w:cols w:num="2" w:equalWidth="0">
            <w:col w:w="5940" w:space="0"/>
            <w:col w:w="5290" w:space="0"/>
          </w:cols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220.0" w:type="dxa"/>
      </w:tblPr>
      <w:tblGrid>
        <w:gridCol w:w="4860"/>
        <w:gridCol w:w="4860"/>
      </w:tblGrid>
      <w:tr>
        <w:trPr>
          <w:trHeight w:hRule="exact" w:val="362"/>
        </w:trPr>
        <w:tc>
          <w:tcPr>
            <w:tcW w:type="dxa" w:w="584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4" w:after="0"/>
              <w:ind w:left="0" w:right="90" w:firstLine="0"/>
              <w:jc w:val="right"/>
            </w:pPr>
            <w:r>
              <w:rPr>
                <w:rFonts w:ascii="Asap" w:hAnsi="Asap" w:eastAsia="Asap"/>
                <w:b/>
                <w:i w:val="0"/>
                <w:color w:val="474C55"/>
                <w:sz w:val="18"/>
              </w:rPr>
              <w:t>AMCP FORMAT 5.0</w:t>
            </w:r>
          </w:p>
        </w:tc>
        <w:tc>
          <w:tcPr>
            <w:tcW w:type="dxa" w:w="1094"/>
            <w:tcBorders/>
            <w:shd w:fill="6b146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72" w:after="0"/>
              <w:ind w:left="90" w:right="0" w:firstLine="0"/>
              <w:jc w:val="left"/>
            </w:pPr>
            <w:r>
              <w:rPr>
                <w:rFonts w:ascii="Asap" w:hAnsi="Asap" w:eastAsia="Asap"/>
                <w:b/>
                <w:i w:val="0"/>
                <w:color w:val="FFFFFF"/>
                <w:sz w:val="18"/>
              </w:rPr>
              <w:t>23</w:t>
            </w:r>
          </w:p>
        </w:tc>
      </w:tr>
    </w:tbl>
    <w:p>
      <w:pPr>
        <w:autoSpaceDN w:val="0"/>
        <w:autoSpaceDE w:val="0"/>
        <w:widowControl/>
        <w:spacing w:line="14" w:lineRule="exact" w:before="0" w:after="1038"/>
        <w:ind w:left="0" w:right="0"/>
      </w:pPr>
    </w:p>
    <w:p>
      <w:pPr>
        <w:sectPr>
          <w:pgSz w:w="11880" w:h="15660"/>
          <w:pgMar w:top="360" w:right="0" w:bottom="266" w:left="72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45" w:lineRule="auto" w:before="0" w:after="0"/>
        <w:ind w:left="360" w:right="144" w:hanging="18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2. Pivotal data, and in some instances other RCTs and/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or real-world evidence, that contribute significantly to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the knowledge base of the unapproved product should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be included as </w:t>
      </w:r>
      <w:r>
        <w:rPr>
          <w:rFonts w:ascii="Lora" w:hAnsi="Lora" w:eastAsia="Lora"/>
          <w:b w:val="0"/>
          <w:i/>
          <w:color w:val="000000"/>
          <w:sz w:val="18"/>
        </w:rPr>
        <w:t>study summaries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 (see Section 3.1A) and </w:t>
      </w:r>
      <w:r>
        <w:rPr>
          <w:rFonts w:ascii="Lora" w:hAnsi="Lora" w:eastAsia="Lora"/>
          <w:b w:val="0"/>
          <w:i/>
          <w:color w:val="000000"/>
          <w:sz w:val="18"/>
        </w:rPr>
        <w:t>evidence tables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 (see Section 3.2A).</w:t>
      </w:r>
    </w:p>
    <w:p>
      <w:pPr>
        <w:autoSpaceDN w:val="0"/>
        <w:autoSpaceDE w:val="0"/>
        <w:widowControl/>
        <w:spacing w:line="245" w:lineRule="auto" w:before="0" w:after="0"/>
        <w:ind w:left="360" w:right="156" w:hanging="180"/>
        <w:jc w:val="both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3. Informative but smaller and/or less rigorous studies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that may add to the evidence base should be included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as </w:t>
      </w:r>
      <w:r>
        <w:rPr>
          <w:rFonts w:ascii="Lora" w:hAnsi="Lora" w:eastAsia="Lora"/>
          <w:b w:val="0"/>
          <w:i/>
          <w:color w:val="000000"/>
          <w:sz w:val="18"/>
        </w:rPr>
        <w:t>evidence tables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 (see Section 3.2A) only.</w:t>
      </w:r>
    </w:p>
    <w:p>
      <w:pPr>
        <w:autoSpaceDN w:val="0"/>
        <w:autoSpaceDE w:val="0"/>
        <w:widowControl/>
        <w:spacing w:line="245" w:lineRule="auto" w:before="0" w:after="0"/>
        <w:ind w:left="360" w:right="156" w:hanging="180"/>
        <w:jc w:val="both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4. All other studies that have been reported but do not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add significantly to the knowledge base of the product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should be identified in a </w:t>
      </w:r>
      <w:r>
        <w:rPr>
          <w:rFonts w:ascii="Lora" w:hAnsi="Lora" w:eastAsia="Lora"/>
          <w:b w:val="0"/>
          <w:i/>
          <w:color w:val="000000"/>
          <w:sz w:val="18"/>
        </w:rPr>
        <w:t>bibliography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 only.</w:t>
      </w:r>
    </w:p>
    <w:p>
      <w:pPr>
        <w:autoSpaceDN w:val="0"/>
        <w:tabs>
          <w:tab w:pos="180" w:val="left"/>
        </w:tabs>
        <w:autoSpaceDE w:val="0"/>
        <w:widowControl/>
        <w:spacing w:line="245" w:lineRule="auto" w:before="0" w:after="0"/>
        <w:ind w:left="0" w:right="144" w:firstLine="0"/>
        <w:jc w:val="left"/>
      </w:pP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The overview of the information contained in Section 3.0A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should define a specific set of objective criteria for inclusion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and exclusion of studies and describe how studies were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selected for inclusion and exclusion. Studies excluded do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not need to be identified in a bibliography. Considerations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for establishing inclusion or exclusion criteria can be based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on the study characteristics as is done on ClinicalTrials.gov.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These characteristics include, but are not limited to, study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design, number of participants, and location of the study.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In this section, the manufacturer should clearly explain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the objective rationale for delineation and assignment of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studies into each of the categories above to avoid selection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bias. Because these definitions may vary depending on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the context of the unapproved product, clinical setting, </w:t>
      </w:r>
      <w:r>
        <w:rPr>
          <w:rFonts w:ascii="Lora" w:hAnsi="Lora" w:eastAsia="Lora"/>
          <w:b w:val="0"/>
          <w:i w:val="0"/>
          <w:color w:val="000000"/>
          <w:sz w:val="18"/>
        </w:rPr>
        <w:t>incidence/prevalence of the disorder, and available treat-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ment alternatives, the manufacturer should justify how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studies are included (study summaries vs. evidence tables </w:t>
      </w:r>
      <w:r>
        <w:rPr>
          <w:rFonts w:ascii="Lora" w:hAnsi="Lora" w:eastAsia="Lora"/>
          <w:b w:val="0"/>
          <w:i w:val="0"/>
          <w:color w:val="000000"/>
          <w:sz w:val="18"/>
        </w:rPr>
        <w:t>vs. bibliography).</w:t>
      </w:r>
    </w:p>
    <w:p>
      <w:pPr>
        <w:autoSpaceDN w:val="0"/>
        <w:autoSpaceDE w:val="0"/>
        <w:widowControl/>
        <w:spacing w:line="245" w:lineRule="auto" w:before="0" w:after="0"/>
        <w:ind w:left="0" w:right="144" w:firstLine="18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This section should also explain the degree to which study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participants represent the target population, as described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in Section 2.2A, and identify differences that may obscure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translation to real-world effectiveness. For clinical trials,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the diversity of study participants should be explained, and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supplemental tables depicting trial representativeness are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strongly encouraged. Retrospective studies should include </w:t>
      </w:r>
      <w:r>
        <w:rPr>
          <w:rFonts w:ascii="Lora" w:hAnsi="Lora" w:eastAsia="Lora"/>
          <w:b w:val="0"/>
          <w:i w:val="0"/>
          <w:color w:val="000000"/>
          <w:sz w:val="18"/>
        </w:rPr>
        <w:t>subgroups disproportionally affected by the health condi-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tion, and limitations that erode generalizability should be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disclosed. </w:t>
      </w:r>
    </w:p>
    <w:p>
      <w:pPr>
        <w:autoSpaceDN w:val="0"/>
        <w:tabs>
          <w:tab w:pos="180" w:val="left"/>
          <w:tab w:pos="360" w:val="left"/>
        </w:tabs>
        <w:autoSpaceDE w:val="0"/>
        <w:widowControl/>
        <w:spacing w:line="245" w:lineRule="auto" w:before="0" w:after="0"/>
        <w:ind w:left="0" w:right="144" w:firstLine="0"/>
        <w:jc w:val="left"/>
      </w:pPr>
      <w:r>
        <w:rPr>
          <w:rFonts w:ascii="Lora" w:hAnsi="Lora" w:eastAsia="Lora"/>
          <w:b/>
          <w:i w:val="0"/>
          <w:color w:val="000000"/>
          <w:sz w:val="18"/>
        </w:rPr>
        <w:t>Considerations for Section 3.0A:</w:t>
      </w:r>
      <w:r>
        <w:br/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• The length and level of detail for study summaries and </w:t>
      </w:r>
      <w:r>
        <w:tab/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evidence tables may vary based on the amount of avail-</w:t>
      </w:r>
      <w:r>
        <w:tab/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able data. It must be noted that HCDMs want a concise, </w:t>
      </w:r>
      <w:r>
        <w:tab/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focused, and user-friendly presentation of data. One </w:t>
      </w:r>
      <w:r>
        <w:tab/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of the most common complaints from HCDMs is that </w:t>
      </w:r>
      <w:r>
        <w:tab/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dossiers are too long.</w:t>
      </w:r>
    </w:p>
    <w:p>
      <w:pPr>
        <w:autoSpaceDN w:val="0"/>
        <w:autoSpaceDE w:val="0"/>
        <w:widowControl/>
        <w:spacing w:line="245" w:lineRule="auto" w:before="0" w:after="0"/>
        <w:ind w:left="360" w:right="156" w:hanging="180"/>
        <w:jc w:val="both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• Specific study designs are not prescribed in this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section. Manufacturers should include studies that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generate evidence about clinical outcomes. </w:t>
      </w:r>
    </w:p>
    <w:p>
      <w:pPr>
        <w:autoSpaceDN w:val="0"/>
        <w:tabs>
          <w:tab w:pos="540" w:val="left"/>
        </w:tabs>
        <w:autoSpaceDE w:val="0"/>
        <w:widowControl/>
        <w:spacing w:line="245" w:lineRule="auto" w:before="0" w:after="0"/>
        <w:ind w:left="360" w:right="144" w:firstLine="0"/>
        <w:jc w:val="left"/>
      </w:pPr>
      <w:r>
        <w:rPr>
          <w:rFonts w:ascii="AppleSymbols" w:hAnsi="AppleSymbols" w:eastAsia="AppleSymbols"/>
          <w:b w:val="0"/>
          <w:i w:val="0"/>
          <w:color w:val="000000"/>
          <w:sz w:val="18"/>
        </w:rPr>
        <w:t>⚬</w:t>
      </w:r>
      <w:r>
        <w:rPr>
          <w:rFonts w:ascii="Lora" w:hAnsi="Lora" w:eastAsia="Lora"/>
          <w:b w:val="0"/>
          <w:i w:val="0"/>
          <w:color w:val="000000"/>
          <w:sz w:val="18"/>
        </w:rPr>
        <w:t>Prospective clinical studies including RCTs, obser-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vational data, registries, real-world evidence, and </w:t>
      </w:r>
    </w:p>
    <w:p>
      <w:pPr>
        <w:sectPr>
          <w:type w:val="continuous"/>
          <w:pgSz w:w="11880" w:h="15660"/>
          <w:pgMar w:top="360" w:right="0" w:bottom="266" w:left="720" w:header="720" w:footer="720" w:gutter="0"/>
          <w:cols w:num="2" w:equalWidth="0">
            <w:col w:w="5244" w:space="0"/>
            <w:col w:w="5916" w:space="0"/>
          </w:cols>
          <w:docGrid w:linePitch="360"/>
        </w:sectPr>
      </w:pPr>
    </w:p>
    <w:p>
      <w:pPr>
        <w:autoSpaceDN w:val="0"/>
        <w:autoSpaceDE w:val="0"/>
        <w:widowControl/>
        <w:spacing w:line="245" w:lineRule="auto" w:before="0" w:after="0"/>
        <w:ind w:left="696" w:right="576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other studies that measure clinical endpoints should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generally be included in Section 3.0A. Study results </w:t>
      </w:r>
      <w:r>
        <w:rPr>
          <w:rFonts w:ascii="Lora" w:hAnsi="Lora" w:eastAsia="Lora"/>
          <w:b w:val="0"/>
          <w:i w:val="0"/>
          <w:color w:val="000000"/>
          <w:sz w:val="18"/>
        </w:rPr>
        <w:t>and outcomes may include efficacy, safety, tolerabil-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ity, pharmacokinetics/pharmacodynamics, patient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preference, patient adherence, patient-reported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outcomes, quality of life, evidence that identifies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patient subgroups or clinical settings in which the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unapproved product may be appropriate, and other </w:t>
      </w:r>
      <w:r>
        <w:rPr>
          <w:rFonts w:ascii="Lora" w:hAnsi="Lora" w:eastAsia="Lora"/>
          <w:b w:val="0"/>
          <w:i w:val="0"/>
          <w:color w:val="000000"/>
          <w:sz w:val="18"/>
        </w:rPr>
        <w:t>clinically related outcomes.</w:t>
      </w:r>
    </w:p>
    <w:p>
      <w:pPr>
        <w:autoSpaceDN w:val="0"/>
        <w:autoSpaceDE w:val="0"/>
        <w:widowControl/>
        <w:spacing w:line="245" w:lineRule="auto" w:before="0" w:after="0"/>
        <w:ind w:left="696" w:right="672" w:hanging="180"/>
        <w:jc w:val="both"/>
      </w:pPr>
      <w:r>
        <w:rPr>
          <w:rFonts w:ascii="AppleSymbols" w:hAnsi="AppleSymbols" w:eastAsia="AppleSymbols"/>
          <w:b w:val="0"/>
          <w:i w:val="0"/>
          <w:color w:val="000000"/>
          <w:sz w:val="18"/>
        </w:rPr>
        <w:t>⚬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In vitro, animal, and phase 1 studies are generally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not included unless the value proposition is based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on relevant pharmacologic, pharmacodynamics, or </w:t>
      </w:r>
      <w:r>
        <w:rPr>
          <w:rFonts w:ascii="Lora" w:hAnsi="Lora" w:eastAsia="Lora"/>
          <w:b w:val="0"/>
          <w:i w:val="0"/>
          <w:color w:val="000000"/>
          <w:sz w:val="18"/>
        </w:rPr>
        <w:t>pharmacokinetic evidence in these earlier studies.</w:t>
      </w:r>
    </w:p>
    <w:p>
      <w:pPr>
        <w:autoSpaceDN w:val="0"/>
        <w:tabs>
          <w:tab w:pos="516" w:val="left"/>
        </w:tabs>
        <w:autoSpaceDE w:val="0"/>
        <w:widowControl/>
        <w:spacing w:line="245" w:lineRule="auto" w:before="0" w:after="0"/>
        <w:ind w:left="336" w:right="576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• Studies available from peer-reviewed published medical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journals are preferred. When peer-reviewed publica-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tions are not available, medical congress abstracts,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posters, and scientific podium presentations can be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considered. Publicly available information from manu-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scripts submitted or accepted by medical journals,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ClinicalTrials.gov, FDA briefing documents, and manu-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facturers’ data on file can also be used, when applicable.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• If the results of a trial have been reported in more than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one journal article or conference abstract, poster, or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scientific podium presentation, all may be combined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into one summary and one row of an evidence table,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citing all the sources from which data have been drawn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and clearly stating the total number of participants.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Discuss important study findings and comment on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their implications for different patient populations. </w:t>
      </w:r>
    </w:p>
    <w:p>
      <w:pPr>
        <w:autoSpaceDN w:val="0"/>
        <w:tabs>
          <w:tab w:pos="516" w:val="left"/>
        </w:tabs>
        <w:autoSpaceDE w:val="0"/>
        <w:widowControl/>
        <w:spacing w:line="245" w:lineRule="auto" w:before="0" w:after="0"/>
        <w:ind w:left="336" w:right="720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>• Data summarized in Section 3.0A should not be re-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summarized in Sections 2.0A and 5.0A.</w:t>
      </w:r>
    </w:p>
    <w:p>
      <w:pPr>
        <w:autoSpaceDN w:val="0"/>
        <w:tabs>
          <w:tab w:pos="876" w:val="left"/>
        </w:tabs>
        <w:autoSpaceDE w:val="0"/>
        <w:widowControl/>
        <w:spacing w:line="242" w:lineRule="exact" w:before="220" w:after="0"/>
        <w:ind w:left="156" w:right="576" w:firstLine="0"/>
        <w:jc w:val="left"/>
      </w:pPr>
      <w:r>
        <w:rPr>
          <w:rFonts w:ascii="Asap" w:hAnsi="Asap" w:eastAsia="Asap"/>
          <w:b/>
          <w:i w:val="0"/>
          <w:color w:val="14377D"/>
          <w:sz w:val="20"/>
        </w:rPr>
        <w:t xml:space="preserve">3.1A </w:t>
      </w:r>
      <w:r>
        <w:tab/>
      </w:r>
      <w:r>
        <w:rPr>
          <w:rFonts w:ascii="Asap" w:hAnsi="Asap" w:eastAsia="Asap"/>
          <w:b/>
          <w:i w:val="0"/>
          <w:color w:val="14377D"/>
          <w:sz w:val="20"/>
        </w:rPr>
        <w:t xml:space="preserve">STUDY SUMMARIES 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The recommended length of each study summary is two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pages (maximum five). </w:t>
      </w:r>
    </w:p>
    <w:p>
      <w:pPr>
        <w:autoSpaceDN w:val="0"/>
        <w:tabs>
          <w:tab w:pos="336" w:val="left"/>
          <w:tab w:pos="696" w:val="left"/>
        </w:tabs>
        <w:autoSpaceDE w:val="0"/>
        <w:widowControl/>
        <w:spacing w:line="245" w:lineRule="auto" w:before="0" w:after="0"/>
        <w:ind w:left="156" w:right="576" w:firstLine="0"/>
        <w:jc w:val="left"/>
      </w:pP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Study summaries should include the following items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where available and applicable: </w:t>
      </w:r>
      <w:r>
        <w:br/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1.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Publication citations, study name, ClinicalTrials.gov </w:t>
      </w:r>
      <w:r>
        <w:tab/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ID number, and funding source.</w:t>
      </w:r>
    </w:p>
    <w:p>
      <w:pPr>
        <w:autoSpaceDN w:val="0"/>
        <w:tabs>
          <w:tab w:pos="696" w:val="left"/>
        </w:tabs>
        <w:autoSpaceDE w:val="0"/>
        <w:widowControl/>
        <w:spacing w:line="245" w:lineRule="auto" w:before="0" w:after="0"/>
        <w:ind w:left="336" w:right="576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2.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Objective, location, and study start and completion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dates.</w:t>
      </w:r>
    </w:p>
    <w:p>
      <w:pPr>
        <w:autoSpaceDN w:val="0"/>
        <w:tabs>
          <w:tab w:pos="696" w:val="left"/>
        </w:tabs>
        <w:autoSpaceDE w:val="0"/>
        <w:widowControl/>
        <w:spacing w:line="245" w:lineRule="auto" w:before="0" w:after="0"/>
        <w:ind w:left="336" w:right="720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3.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Trial design, randomization, and blinding procedures.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4.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Setting, inclusion, and exclusion criteria.</w:t>
      </w:r>
    </w:p>
    <w:p>
      <w:pPr>
        <w:autoSpaceDN w:val="0"/>
        <w:tabs>
          <w:tab w:pos="696" w:val="left"/>
        </w:tabs>
        <w:autoSpaceDE w:val="0"/>
        <w:widowControl/>
        <w:spacing w:line="223" w:lineRule="auto" w:before="0" w:after="0"/>
        <w:ind w:left="336" w:right="0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5.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Baseline patient characteristics and demographics.</w:t>
      </w:r>
    </w:p>
    <w:p>
      <w:pPr>
        <w:autoSpaceDN w:val="0"/>
        <w:tabs>
          <w:tab w:pos="696" w:val="left"/>
        </w:tabs>
        <w:autoSpaceDE w:val="0"/>
        <w:widowControl/>
        <w:spacing w:line="245" w:lineRule="auto" w:before="0" w:after="0"/>
        <w:ind w:left="336" w:right="720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6.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Drop-out rates and procedures for handling drop-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outs (e.g., intention-to-treat [ITT], per protocol).</w:t>
      </w:r>
    </w:p>
    <w:p>
      <w:pPr>
        <w:autoSpaceDN w:val="0"/>
        <w:tabs>
          <w:tab w:pos="696" w:val="left"/>
        </w:tabs>
        <w:autoSpaceDE w:val="0"/>
        <w:widowControl/>
        <w:spacing w:line="245" w:lineRule="auto" w:before="0" w:after="0"/>
        <w:ind w:left="336" w:right="576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7.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Treatments, interventions, dosage regimens, washout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period, concomitant therapies, etc.</w:t>
      </w:r>
    </w:p>
    <w:p>
      <w:pPr>
        <w:autoSpaceDN w:val="0"/>
        <w:tabs>
          <w:tab w:pos="696" w:val="left"/>
        </w:tabs>
        <w:autoSpaceDE w:val="0"/>
        <w:widowControl/>
        <w:spacing w:line="245" w:lineRule="auto" w:before="0" w:after="0"/>
        <w:ind w:left="336" w:right="576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8.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Clinical outcomes evaluated, measured, and col-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lected, delineating primary versus secondary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endpoints, as well as pre-specified versus post hoc </w:t>
      </w:r>
    </w:p>
    <w:p>
      <w:pPr>
        <w:autoSpaceDN w:val="0"/>
        <w:autoSpaceDE w:val="0"/>
        <w:widowControl/>
        <w:spacing w:line="186" w:lineRule="exact" w:before="568" w:after="0"/>
        <w:ind w:left="0" w:right="742" w:firstLine="0"/>
        <w:jc w:val="right"/>
      </w:pPr>
      <w:r>
        <w:rPr>
          <w:rFonts w:ascii="Asap" w:hAnsi="Asap" w:eastAsia="Asap"/>
          <w:b w:val="0"/>
          <w:i w:val="0"/>
          <w:color w:val="474C55"/>
          <w:sz w:val="14"/>
        </w:rPr>
        <w:t>Vol. 30, No. 4-b</w:t>
      </w:r>
      <w:r>
        <w:rPr>
          <w:rFonts w:ascii="Asap" w:hAnsi="Asap" w:eastAsia="Asap"/>
          <w:b w:val="0"/>
          <w:i w:val="0"/>
          <w:color w:val="474C55"/>
          <w:sz w:val="14"/>
        </w:rPr>
        <w:t>|</w:t>
      </w:r>
      <w:r>
        <w:rPr>
          <w:rFonts w:ascii="Asap" w:hAnsi="Asap" w:eastAsia="Asap"/>
          <w:b w:val="0"/>
          <w:i w:val="0"/>
          <w:color w:val="474C55"/>
          <w:sz w:val="14"/>
        </w:rPr>
        <w:t>April 2024</w:t>
      </w:r>
      <w:r>
        <w:rPr>
          <w:rFonts w:ascii="Asap" w:hAnsi="Asap" w:eastAsia="Asap"/>
          <w:b w:val="0"/>
          <w:i w:val="0"/>
          <w:color w:val="474C55"/>
          <w:sz w:val="14"/>
        </w:rPr>
        <w:t>|</w:t>
      </w:r>
      <w:r>
        <w:rPr>
          <w:rFonts w:ascii="Asap" w:hAnsi="Asap" w:eastAsia="Asap"/>
          <w:b/>
          <w:i w:val="0"/>
          <w:color w:val="14377D"/>
          <w:sz w:val="14"/>
        </w:rPr>
        <w:t xml:space="preserve"> JMCP</w:t>
      </w:r>
      <w:r>
        <w:rPr>
          <w:rFonts w:ascii="Asap" w:hAnsi="Asap" w:eastAsia="Asap"/>
          <w:b w:val="0"/>
          <w:i w:val="0"/>
          <w:color w:val="14377D"/>
          <w:sz w:val="14"/>
        </w:rPr>
        <w:t>.org</w:t>
      </w:r>
    </w:p>
    <w:p>
      <w:pPr>
        <w:sectPr>
          <w:type w:val="nextColumn"/>
          <w:pgSz w:w="11880" w:h="15660"/>
          <w:pgMar w:top="360" w:right="0" w:bottom="266" w:left="720" w:header="720" w:footer="720" w:gutter="0"/>
          <w:cols w:num="2" w:equalWidth="0">
            <w:col w:w="5244" w:space="0"/>
            <w:col w:w="5916" w:space="0"/>
          </w:cols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883"/>
        <w:gridCol w:w="4883"/>
      </w:tblGrid>
      <w:tr>
        <w:trPr>
          <w:trHeight w:hRule="exact" w:val="362"/>
        </w:trPr>
        <w:tc>
          <w:tcPr>
            <w:tcW w:type="dxa" w:w="1094"/>
            <w:tcBorders/>
            <w:shd w:fill="6b146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4" w:after="0"/>
              <w:ind w:left="0" w:right="90" w:firstLine="0"/>
              <w:jc w:val="right"/>
            </w:pPr>
            <w:r>
              <w:rPr>
                <w:rFonts w:ascii="Asap" w:hAnsi="Asap" w:eastAsia="Asap"/>
                <w:b/>
                <w:i w:val="0"/>
                <w:color w:val="FFFFFF"/>
                <w:sz w:val="18"/>
              </w:rPr>
              <w:t>24</w:t>
            </w:r>
          </w:p>
        </w:tc>
        <w:tc>
          <w:tcPr>
            <w:tcW w:type="dxa" w:w="584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4" w:after="0"/>
              <w:ind w:left="90" w:right="0" w:firstLine="0"/>
              <w:jc w:val="left"/>
            </w:pPr>
            <w:r>
              <w:rPr>
                <w:rFonts w:ascii="Asap" w:hAnsi="Asap" w:eastAsia="Asap"/>
                <w:b/>
                <w:i w:val="0"/>
                <w:color w:val="474C55"/>
                <w:sz w:val="18"/>
              </w:rPr>
              <w:t>AMCP FORMAT 5.0</w:t>
            </w:r>
          </w:p>
        </w:tc>
      </w:tr>
    </w:tbl>
    <w:p>
      <w:pPr>
        <w:autoSpaceDN w:val="0"/>
        <w:autoSpaceDE w:val="0"/>
        <w:widowControl/>
        <w:spacing w:line="14" w:lineRule="exact" w:before="0" w:after="1038"/>
        <w:ind w:left="0" w:right="0"/>
      </w:pPr>
    </w:p>
    <w:p>
      <w:pPr>
        <w:sectPr>
          <w:pgSz w:w="11880" w:h="15660"/>
          <w:pgMar w:top="360" w:right="674" w:bottom="266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45" w:lineRule="auto" w:before="0" w:after="0"/>
        <w:ind w:left="1238" w:right="156" w:firstLine="0"/>
        <w:jc w:val="both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analyses. When applicable, information on surrogate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endpoints should also be provided (i.e., for expedited </w:t>
      </w:r>
      <w:r>
        <w:rPr>
          <w:rFonts w:ascii="Lora" w:hAnsi="Lora" w:eastAsia="Lora"/>
          <w:b w:val="0"/>
          <w:i w:val="0"/>
          <w:color w:val="000000"/>
          <w:sz w:val="18"/>
        </w:rPr>
        <w:t>pathways).</w:t>
      </w:r>
    </w:p>
    <w:p>
      <w:pPr>
        <w:autoSpaceDN w:val="0"/>
        <w:tabs>
          <w:tab w:pos="1238" w:val="left"/>
        </w:tabs>
        <w:autoSpaceDE w:val="0"/>
        <w:widowControl/>
        <w:spacing w:line="245" w:lineRule="auto" w:before="0" w:after="0"/>
        <w:ind w:left="878" w:right="144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9.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Measures of effect (e.g., risk difference, risk ratio,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odds ratio, number needed to treat), statistical sig-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nificance of outcomes, and power calculations.</w:t>
      </w:r>
    </w:p>
    <w:p>
      <w:pPr>
        <w:autoSpaceDN w:val="0"/>
        <w:autoSpaceDE w:val="0"/>
        <w:widowControl/>
        <w:spacing w:line="245" w:lineRule="auto" w:before="0" w:after="0"/>
        <w:ind w:left="878" w:right="432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10. Validation of outcomes instruments, if applicable. </w:t>
      </w:r>
      <w:r>
        <w:rPr>
          <w:rFonts w:ascii="Lora" w:hAnsi="Lora" w:eastAsia="Lora"/>
          <w:b w:val="0"/>
          <w:i w:val="0"/>
          <w:color w:val="000000"/>
          <w:sz w:val="18"/>
        </w:rPr>
        <w:t>11. Generalizability of the population treated.</w:t>
      </w:r>
    </w:p>
    <w:p>
      <w:pPr>
        <w:autoSpaceDN w:val="0"/>
        <w:autoSpaceDE w:val="0"/>
        <w:widowControl/>
        <w:spacing w:line="223" w:lineRule="auto" w:before="0" w:after="0"/>
        <w:ind w:left="878" w:right="0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>12. Study limitations, as stated by the authors.</w:t>
      </w:r>
    </w:p>
    <w:p>
      <w:pPr>
        <w:autoSpaceDN w:val="0"/>
        <w:tabs>
          <w:tab w:pos="1418" w:val="left"/>
        </w:tabs>
        <w:autoSpaceDE w:val="0"/>
        <w:widowControl/>
        <w:spacing w:line="244" w:lineRule="exact" w:before="216" w:after="0"/>
        <w:ind w:left="698" w:right="144" w:firstLine="0"/>
        <w:jc w:val="left"/>
      </w:pPr>
      <w:r>
        <w:rPr>
          <w:rFonts w:ascii="Asap" w:hAnsi="Asap" w:eastAsia="Asap"/>
          <w:b/>
          <w:i w:val="0"/>
          <w:color w:val="14377D"/>
          <w:sz w:val="20"/>
        </w:rPr>
        <w:t xml:space="preserve">3.2A </w:t>
      </w:r>
      <w:r>
        <w:tab/>
      </w:r>
      <w:r>
        <w:rPr>
          <w:rFonts w:ascii="Asap" w:hAnsi="Asap" w:eastAsia="Asap"/>
          <w:b/>
          <w:i w:val="0"/>
          <w:color w:val="14377D"/>
          <w:sz w:val="20"/>
        </w:rPr>
        <w:t xml:space="preserve">EVIDENCE TABLES 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The recommended length of a row in the evidence table is </w:t>
      </w:r>
      <w:r>
        <w:rPr>
          <w:rFonts w:ascii="Lora" w:hAnsi="Lora" w:eastAsia="Lora"/>
          <w:b w:val="0"/>
          <w:i w:val="0"/>
          <w:color w:val="000000"/>
          <w:sz w:val="18"/>
        </w:rPr>
        <w:t>less than one page (maximum two) for each study.</w:t>
      </w:r>
    </w:p>
    <w:p>
      <w:pPr>
        <w:autoSpaceDN w:val="0"/>
        <w:tabs>
          <w:tab w:pos="878" w:val="left"/>
          <w:tab w:pos="1058" w:val="left"/>
        </w:tabs>
        <w:autoSpaceDE w:val="0"/>
        <w:widowControl/>
        <w:spacing w:line="245" w:lineRule="auto" w:before="0" w:after="0"/>
        <w:ind w:left="698" w:right="144" w:firstLine="0"/>
        <w:jc w:val="left"/>
      </w:pP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Evidence tables should include the following data </w:t>
      </w:r>
      <w:r>
        <w:rPr>
          <w:rFonts w:ascii="Lora" w:hAnsi="Lora" w:eastAsia="Lora"/>
          <w:b w:val="0"/>
          <w:i w:val="0"/>
          <w:color w:val="000000"/>
          <w:sz w:val="18"/>
        </w:rPr>
        <w:t>elements:</w:t>
      </w:r>
      <w:r>
        <w:br/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• Citation (if unpublished, give abstract information or </w:t>
      </w:r>
      <w:r>
        <w:tab/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indicate “data on file”)</w:t>
      </w:r>
      <w:r>
        <w:br/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• Treatments</w:t>
      </w:r>
      <w:r>
        <w:br/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• Sample size and length of follow-up</w:t>
      </w:r>
      <w:r>
        <w:br/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• Inclusion and exclusion criteria</w:t>
      </w:r>
      <w:r>
        <w:br/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• Design</w:t>
      </w:r>
      <w:r>
        <w:br/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• Primary endpoints</w:t>
      </w:r>
      <w:r>
        <w:br/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• Secondary endpoints</w:t>
      </w:r>
      <w:r>
        <w:br/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• Results (provide an explicit statement of effect size, </w:t>
      </w:r>
      <w:r>
        <w:tab/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and/or absolute risk difference, not just relative risk </w:t>
      </w:r>
      <w:r>
        <w:tab/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reduction and statistical significance. Within the </w:t>
      </w:r>
      <w:r>
        <w:tab/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Results column, include a table of key results.)</w:t>
      </w:r>
      <w:r>
        <w:br/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• Statistical significance (e.g., p-value and confidence </w:t>
      </w:r>
      <w:r>
        <w:tab/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interval) </w:t>
      </w:r>
      <w:r>
        <w:br/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It may be helpful to display evidence tables in landscape </w:t>
      </w:r>
      <w:r>
        <w:rPr>
          <w:rFonts w:ascii="Lora" w:hAnsi="Lora" w:eastAsia="Lora"/>
          <w:b w:val="0"/>
          <w:i w:val="0"/>
          <w:color w:val="000000"/>
          <w:sz w:val="18"/>
        </w:rPr>
        <w:t>rather than portrait formats with appropriate use of abbre-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viations and other acceptable ways to display data in a clear, </w:t>
      </w:r>
      <w:r>
        <w:rPr>
          <w:rFonts w:ascii="Lora" w:hAnsi="Lora" w:eastAsia="Lora"/>
          <w:b w:val="0"/>
          <w:i w:val="0"/>
          <w:color w:val="000000"/>
          <w:sz w:val="18"/>
        </w:rPr>
        <w:t>objective, and concise way.</w:t>
      </w:r>
    </w:p>
    <w:p>
      <w:pPr>
        <w:autoSpaceDN w:val="0"/>
        <w:autoSpaceDE w:val="0"/>
        <w:widowControl/>
        <w:spacing w:line="424" w:lineRule="exact" w:before="154" w:after="0"/>
        <w:ind w:left="698" w:right="0" w:firstLine="0"/>
        <w:jc w:val="left"/>
      </w:pPr>
      <w:r>
        <w:rPr>
          <w:rFonts w:ascii="Asap" w:hAnsi="Asap" w:eastAsia="Asap"/>
          <w:b/>
          <w:i w:val="0"/>
          <w:color w:val="6C146B"/>
          <w:sz w:val="32"/>
        </w:rPr>
        <w:t>4.0A Economic Information</w:t>
      </w:r>
    </w:p>
    <w:p>
      <w:pPr>
        <w:autoSpaceDN w:val="0"/>
        <w:autoSpaceDE w:val="0"/>
        <w:widowControl/>
        <w:spacing w:line="245" w:lineRule="auto" w:before="98" w:after="0"/>
        <w:ind w:left="698" w:right="144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AMCP acknowledges that the price of an unapproved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product is typically not disclosed  until final approval by the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FDA or market launch of the product. The FDA recognizes </w:t>
      </w:r>
      <w:r>
        <w:rPr>
          <w:rFonts w:ascii="Lora" w:hAnsi="Lora" w:eastAsia="Lora"/>
          <w:b w:val="0"/>
          <w:i w:val="0"/>
          <w:color w:val="000000"/>
          <w:sz w:val="18"/>
        </w:rPr>
        <w:t>that HCDMs need and are interested in receiving infor-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mation from manufacturers about unapproved products.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HCDMs need such information to begin to inform their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plans and budgets for future coverage and reimbursement </w:t>
      </w:r>
      <w:r>
        <w:rPr>
          <w:rFonts w:ascii="Lora" w:hAnsi="Lora" w:eastAsia="Lora"/>
          <w:b w:val="0"/>
          <w:i w:val="0"/>
          <w:color w:val="000000"/>
          <w:sz w:val="18"/>
        </w:rPr>
        <w:t>decisions well before FDA approval. A key piece of informa-</w:t>
      </w:r>
      <w:r>
        <w:rPr>
          <w:rFonts w:ascii="Lora" w:hAnsi="Lora" w:eastAsia="Lora"/>
          <w:b w:val="0"/>
          <w:i w:val="0"/>
          <w:color w:val="000000"/>
          <w:sz w:val="18"/>
        </w:rPr>
        <w:t>tion is product pricing.</w:t>
      </w:r>
    </w:p>
    <w:p>
      <w:pPr>
        <w:autoSpaceDN w:val="0"/>
        <w:autoSpaceDE w:val="0"/>
        <w:widowControl/>
        <w:spacing w:line="245" w:lineRule="auto" w:before="0" w:after="0"/>
        <w:ind w:left="698" w:right="154" w:firstLine="180"/>
        <w:jc w:val="both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AMCP strongly recommends that manufacturers provide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as much product pricing information as possible so that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HCDMs may plan and budget for future coverage and </w:t>
      </w:r>
      <w:r>
        <w:rPr>
          <w:rFonts w:ascii="Lora" w:hAnsi="Lora" w:eastAsia="Lora"/>
          <w:b w:val="0"/>
          <w:i w:val="0"/>
          <w:color w:val="000000"/>
          <w:sz w:val="18"/>
        </w:rPr>
        <w:t>reimbursement decisions prior to FDA approval.</w:t>
      </w:r>
    </w:p>
    <w:p>
      <w:pPr>
        <w:autoSpaceDN w:val="0"/>
        <w:autoSpaceDE w:val="0"/>
        <w:widowControl/>
        <w:spacing w:line="245" w:lineRule="auto" w:before="0" w:after="0"/>
        <w:ind w:left="698" w:right="144" w:firstLine="18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Product pricing information may help HCDMs consider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the potential economic impact and consequences of the </w:t>
      </w:r>
    </w:p>
    <w:p>
      <w:pPr>
        <w:autoSpaceDN w:val="0"/>
        <w:autoSpaceDE w:val="0"/>
        <w:widowControl/>
        <w:spacing w:line="186" w:lineRule="exact" w:before="604" w:after="0"/>
        <w:ind w:left="740" w:right="0" w:firstLine="0"/>
        <w:jc w:val="left"/>
      </w:pPr>
      <w:r>
        <w:rPr>
          <w:rFonts w:ascii="Asap" w:hAnsi="Asap" w:eastAsia="Asap"/>
          <w:b/>
          <w:i w:val="0"/>
          <w:color w:val="14377D"/>
          <w:sz w:val="14"/>
        </w:rPr>
        <w:t>JMCP</w:t>
      </w:r>
      <w:r>
        <w:rPr>
          <w:rFonts w:ascii="Asap" w:hAnsi="Asap" w:eastAsia="Asap"/>
          <w:b w:val="0"/>
          <w:i w:val="0"/>
          <w:color w:val="14377D"/>
          <w:sz w:val="14"/>
        </w:rPr>
        <w:t>.org</w:t>
      </w:r>
      <w:r>
        <w:rPr>
          <w:rFonts w:ascii="Asap" w:hAnsi="Asap" w:eastAsia="Asap"/>
          <w:b w:val="0"/>
          <w:i w:val="0"/>
          <w:color w:val="474C55"/>
          <w:sz w:val="14"/>
        </w:rPr>
        <w:t>|</w:t>
      </w:r>
      <w:r>
        <w:rPr>
          <w:rFonts w:ascii="Asap" w:hAnsi="Asap" w:eastAsia="Asap"/>
          <w:b w:val="0"/>
          <w:i w:val="0"/>
          <w:color w:val="474C55"/>
          <w:sz w:val="14"/>
        </w:rPr>
        <w:t>April 2024</w:t>
      </w:r>
      <w:r>
        <w:rPr>
          <w:rFonts w:ascii="Asap" w:hAnsi="Asap" w:eastAsia="Asap"/>
          <w:b w:val="0"/>
          <w:i w:val="0"/>
          <w:color w:val="474C55"/>
          <w:sz w:val="14"/>
        </w:rPr>
        <w:t>|</w:t>
      </w:r>
      <w:r>
        <w:rPr>
          <w:rFonts w:ascii="Asap" w:hAnsi="Asap" w:eastAsia="Asap"/>
          <w:b w:val="0"/>
          <w:i w:val="0"/>
          <w:color w:val="474C55"/>
          <w:sz w:val="14"/>
        </w:rPr>
        <w:t>Vol. 30, No. 4-B</w:t>
      </w:r>
    </w:p>
    <w:p>
      <w:pPr>
        <w:sectPr>
          <w:type w:val="continuous"/>
          <w:pgSz w:w="11880" w:h="15660"/>
          <w:pgMar w:top="360" w:right="674" w:bottom="266" w:left="0" w:header="720" w:footer="720" w:gutter="0"/>
          <w:cols w:num="2" w:equalWidth="0">
            <w:col w:w="5940" w:space="0"/>
            <w:col w:w="5265" w:space="0"/>
          </w:cols>
          <w:docGrid w:linePitch="360"/>
        </w:sectPr>
      </w:pPr>
    </w:p>
    <w:p>
      <w:pPr>
        <w:autoSpaceDN w:val="0"/>
        <w:autoSpaceDE w:val="0"/>
        <w:widowControl/>
        <w:spacing w:line="245" w:lineRule="auto" w:before="0" w:after="0"/>
        <w:ind w:left="158" w:right="22" w:firstLine="0"/>
        <w:jc w:val="both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product. Product pricing information may be provided in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the form of price ranges or corridors, rather than a specific </w:t>
      </w:r>
      <w:r>
        <w:rPr>
          <w:rFonts w:ascii="Lora" w:hAnsi="Lora" w:eastAsia="Lora"/>
          <w:b w:val="0"/>
          <w:i w:val="0"/>
          <w:color w:val="000000"/>
          <w:sz w:val="18"/>
        </w:rPr>
        <w:t>dollar figure.</w:t>
      </w:r>
    </w:p>
    <w:p>
      <w:pPr>
        <w:autoSpaceDN w:val="0"/>
        <w:autoSpaceDE w:val="0"/>
        <w:widowControl/>
        <w:spacing w:line="245" w:lineRule="auto" w:before="0" w:after="0"/>
        <w:ind w:left="158" w:right="0" w:firstLine="18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Budget impact and cost-effectiveness models may not be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feasible to construct or communicate prior to FDA approval </w:t>
      </w:r>
      <w:r>
        <w:rPr>
          <w:rFonts w:ascii="Lora" w:hAnsi="Lora" w:eastAsia="Lora"/>
          <w:b w:val="0"/>
          <w:i w:val="0"/>
          <w:color w:val="000000"/>
          <w:sz w:val="18"/>
        </w:rPr>
        <w:t>because such models rely on certain outcomes and assump-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tions regarding effectiveness and safety of a product and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target population or indication. No characterizations or </w:t>
      </w:r>
      <w:r>
        <w:rPr>
          <w:rFonts w:ascii="Lora" w:hAnsi="Lora" w:eastAsia="Lora"/>
          <w:b w:val="0"/>
          <w:i w:val="0"/>
          <w:color w:val="000000"/>
          <w:sz w:val="18"/>
        </w:rPr>
        <w:t>conclusions should be made regarding the safety or effec-</w:t>
      </w:r>
      <w:r>
        <w:rPr>
          <w:rFonts w:ascii="Lora" w:hAnsi="Lora" w:eastAsia="Lora"/>
          <w:b w:val="0"/>
          <w:i w:val="0"/>
          <w:color w:val="000000"/>
          <w:sz w:val="18"/>
        </w:rPr>
        <w:t>tiveness of the unapproved product.</w:t>
      </w:r>
    </w:p>
    <w:p>
      <w:pPr>
        <w:autoSpaceDN w:val="0"/>
        <w:autoSpaceDE w:val="0"/>
        <w:widowControl/>
        <w:spacing w:line="245" w:lineRule="auto" w:before="0" w:after="0"/>
        <w:ind w:left="158" w:right="22" w:firstLine="180"/>
        <w:jc w:val="both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When deemed necessary, manufacturers may request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execution of nondisclosure agreements so that sensitive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or confidential pricing information may be shared or </w:t>
      </w:r>
      <w:r>
        <w:rPr>
          <w:rFonts w:ascii="Lora" w:hAnsi="Lora" w:eastAsia="Lora"/>
          <w:b w:val="0"/>
          <w:i w:val="0"/>
          <w:color w:val="000000"/>
          <w:sz w:val="18"/>
        </w:rPr>
        <w:t>discussed in a protected manner.</w:t>
      </w:r>
    </w:p>
    <w:p>
      <w:pPr>
        <w:autoSpaceDN w:val="0"/>
        <w:tabs>
          <w:tab w:pos="338" w:val="left"/>
          <w:tab w:pos="518" w:val="left"/>
        </w:tabs>
        <w:autoSpaceDE w:val="0"/>
        <w:widowControl/>
        <w:spacing w:line="245" w:lineRule="auto" w:before="0" w:after="0"/>
        <w:ind w:left="158" w:right="0" w:firstLine="0"/>
        <w:jc w:val="left"/>
      </w:pP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Economic information about an unapproved product may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be provided in a variety of ways, which may include the </w:t>
      </w:r>
      <w:r>
        <w:rPr>
          <w:rFonts w:ascii="Lora" w:hAnsi="Lora" w:eastAsia="Lora"/>
          <w:b w:val="0"/>
          <w:i w:val="0"/>
          <w:color w:val="000000"/>
          <w:sz w:val="18"/>
        </w:rPr>
        <w:t>following:</w:t>
      </w:r>
      <w:r>
        <w:br/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• Estimated cost or range of cost (e.g., per year, per </w:t>
      </w:r>
      <w:r>
        <w:tab/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patient, per course)</w:t>
      </w:r>
      <w:r>
        <w:br/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• Directional estimations of cost or range of cost relative </w:t>
      </w:r>
      <w:r>
        <w:tab/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to other treatment options</w:t>
      </w:r>
      <w:r>
        <w:br/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• Rationale for pricing strategy</w:t>
      </w:r>
    </w:p>
    <w:p>
      <w:pPr>
        <w:autoSpaceDN w:val="0"/>
        <w:autoSpaceDE w:val="0"/>
        <w:widowControl/>
        <w:spacing w:line="360" w:lineRule="exact" w:before="218" w:after="0"/>
        <w:ind w:left="158" w:right="1152" w:firstLine="0"/>
        <w:jc w:val="left"/>
      </w:pPr>
      <w:r>
        <w:rPr>
          <w:rFonts w:ascii="Asap" w:hAnsi="Asap" w:eastAsia="Asap"/>
          <w:b/>
          <w:i w:val="0"/>
          <w:color w:val="6C146B"/>
          <w:sz w:val="32"/>
        </w:rPr>
        <w:t xml:space="preserve">5.0A Additional Supporting </w:t>
      </w:r>
      <w:r>
        <w:rPr>
          <w:rFonts w:ascii="Asap" w:hAnsi="Asap" w:eastAsia="Asap"/>
          <w:b/>
          <w:i w:val="0"/>
          <w:color w:val="6C146B"/>
          <w:sz w:val="32"/>
        </w:rPr>
        <w:t>Evidence</w:t>
      </w:r>
    </w:p>
    <w:p>
      <w:pPr>
        <w:autoSpaceDN w:val="0"/>
        <w:autoSpaceDE w:val="0"/>
        <w:widowControl/>
        <w:spacing w:line="245" w:lineRule="auto" w:before="98" w:after="0"/>
        <w:ind w:left="158" w:right="0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>Only in limited circumstances would this section be popu-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lated, such as evidence from use outside of the U.S. When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available, relevant data supporting the unapproved product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(from clinical practice guidelines, HTAs and systematic </w:t>
      </w:r>
      <w:r>
        <w:rPr>
          <w:rFonts w:ascii="Lora" w:hAnsi="Lora" w:eastAsia="Lora"/>
          <w:b w:val="0"/>
          <w:i w:val="0"/>
          <w:color w:val="000000"/>
          <w:sz w:val="18"/>
        </w:rPr>
        <w:t>reviews, modeling, and pharmacoeconomic and pharmaco-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equity studies) should be included. These data would often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consist of ex-U.S. sources so applicability to U.S. markets </w:t>
      </w:r>
      <w:r>
        <w:rPr>
          <w:rFonts w:ascii="Lora" w:hAnsi="Lora" w:eastAsia="Lora"/>
          <w:b w:val="0"/>
          <w:i w:val="0"/>
          <w:color w:val="000000"/>
          <w:sz w:val="18"/>
        </w:rPr>
        <w:t>should be considered.</w:t>
      </w:r>
    </w:p>
    <w:p>
      <w:pPr>
        <w:autoSpaceDN w:val="0"/>
        <w:tabs>
          <w:tab w:pos="878" w:val="left"/>
        </w:tabs>
        <w:autoSpaceDE w:val="0"/>
        <w:widowControl/>
        <w:spacing w:line="240" w:lineRule="exact" w:before="220" w:after="0"/>
        <w:ind w:left="158" w:right="0" w:firstLine="0"/>
        <w:jc w:val="left"/>
      </w:pPr>
      <w:r>
        <w:rPr>
          <w:rFonts w:ascii="Asap" w:hAnsi="Asap" w:eastAsia="Asap"/>
          <w:b/>
          <w:i w:val="0"/>
          <w:color w:val="14377D"/>
          <w:sz w:val="20"/>
        </w:rPr>
        <w:t xml:space="preserve">5.1A </w:t>
      </w:r>
      <w:r>
        <w:tab/>
      </w:r>
      <w:r>
        <w:rPr>
          <w:rFonts w:ascii="Asap" w:hAnsi="Asap" w:eastAsia="Asap"/>
          <w:b/>
          <w:i w:val="0"/>
          <w:color w:val="14377D"/>
          <w:sz w:val="20"/>
        </w:rPr>
        <w:t xml:space="preserve">CLINICAL PRACTICE GUIDELINES 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Identify important clinical practice guidelines that have been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developed and published by medical societies, government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agencies, and other national or international organizations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that are relevant to the unapproved product. This may also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include position statements, consensus statements, clinical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pathways, and other similarly termed guidance that are </w:t>
      </w:r>
      <w:r>
        <w:rPr>
          <w:rFonts w:ascii="Lora" w:hAnsi="Lora" w:eastAsia="Lora"/>
          <w:b w:val="0"/>
          <w:i w:val="0"/>
          <w:color w:val="000000"/>
          <w:sz w:val="18"/>
        </w:rPr>
        <w:t>evidence-based and provide specific clinical recommenda-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tions. Focus on guideline recommendations specific to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the unapproved product, its comparators, and the disease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state and how the unapproved product is anticipated to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be included in or influenced by the guidelines. Summarize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information from clinical practice guidelines briefly and, if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feasible, provide a copy of the full guidelines on request or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provide links to the original guidelines. </w:t>
      </w:r>
    </w:p>
    <w:p>
      <w:pPr>
        <w:autoSpaceDN w:val="0"/>
        <w:autoSpaceDE w:val="0"/>
        <w:widowControl/>
        <w:spacing w:line="221" w:lineRule="auto" w:before="0" w:after="0"/>
        <w:ind w:left="338" w:right="0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The manufacturer should describe how it included or </w:t>
      </w:r>
    </w:p>
    <w:p>
      <w:pPr>
        <w:sectPr>
          <w:type w:val="nextColumn"/>
          <w:pgSz w:w="11880" w:h="15660"/>
          <w:pgMar w:top="360" w:right="674" w:bottom="266" w:left="0" w:header="720" w:footer="720" w:gutter="0"/>
          <w:cols w:num="2" w:equalWidth="0">
            <w:col w:w="5940" w:space="0"/>
            <w:col w:w="5265" w:space="0"/>
          </w:cols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220.0" w:type="dxa"/>
      </w:tblPr>
      <w:tblGrid>
        <w:gridCol w:w="4860"/>
        <w:gridCol w:w="4860"/>
      </w:tblGrid>
      <w:tr>
        <w:trPr>
          <w:trHeight w:hRule="exact" w:val="362"/>
        </w:trPr>
        <w:tc>
          <w:tcPr>
            <w:tcW w:type="dxa" w:w="584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4" w:after="0"/>
              <w:ind w:left="0" w:right="90" w:firstLine="0"/>
              <w:jc w:val="right"/>
            </w:pPr>
            <w:r>
              <w:rPr>
                <w:rFonts w:ascii="Asap" w:hAnsi="Asap" w:eastAsia="Asap"/>
                <w:b/>
                <w:i w:val="0"/>
                <w:color w:val="474C55"/>
                <w:sz w:val="18"/>
              </w:rPr>
              <w:t>AMCP FORMAT 5.0</w:t>
            </w:r>
          </w:p>
        </w:tc>
        <w:tc>
          <w:tcPr>
            <w:tcW w:type="dxa" w:w="1094"/>
            <w:tcBorders/>
            <w:shd w:fill="6b146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72" w:after="0"/>
              <w:ind w:left="90" w:right="0" w:firstLine="0"/>
              <w:jc w:val="left"/>
            </w:pPr>
            <w:r>
              <w:rPr>
                <w:rFonts w:ascii="Asap" w:hAnsi="Asap" w:eastAsia="Asap"/>
                <w:b/>
                <w:i w:val="0"/>
                <w:color w:val="FFFFFF"/>
                <w:sz w:val="18"/>
              </w:rPr>
              <w:t>25</w:t>
            </w:r>
          </w:p>
        </w:tc>
      </w:tr>
    </w:tbl>
    <w:p>
      <w:pPr>
        <w:autoSpaceDN w:val="0"/>
        <w:autoSpaceDE w:val="0"/>
        <w:widowControl/>
        <w:spacing w:line="14" w:lineRule="exact" w:before="0" w:after="1038"/>
        <w:ind w:left="0" w:right="0"/>
      </w:pPr>
    </w:p>
    <w:p>
      <w:pPr>
        <w:sectPr>
          <w:pgSz w:w="11880" w:h="15660"/>
          <w:pgMar w:top="360" w:right="0" w:bottom="266" w:left="72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1" w:lineRule="auto" w:before="0" w:after="0"/>
        <w:ind w:left="0" w:right="0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>excluded clinical practice guidelines in this section.</w:t>
      </w:r>
    </w:p>
    <w:p>
      <w:pPr>
        <w:autoSpaceDN w:val="0"/>
        <w:tabs>
          <w:tab w:pos="720" w:val="left"/>
        </w:tabs>
        <w:autoSpaceDE w:val="0"/>
        <w:widowControl/>
        <w:spacing w:line="240" w:lineRule="exact" w:before="222" w:after="0"/>
        <w:ind w:left="0" w:right="144" w:firstLine="0"/>
        <w:jc w:val="left"/>
      </w:pPr>
      <w:r>
        <w:rPr>
          <w:rFonts w:ascii="Asap" w:hAnsi="Asap" w:eastAsia="Asap"/>
          <w:b/>
          <w:i w:val="0"/>
          <w:color w:val="14377D"/>
          <w:sz w:val="20"/>
        </w:rPr>
        <w:t xml:space="preserve">5.2A </w:t>
      </w:r>
      <w:r>
        <w:tab/>
      </w:r>
      <w:r>
        <w:rPr>
          <w:rFonts w:ascii="Asap" w:hAnsi="Asap" w:eastAsia="Asap"/>
          <w:b/>
          <w:i w:val="0"/>
          <w:color w:val="14377D"/>
          <w:sz w:val="20"/>
        </w:rPr>
        <w:t xml:space="preserve">HTAS AND SYSTEMATIC REVIEWS 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>Summarize relevant HTAs, systematic reviews, and evi-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dence frameworks (also known as value frameworks) that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are available. Examples include Cochrane Collaboration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systematic reviews, formal systematic reviews published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in peer-reviewed journals, evidence reviews by the Agency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for Healthcare Research and Quality (AHRQ) and the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Patient-Centered Outcomes Research Institute (PCORI),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reports from the ICER, and HTAs from recognized public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or private organizations, including international bodies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such as National Institute of Clinical Excellence (NICE) and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Canadian Agency for Drugs and Technologies in Health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(CADTH). Summarize the information that is relevant to the </w:t>
      </w:r>
      <w:r>
        <w:rPr>
          <w:rFonts w:ascii="Lora" w:hAnsi="Lora" w:eastAsia="Lora"/>
          <w:b w:val="0"/>
          <w:i w:val="0"/>
          <w:color w:val="000000"/>
          <w:sz w:val="18"/>
        </w:rPr>
        <w:t>unapproved product.</w:t>
      </w:r>
    </w:p>
    <w:p>
      <w:pPr>
        <w:autoSpaceDN w:val="0"/>
        <w:tabs>
          <w:tab w:pos="720" w:val="left"/>
        </w:tabs>
        <w:autoSpaceDE w:val="0"/>
        <w:widowControl/>
        <w:spacing w:line="240" w:lineRule="exact" w:before="220" w:after="0"/>
        <w:ind w:left="0" w:right="144" w:firstLine="0"/>
        <w:jc w:val="left"/>
      </w:pPr>
      <w:r>
        <w:rPr>
          <w:rFonts w:ascii="Asap" w:hAnsi="Asap" w:eastAsia="Asap"/>
          <w:b/>
          <w:i w:val="0"/>
          <w:color w:val="14377D"/>
          <w:sz w:val="20"/>
        </w:rPr>
        <w:t xml:space="preserve">5.3A </w:t>
      </w:r>
      <w:r>
        <w:tab/>
      </w:r>
      <w:r>
        <w:rPr>
          <w:rFonts w:ascii="Asap" w:hAnsi="Asap" w:eastAsia="Asap"/>
          <w:b/>
          <w:i w:val="0"/>
          <w:color w:val="14377D"/>
          <w:sz w:val="20"/>
        </w:rPr>
        <w:t xml:space="preserve">OTHER ECONOMIC OR OUTCOMES EVIDENCE </w:t>
      </w:r>
      <w:r>
        <w:rPr>
          <w:rFonts w:ascii="Lora" w:hAnsi="Lora" w:eastAsia="Lora"/>
          <w:b w:val="0"/>
          <w:i w:val="0"/>
          <w:color w:val="000000"/>
          <w:sz w:val="18"/>
        </w:rPr>
        <w:t>Include published studies that result in economic evi-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dence or other outcomes that do not fit in Section 3.0A,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for example, pharmacoeconomic, modeling, health care </w:t>
      </w:r>
      <w:r>
        <w:rPr>
          <w:rFonts w:ascii="Lora" w:hAnsi="Lora" w:eastAsia="Lora"/>
          <w:b w:val="0"/>
          <w:i w:val="0"/>
          <w:color w:val="000000"/>
          <w:sz w:val="18"/>
        </w:rPr>
        <w:t>utilization, pharmacoequity considerations, and productiv-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ity studies, including real-world evidence. Conduct and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reporting of studies in this section should follow accepted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practice as evidenced by published methodology and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reporting guidelines from reputable professional societies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or government agencies. </w:t>
      </w:r>
    </w:p>
    <w:p>
      <w:pPr>
        <w:autoSpaceDN w:val="0"/>
        <w:tabs>
          <w:tab w:pos="720" w:val="left"/>
        </w:tabs>
        <w:autoSpaceDE w:val="0"/>
        <w:widowControl/>
        <w:spacing w:line="240" w:lineRule="exact" w:before="220" w:after="0"/>
        <w:ind w:left="0" w:right="144" w:firstLine="0"/>
        <w:jc w:val="left"/>
      </w:pPr>
      <w:r>
        <w:rPr>
          <w:rFonts w:ascii="Asap" w:hAnsi="Asap" w:eastAsia="Asap"/>
          <w:b/>
          <w:i w:val="0"/>
          <w:color w:val="14377D"/>
          <w:sz w:val="20"/>
        </w:rPr>
        <w:t xml:space="preserve">5.4A </w:t>
      </w:r>
      <w:r>
        <w:tab/>
      </w:r>
      <w:r>
        <w:rPr>
          <w:rFonts w:ascii="Asap" w:hAnsi="Asap" w:eastAsia="Asap"/>
          <w:b/>
          <w:i w:val="0"/>
          <w:color w:val="14377D"/>
          <w:sz w:val="20"/>
        </w:rPr>
        <w:t xml:space="preserve">EFFECT ON EQUITY 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Phase 3 RCTs and cost-effectiveness analyses typically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do not address barriers to the equitable use of a product.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Such barriers may include, but are not limited to, access to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specialists, health disparities and social barriers, stigma,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and the patient’s ability to afford and utilize a medication.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While health equity data for new interventions may initially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be limited, equity considerations often have implications for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value assessment and should be discussed. </w:t>
      </w:r>
    </w:p>
    <w:p>
      <w:pPr>
        <w:autoSpaceDN w:val="0"/>
        <w:tabs>
          <w:tab w:pos="720" w:val="left"/>
        </w:tabs>
        <w:autoSpaceDE w:val="0"/>
        <w:widowControl/>
        <w:spacing w:line="242" w:lineRule="exact" w:before="218" w:after="0"/>
        <w:ind w:left="0" w:right="144" w:firstLine="0"/>
        <w:jc w:val="left"/>
      </w:pPr>
      <w:r>
        <w:rPr>
          <w:rFonts w:ascii="Asap" w:hAnsi="Asap" w:eastAsia="Asap"/>
          <w:b/>
          <w:i w:val="0"/>
          <w:color w:val="14377D"/>
          <w:sz w:val="20"/>
        </w:rPr>
        <w:t xml:space="preserve">5.5A </w:t>
      </w:r>
      <w:r>
        <w:tab/>
      </w:r>
      <w:r>
        <w:rPr>
          <w:rFonts w:ascii="Asap" w:hAnsi="Asap" w:eastAsia="Asap"/>
          <w:b/>
          <w:i w:val="0"/>
          <w:color w:val="14377D"/>
          <w:sz w:val="20"/>
        </w:rPr>
        <w:t xml:space="preserve">EFFECT ON QUALITY MEASURES 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This section is to accommodate information and research </w:t>
      </w:r>
      <w:r>
        <w:rPr>
          <w:rFonts w:ascii="Lora" w:hAnsi="Lora" w:eastAsia="Lora"/>
          <w:b w:val="0"/>
          <w:i w:val="0"/>
          <w:color w:val="000000"/>
          <w:sz w:val="18"/>
        </w:rPr>
        <w:t>where the unapproved product has a potential for or dem-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onstrated effect on quality measures that may not fit into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any other sections as described by the AMCP Format. If no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information exists, this section is not applicable. </w:t>
      </w:r>
    </w:p>
    <w:p>
      <w:pPr>
        <w:autoSpaceDN w:val="0"/>
        <w:tabs>
          <w:tab w:pos="720" w:val="left"/>
        </w:tabs>
        <w:autoSpaceDE w:val="0"/>
        <w:widowControl/>
        <w:spacing w:line="242" w:lineRule="exact" w:before="218" w:after="0"/>
        <w:ind w:left="0" w:right="144" w:firstLine="0"/>
        <w:jc w:val="left"/>
      </w:pPr>
      <w:r>
        <w:rPr>
          <w:rFonts w:ascii="Asap" w:hAnsi="Asap" w:eastAsia="Asap"/>
          <w:b/>
          <w:i w:val="0"/>
          <w:color w:val="14377D"/>
          <w:sz w:val="20"/>
        </w:rPr>
        <w:t xml:space="preserve">5.6A </w:t>
      </w:r>
      <w:r>
        <w:tab/>
      </w:r>
      <w:r>
        <w:rPr>
          <w:rFonts w:ascii="Asap" w:hAnsi="Asap" w:eastAsia="Asap"/>
          <w:b/>
          <w:i w:val="0"/>
          <w:color w:val="14377D"/>
          <w:sz w:val="20"/>
        </w:rPr>
        <w:t xml:space="preserve">OTHER EVIDENCE OR INFORMATION 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This section is to accommodate other important and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relevant evidence or information that may not fit into any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other sections as described by the AMCP Format. Examples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may include, but are not limited to, in vitro analytical tests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or animal studies that demonstrate pharmacokinetics for </w:t>
      </w:r>
    </w:p>
    <w:p>
      <w:pPr>
        <w:sectPr>
          <w:type w:val="continuous"/>
          <w:pgSz w:w="11880" w:h="15660"/>
          <w:pgMar w:top="360" w:right="0" w:bottom="266" w:left="720" w:header="720" w:footer="720" w:gutter="0"/>
          <w:cols w:num="2" w:equalWidth="0">
            <w:col w:w="5242" w:space="0"/>
            <w:col w:w="5918" w:space="0"/>
          </w:cols>
          <w:docGrid w:linePitch="360"/>
        </w:sectPr>
      </w:pPr>
    </w:p>
    <w:p>
      <w:pPr>
        <w:autoSpaceDN w:val="0"/>
        <w:autoSpaceDE w:val="0"/>
        <w:widowControl/>
        <w:spacing w:line="245" w:lineRule="auto" w:before="0" w:after="0"/>
        <w:ind w:left="158" w:right="576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>biosimilar products; other ancillary evidence that demon-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strates the uniqueness, benefits, or value of the product;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or information regarding effects on patients’ families and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caregivers. If no information exists, this section is not </w:t>
      </w:r>
      <w:r>
        <w:rPr>
          <w:rFonts w:ascii="Lora" w:hAnsi="Lora" w:eastAsia="Lora"/>
          <w:b w:val="0"/>
          <w:i w:val="0"/>
          <w:color w:val="000000"/>
          <w:sz w:val="18"/>
        </w:rPr>
        <w:t>applicable.</w:t>
      </w:r>
    </w:p>
    <w:p>
      <w:pPr>
        <w:autoSpaceDN w:val="0"/>
        <w:autoSpaceDE w:val="0"/>
        <w:widowControl/>
        <w:spacing w:line="424" w:lineRule="exact" w:before="152" w:after="0"/>
        <w:ind w:left="158" w:right="0" w:firstLine="0"/>
        <w:jc w:val="left"/>
      </w:pPr>
      <w:r>
        <w:rPr>
          <w:rFonts w:ascii="Asap" w:hAnsi="Asap" w:eastAsia="Asap"/>
          <w:b/>
          <w:i w:val="0"/>
          <w:color w:val="6C146B"/>
          <w:sz w:val="32"/>
        </w:rPr>
        <w:t>6.0A Dossier Appendices</w:t>
      </w:r>
    </w:p>
    <w:p>
      <w:pPr>
        <w:autoSpaceDN w:val="0"/>
        <w:autoSpaceDE w:val="0"/>
        <w:widowControl/>
        <w:spacing w:line="245" w:lineRule="auto" w:before="98" w:after="0"/>
        <w:ind w:left="158" w:right="576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The following information is valuable to HCDMs and should </w:t>
      </w:r>
      <w:r>
        <w:rPr>
          <w:rFonts w:ascii="Lora" w:hAnsi="Lora" w:eastAsia="Lora"/>
          <w:b w:val="0"/>
          <w:i w:val="0"/>
          <w:color w:val="000000"/>
          <w:sz w:val="18"/>
        </w:rPr>
        <w:t>be included in Section 6.0A, when possible.</w:t>
      </w:r>
    </w:p>
    <w:p>
      <w:pPr>
        <w:autoSpaceDN w:val="0"/>
        <w:tabs>
          <w:tab w:pos="878" w:val="left"/>
        </w:tabs>
        <w:autoSpaceDE w:val="0"/>
        <w:widowControl/>
        <w:spacing w:line="242" w:lineRule="exact" w:before="218" w:after="0"/>
        <w:ind w:left="158" w:right="576" w:firstLine="0"/>
        <w:jc w:val="left"/>
      </w:pPr>
      <w:r>
        <w:rPr>
          <w:rFonts w:ascii="Asap" w:hAnsi="Asap" w:eastAsia="Asap"/>
          <w:b/>
          <w:i w:val="0"/>
          <w:color w:val="14377D"/>
          <w:sz w:val="20"/>
        </w:rPr>
        <w:t xml:space="preserve">6.1A </w:t>
      </w:r>
      <w:r>
        <w:tab/>
      </w:r>
      <w:r>
        <w:rPr>
          <w:rFonts w:ascii="Asap" w:hAnsi="Asap" w:eastAsia="Asap"/>
          <w:b/>
          <w:i w:val="0"/>
          <w:color w:val="14377D"/>
          <w:sz w:val="20"/>
        </w:rPr>
        <w:t xml:space="preserve">REFERENCES CONTAINED IN DOSSIERS 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Include citations for all known published clinical and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economic studies in the bibliography section. Reprints of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relevant published studies should be available on request,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and where possible, links should be provided to original </w:t>
      </w:r>
      <w:r>
        <w:rPr>
          <w:rFonts w:ascii="Lora" w:hAnsi="Lora" w:eastAsia="Lora"/>
          <w:b w:val="0"/>
          <w:i w:val="0"/>
          <w:color w:val="000000"/>
          <w:sz w:val="18"/>
        </w:rPr>
        <w:t>sources if they are free.</w:t>
      </w:r>
    </w:p>
    <w:p>
      <w:pPr>
        <w:autoSpaceDN w:val="0"/>
        <w:tabs>
          <w:tab w:pos="878" w:val="left"/>
        </w:tabs>
        <w:autoSpaceDE w:val="0"/>
        <w:widowControl/>
        <w:spacing w:line="244" w:lineRule="exact" w:before="216" w:after="0"/>
        <w:ind w:left="158" w:right="576" w:firstLine="0"/>
        <w:jc w:val="left"/>
      </w:pPr>
      <w:r>
        <w:rPr>
          <w:rFonts w:ascii="Asap" w:hAnsi="Asap" w:eastAsia="Asap"/>
          <w:b/>
          <w:i w:val="0"/>
          <w:color w:val="14377D"/>
          <w:sz w:val="20"/>
        </w:rPr>
        <w:t xml:space="preserve">6.2A </w:t>
      </w:r>
      <w:r>
        <w:tab/>
      </w:r>
      <w:r>
        <w:rPr>
          <w:rFonts w:ascii="Asap" w:hAnsi="Asap" w:eastAsia="Asap"/>
          <w:b/>
          <w:i w:val="0"/>
          <w:color w:val="14377D"/>
          <w:sz w:val="20"/>
        </w:rPr>
        <w:t xml:space="preserve">ECONOMIC MODELS 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Include basic economic models that incorporate anticipated </w:t>
      </w:r>
      <w:r>
        <w:rPr>
          <w:rFonts w:ascii="Lora" w:hAnsi="Lora" w:eastAsia="Lora"/>
          <w:b w:val="0"/>
          <w:i w:val="0"/>
          <w:color w:val="000000"/>
          <w:sz w:val="18"/>
        </w:rPr>
        <w:t>population and utilization projections, where possible.</w:t>
      </w:r>
    </w:p>
    <w:p>
      <w:pPr>
        <w:autoSpaceDN w:val="0"/>
        <w:tabs>
          <w:tab w:pos="878" w:val="left"/>
        </w:tabs>
        <w:autoSpaceDE w:val="0"/>
        <w:widowControl/>
        <w:spacing w:line="244" w:lineRule="exact" w:before="216" w:after="0"/>
        <w:ind w:left="158" w:right="576" w:firstLine="0"/>
        <w:jc w:val="left"/>
      </w:pPr>
      <w:r>
        <w:rPr>
          <w:rFonts w:ascii="Asap" w:hAnsi="Asap" w:eastAsia="Asap"/>
          <w:b/>
          <w:i w:val="0"/>
          <w:color w:val="14377D"/>
          <w:sz w:val="20"/>
        </w:rPr>
        <w:t xml:space="preserve">6.3A </w:t>
      </w:r>
      <w:r>
        <w:tab/>
      </w:r>
      <w:r>
        <w:rPr>
          <w:rFonts w:ascii="Asap" w:hAnsi="Asap" w:eastAsia="Asap"/>
          <w:b/>
          <w:i w:val="0"/>
          <w:color w:val="14377D"/>
          <w:sz w:val="20"/>
        </w:rPr>
        <w:t xml:space="preserve">MATERIAL SAFETY DATA SHEET 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Include or link to a Material Safety Data Sheet for the </w:t>
      </w:r>
      <w:r>
        <w:rPr>
          <w:rFonts w:ascii="Lora" w:hAnsi="Lora" w:eastAsia="Lora"/>
          <w:b w:val="0"/>
          <w:i w:val="0"/>
          <w:color w:val="000000"/>
          <w:sz w:val="18"/>
        </w:rPr>
        <w:t>product.</w:t>
      </w:r>
    </w:p>
    <w:p>
      <w:pPr>
        <w:autoSpaceDN w:val="0"/>
        <w:tabs>
          <w:tab w:pos="878" w:val="left"/>
        </w:tabs>
        <w:autoSpaceDE w:val="0"/>
        <w:widowControl/>
        <w:spacing w:line="266" w:lineRule="exact" w:before="194" w:after="0"/>
        <w:ind w:left="158" w:right="0" w:firstLine="0"/>
        <w:jc w:val="left"/>
      </w:pPr>
      <w:r>
        <w:rPr>
          <w:rFonts w:ascii="Asap" w:hAnsi="Asap" w:eastAsia="Asap"/>
          <w:b/>
          <w:i w:val="0"/>
          <w:color w:val="14377D"/>
          <w:sz w:val="20"/>
        </w:rPr>
        <w:t xml:space="preserve">6.4A </w:t>
      </w:r>
      <w:r>
        <w:tab/>
      </w:r>
      <w:r>
        <w:rPr>
          <w:rFonts w:ascii="Asap" w:hAnsi="Asap" w:eastAsia="Asap"/>
          <w:b/>
          <w:i w:val="0"/>
          <w:color w:val="14377D"/>
          <w:sz w:val="20"/>
        </w:rPr>
        <w:t>APPENDICES SPECIFIC TO DTX PRODUCTS</w:t>
      </w:r>
    </w:p>
    <w:p>
      <w:pPr>
        <w:autoSpaceDN w:val="0"/>
        <w:autoSpaceDE w:val="0"/>
        <w:widowControl/>
        <w:spacing w:line="240" w:lineRule="exact" w:before="90" w:after="0"/>
        <w:ind w:left="338" w:right="576" w:firstLine="0"/>
        <w:jc w:val="left"/>
      </w:pPr>
      <w:r>
        <w:rPr>
          <w:rFonts w:ascii="Asap" w:hAnsi="Asap" w:eastAsia="Asap"/>
          <w:b w:val="0"/>
          <w:i w:val="0"/>
          <w:color w:val="007EC5"/>
          <w:sz w:val="18"/>
        </w:rPr>
        <w:t xml:space="preserve">Privacy and data security 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Information related to privacy and security is required to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be included in an AMCP dossier. Although the intended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audience of the dossier is HCDMs who may lack the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expertise needed to thoroughly evaluate the privacy and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data security specifications for DTx products, a thorough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evaluation of privacy and data security is required since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this is essential to a comprehensive evaluation. Moreover,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 review of privacy and safety may be performed prior to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an evaluation of the clinical evidence by a P&amp;T committee </w:t>
      </w:r>
      <w:r>
        <w:rPr>
          <w:rFonts w:ascii="Lora" w:hAnsi="Lora" w:eastAsia="Lora"/>
          <w:b w:val="0"/>
          <w:i w:val="0"/>
          <w:color w:val="000000"/>
          <w:sz w:val="18"/>
        </w:rPr>
        <w:t>or body. If needed, HCDMs may seek additional exper-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tise from data information technology/security experts,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establish a DTx subcommittee, or have a separate group,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such as an innovation center, assist with DTx evaluation.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DTx manufacturers may work directly with HCDMs to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integrate and implement DTx. Manufacturers may also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provide relevant links to related information (i.e., privacy </w:t>
      </w:r>
      <w:r>
        <w:rPr>
          <w:rFonts w:ascii="Lora" w:hAnsi="Lora" w:eastAsia="Lora"/>
          <w:b w:val="0"/>
          <w:i w:val="0"/>
          <w:color w:val="000000"/>
          <w:sz w:val="18"/>
        </w:rPr>
        <w:t>policies, terms of service).</w:t>
      </w:r>
    </w:p>
    <w:p>
      <w:pPr>
        <w:autoSpaceDN w:val="0"/>
        <w:tabs>
          <w:tab w:pos="518" w:val="left"/>
        </w:tabs>
        <w:autoSpaceDE w:val="0"/>
        <w:widowControl/>
        <w:spacing w:line="245" w:lineRule="auto" w:before="0" w:after="0"/>
        <w:ind w:left="338" w:right="576" w:firstLine="0"/>
        <w:jc w:val="left"/>
      </w:pP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Items to be addressed in a privacy and data security </w:t>
      </w:r>
      <w:r>
        <w:rPr>
          <w:rFonts w:ascii="Lora" w:hAnsi="Lora" w:eastAsia="Lora"/>
          <w:b w:val="0"/>
          <w:i w:val="0"/>
          <w:color w:val="000000"/>
          <w:sz w:val="18"/>
        </w:rPr>
        <w:t>appendix include the following: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• Certifications (e.g., SOC 2, HITRUST, PCI DSS, ITIL, ISO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27001, CIPP)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>• Data encryption: software supports SSL encryption</w:t>
      </w:r>
      <w:r>
        <w:rPr>
          <w:rFonts w:ascii="Lora" w:hAnsi="Lora" w:eastAsia="Lora"/>
          <w:b w:val="0"/>
          <w:i w:val="0"/>
          <w:color w:val="000000"/>
          <w:sz w:val="18"/>
        </w:rPr>
        <w:t>• Antivirus software</w:t>
      </w:r>
    </w:p>
    <w:p>
      <w:pPr>
        <w:autoSpaceDN w:val="0"/>
        <w:autoSpaceDE w:val="0"/>
        <w:widowControl/>
        <w:spacing w:line="186" w:lineRule="exact" w:before="546" w:after="0"/>
        <w:ind w:left="0" w:right="742" w:firstLine="0"/>
        <w:jc w:val="right"/>
      </w:pPr>
      <w:r>
        <w:rPr>
          <w:rFonts w:ascii="Asap" w:hAnsi="Asap" w:eastAsia="Asap"/>
          <w:b w:val="0"/>
          <w:i w:val="0"/>
          <w:color w:val="474C55"/>
          <w:sz w:val="14"/>
        </w:rPr>
        <w:t>Vol. 30, No. 4-b</w:t>
      </w:r>
      <w:r>
        <w:rPr>
          <w:rFonts w:ascii="Asap" w:hAnsi="Asap" w:eastAsia="Asap"/>
          <w:b w:val="0"/>
          <w:i w:val="0"/>
          <w:color w:val="474C55"/>
          <w:sz w:val="14"/>
        </w:rPr>
        <w:t>|</w:t>
      </w:r>
      <w:r>
        <w:rPr>
          <w:rFonts w:ascii="Asap" w:hAnsi="Asap" w:eastAsia="Asap"/>
          <w:b w:val="0"/>
          <w:i w:val="0"/>
          <w:color w:val="474C55"/>
          <w:sz w:val="14"/>
        </w:rPr>
        <w:t>April 2024</w:t>
      </w:r>
      <w:r>
        <w:rPr>
          <w:rFonts w:ascii="Asap" w:hAnsi="Asap" w:eastAsia="Asap"/>
          <w:b w:val="0"/>
          <w:i w:val="0"/>
          <w:color w:val="474C55"/>
          <w:sz w:val="14"/>
        </w:rPr>
        <w:t>|</w:t>
      </w:r>
      <w:r>
        <w:rPr>
          <w:rFonts w:ascii="Asap" w:hAnsi="Asap" w:eastAsia="Asap"/>
          <w:b/>
          <w:i w:val="0"/>
          <w:color w:val="14377D"/>
          <w:sz w:val="14"/>
        </w:rPr>
        <w:t xml:space="preserve"> JMCP</w:t>
      </w:r>
      <w:r>
        <w:rPr>
          <w:rFonts w:ascii="Asap" w:hAnsi="Asap" w:eastAsia="Asap"/>
          <w:b w:val="0"/>
          <w:i w:val="0"/>
          <w:color w:val="14377D"/>
          <w:sz w:val="14"/>
        </w:rPr>
        <w:t>.org</w:t>
      </w:r>
    </w:p>
    <w:p>
      <w:pPr>
        <w:sectPr>
          <w:type w:val="nextColumn"/>
          <w:pgSz w:w="11880" w:h="15660"/>
          <w:pgMar w:top="360" w:right="0" w:bottom="266" w:left="720" w:header="720" w:footer="720" w:gutter="0"/>
          <w:cols w:num="2" w:equalWidth="0">
            <w:col w:w="5242" w:space="0"/>
            <w:col w:w="5918" w:space="0"/>
          </w:cols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883"/>
        <w:gridCol w:w="4883"/>
      </w:tblGrid>
      <w:tr>
        <w:trPr>
          <w:trHeight w:hRule="exact" w:val="362"/>
        </w:trPr>
        <w:tc>
          <w:tcPr>
            <w:tcW w:type="dxa" w:w="1094"/>
            <w:tcBorders/>
            <w:shd w:fill="6b146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4" w:after="0"/>
              <w:ind w:left="0" w:right="90" w:firstLine="0"/>
              <w:jc w:val="right"/>
            </w:pPr>
            <w:r>
              <w:rPr>
                <w:rFonts w:ascii="Asap" w:hAnsi="Asap" w:eastAsia="Asap"/>
                <w:b/>
                <w:i w:val="0"/>
                <w:color w:val="FFFFFF"/>
                <w:sz w:val="18"/>
              </w:rPr>
              <w:t>26</w:t>
            </w:r>
          </w:p>
        </w:tc>
        <w:tc>
          <w:tcPr>
            <w:tcW w:type="dxa" w:w="584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4" w:after="0"/>
              <w:ind w:left="90" w:right="0" w:firstLine="0"/>
              <w:jc w:val="left"/>
            </w:pPr>
            <w:r>
              <w:rPr>
                <w:rFonts w:ascii="Asap" w:hAnsi="Asap" w:eastAsia="Asap"/>
                <w:b/>
                <w:i w:val="0"/>
                <w:color w:val="474C55"/>
                <w:sz w:val="18"/>
              </w:rPr>
              <w:t>AMCP FORMAT 5.0</w:t>
            </w:r>
          </w:p>
        </w:tc>
      </w:tr>
    </w:tbl>
    <w:p>
      <w:pPr>
        <w:autoSpaceDN w:val="0"/>
        <w:autoSpaceDE w:val="0"/>
        <w:widowControl/>
        <w:spacing w:line="14" w:lineRule="exact" w:before="0" w:after="1038"/>
        <w:ind w:left="0" w:right="0"/>
      </w:pPr>
    </w:p>
    <w:p>
      <w:pPr>
        <w:sectPr>
          <w:pgSz w:w="11880" w:h="15660"/>
          <w:pgMar w:top="360" w:right="674" w:bottom="266" w:left="0" w:header="720" w:footer="720" w:gutter="0"/>
          <w:cols/>
          <w:docGrid w:linePitch="360"/>
        </w:sectPr>
      </w:pPr>
    </w:p>
    <w:p>
      <w:pPr>
        <w:autoSpaceDN w:val="0"/>
        <w:tabs>
          <w:tab w:pos="1058" w:val="left"/>
        </w:tabs>
        <w:autoSpaceDE w:val="0"/>
        <w:widowControl/>
        <w:spacing w:line="245" w:lineRule="auto" w:before="0" w:after="0"/>
        <w:ind w:left="878" w:right="144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>• Data protection security measures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>• Security information and event management solu-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tions (SIEM), web application firewalls (WAF), SECOPS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monitoring, managed security providers (MSSPs), secu-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rity orchestration automation and response platforms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(SOAR)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>• Data backup and recovery solutions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>• Details on where data are stored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>• Processes for secure disposal of information technol-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ogy equipment and media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>• Intrusion detection systems (IDS) or intrusion preven-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tion systems (IPS) used.</w:t>
      </w:r>
    </w:p>
    <w:p>
      <w:pPr>
        <w:autoSpaceDN w:val="0"/>
        <w:autoSpaceDE w:val="0"/>
        <w:widowControl/>
        <w:spacing w:line="245" w:lineRule="auto" w:before="0" w:after="0"/>
        <w:ind w:left="878" w:right="2160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• Parental restrictions for minors 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• Data integrity 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• Cybersecurity 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>• Data privacy processes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>• Multifactor authentication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>• Ransomware protection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>• Other hack prevention methods</w:t>
      </w:r>
    </w:p>
    <w:p>
      <w:pPr>
        <w:sectPr>
          <w:type w:val="continuous"/>
          <w:pgSz w:w="11880" w:h="15660"/>
          <w:pgMar w:top="360" w:right="674" w:bottom="266" w:left="0" w:header="720" w:footer="720" w:gutter="0"/>
          <w:cols w:num="2" w:equalWidth="0">
            <w:col w:w="6032" w:space="0"/>
            <w:col w:w="5173" w:space="0"/>
          </w:cols>
          <w:docGrid w:linePitch="360"/>
        </w:sectPr>
      </w:pPr>
    </w:p>
    <w:p>
      <w:pPr>
        <w:autoSpaceDN w:val="0"/>
        <w:autoSpaceDE w:val="0"/>
        <w:widowControl/>
        <w:spacing w:line="240" w:lineRule="exact" w:before="0" w:after="0"/>
        <w:ind w:left="246" w:right="0" w:firstLine="0"/>
        <w:jc w:val="left"/>
      </w:pPr>
      <w:r>
        <w:rPr>
          <w:rFonts w:ascii="Asap" w:hAnsi="Asap" w:eastAsia="Asap"/>
          <w:b w:val="0"/>
          <w:i w:val="0"/>
          <w:color w:val="007EC5"/>
          <w:sz w:val="18"/>
        </w:rPr>
        <w:t xml:space="preserve">Engagement 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Manufacturers may specify how they define engagement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in an optional appendix. Due to the wide variety of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DTx products available, measures for engagement, user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satisfaction, and active users have not been standardized.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Furthermore, standard measures used for traditional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products, such as adherence and persistence, may not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apply to DTx products. If engagement measures were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used in clinical trials or real-world evidence, they may be </w:t>
      </w:r>
      <w:r>
        <w:rPr>
          <w:rFonts w:ascii="Lora" w:hAnsi="Lora" w:eastAsia="Lora"/>
          <w:b w:val="0"/>
          <w:i w:val="0"/>
          <w:color w:val="000000"/>
          <w:sz w:val="18"/>
        </w:rPr>
        <w:t>addressed in Section 3.0A or Section 5.0A.</w:t>
      </w:r>
    </w:p>
    <w:p>
      <w:pPr>
        <w:autoSpaceDN w:val="0"/>
        <w:autoSpaceDE w:val="0"/>
        <w:widowControl/>
        <w:spacing w:line="244" w:lineRule="exact" w:before="80" w:after="988"/>
        <w:ind w:left="246" w:right="0" w:firstLine="0"/>
        <w:jc w:val="left"/>
      </w:pPr>
      <w:r>
        <w:rPr>
          <w:rFonts w:ascii="Asap" w:hAnsi="Asap" w:eastAsia="Asap"/>
          <w:b w:val="0"/>
          <w:i w:val="0"/>
          <w:color w:val="007EC5"/>
          <w:sz w:val="18"/>
        </w:rPr>
        <w:t xml:space="preserve">Screenshots 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Screenshots of the patient-facing or clinician-facing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application may be included in the dossier as an optional </w:t>
      </w:r>
      <w:r>
        <w:rPr>
          <w:rFonts w:ascii="Lora" w:hAnsi="Lora" w:eastAsia="Lora"/>
          <w:b w:val="0"/>
          <w:i w:val="0"/>
          <w:color w:val="000000"/>
          <w:sz w:val="18"/>
        </w:rPr>
        <w:t>appendix. If included, the version number of the applica-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tion must be stated. Links to external websites intended </w:t>
      </w:r>
      <w:r>
        <w:rPr>
          <w:rFonts w:ascii="Lora" w:hAnsi="Lora" w:eastAsia="Lora"/>
          <w:b w:val="0"/>
          <w:i w:val="0"/>
          <w:color w:val="000000"/>
          <w:sz w:val="18"/>
        </w:rPr>
        <w:t>for health care professionals may also be included.</w:t>
      </w:r>
    </w:p>
    <w:p>
      <w:pPr>
        <w:sectPr>
          <w:type w:val="nextColumn"/>
          <w:pgSz w:w="11880" w:h="15660"/>
          <w:pgMar w:top="360" w:right="674" w:bottom="266" w:left="0" w:header="720" w:footer="720" w:gutter="0"/>
          <w:cols w:num="2" w:equalWidth="0">
            <w:col w:w="6032" w:space="0"/>
            <w:col w:w="5173" w:space="0"/>
          </w:cols>
          <w:docGrid w:linePitch="360"/>
        </w:sectPr>
      </w:pPr>
    </w:p>
    <w:p>
      <w:pPr>
        <w:autoSpaceDN w:val="0"/>
        <w:autoSpaceDE w:val="0"/>
        <w:widowControl/>
        <w:spacing w:line="560" w:lineRule="exact" w:before="62" w:after="114"/>
        <w:ind w:left="740" w:right="1584" w:firstLine="0"/>
        <w:jc w:val="left"/>
      </w:pPr>
      <w:r>
        <w:rPr>
          <w:rFonts w:ascii="Asap" w:hAnsi="Asap" w:eastAsia="Asap"/>
          <w:b w:val="0"/>
          <w:i w:val="0"/>
          <w:color w:val="14377D"/>
          <w:sz w:val="48"/>
        </w:rPr>
        <w:t xml:space="preserve">Evidence Recommendations for Approved </w:t>
      </w:r>
      <w:r>
        <w:rPr>
          <w:rFonts w:ascii="Asap" w:hAnsi="Asap" w:eastAsia="Asap"/>
          <w:b w:val="0"/>
          <w:i w:val="0"/>
          <w:color w:val="14377D"/>
          <w:sz w:val="48"/>
        </w:rPr>
        <w:t>Product Dossiers</w:t>
      </w:r>
    </w:p>
    <w:p>
      <w:pPr>
        <w:sectPr>
          <w:type w:val="continuous"/>
          <w:pgSz w:w="11880" w:h="15660"/>
          <w:pgMar w:top="360" w:right="674" w:bottom="266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66" w:lineRule="exact" w:before="0" w:after="0"/>
        <w:ind w:left="698" w:right="0" w:firstLine="0"/>
        <w:jc w:val="left"/>
      </w:pPr>
      <w:r>
        <w:rPr>
          <w:rFonts w:ascii="Asap" w:hAnsi="Asap" w:eastAsia="Asap"/>
          <w:b/>
          <w:i w:val="0"/>
          <w:color w:val="007EC5"/>
          <w:sz w:val="20"/>
        </w:rPr>
        <w:t>SECTION 1.0B – EXECUTIVE SUMMARY</w:t>
      </w:r>
    </w:p>
    <w:p>
      <w:pPr>
        <w:autoSpaceDN w:val="0"/>
        <w:tabs>
          <w:tab w:pos="2172" w:val="left"/>
        </w:tabs>
        <w:autoSpaceDE w:val="0"/>
        <w:widowControl/>
        <w:spacing w:line="240" w:lineRule="exact" w:before="90" w:after="0"/>
        <w:ind w:left="698" w:right="864" w:firstLine="0"/>
        <w:jc w:val="left"/>
      </w:pPr>
      <w:r>
        <w:rPr>
          <w:rFonts w:ascii="Asap" w:hAnsi="Asap" w:eastAsia="Asap"/>
          <w:b/>
          <w:i w:val="0"/>
          <w:color w:val="007EC5"/>
          <w:sz w:val="20"/>
        </w:rPr>
        <w:t xml:space="preserve">SECTION 2.0B – PRODUCT INFORMATION AND </w:t>
      </w:r>
      <w:r>
        <w:rPr>
          <w:rFonts w:ascii="Asap" w:hAnsi="Asap" w:eastAsia="Asap"/>
          <w:b/>
          <w:i w:val="0"/>
          <w:color w:val="007EC5"/>
          <w:sz w:val="20"/>
        </w:rPr>
        <w:t>DISEASE DESCRIPTION</w:t>
      </w:r>
    </w:p>
    <w:p>
      <w:pPr>
        <w:autoSpaceDN w:val="0"/>
        <w:autoSpaceDE w:val="0"/>
        <w:widowControl/>
        <w:spacing w:line="266" w:lineRule="exact" w:before="64" w:after="0"/>
        <w:ind w:left="698" w:right="0" w:firstLine="0"/>
        <w:jc w:val="left"/>
      </w:pPr>
      <w:r>
        <w:rPr>
          <w:rFonts w:ascii="Asap" w:hAnsi="Asap" w:eastAsia="Asap"/>
          <w:b/>
          <w:i w:val="0"/>
          <w:color w:val="007EC5"/>
          <w:sz w:val="20"/>
        </w:rPr>
        <w:t>SECTION 3.0B – CLINICAL EVIDENCE</w:t>
      </w:r>
    </w:p>
    <w:p>
      <w:pPr>
        <w:autoSpaceDN w:val="0"/>
        <w:autoSpaceDE w:val="0"/>
        <w:widowControl/>
        <w:spacing w:line="266" w:lineRule="exact" w:before="64" w:after="0"/>
        <w:ind w:left="698" w:right="0" w:firstLine="0"/>
        <w:jc w:val="left"/>
      </w:pPr>
      <w:r>
        <w:rPr>
          <w:rFonts w:ascii="Asap" w:hAnsi="Asap" w:eastAsia="Asap"/>
          <w:b/>
          <w:i w:val="0"/>
          <w:color w:val="007EC5"/>
          <w:sz w:val="20"/>
        </w:rPr>
        <w:t>SECTION 4.0B – VALUE AND MODELING REPORT</w:t>
      </w:r>
    </w:p>
    <w:p>
      <w:pPr>
        <w:autoSpaceDN w:val="0"/>
        <w:autoSpaceDE w:val="0"/>
        <w:widowControl/>
        <w:spacing w:line="266" w:lineRule="exact" w:before="64" w:after="0"/>
        <w:ind w:left="698" w:right="0" w:firstLine="0"/>
        <w:jc w:val="left"/>
      </w:pPr>
      <w:r>
        <w:rPr>
          <w:rFonts w:ascii="Asap" w:hAnsi="Asap" w:eastAsia="Asap"/>
          <w:b/>
          <w:i w:val="0"/>
          <w:color w:val="007EC5"/>
          <w:sz w:val="20"/>
        </w:rPr>
        <w:t>SECTION 5.0B – ADDITIONAL SUPPORTING EVIDENCE</w:t>
      </w:r>
    </w:p>
    <w:p>
      <w:pPr>
        <w:autoSpaceDN w:val="0"/>
        <w:autoSpaceDE w:val="0"/>
        <w:widowControl/>
        <w:spacing w:line="266" w:lineRule="exact" w:before="64" w:after="0"/>
        <w:ind w:left="698" w:right="0" w:firstLine="0"/>
        <w:jc w:val="left"/>
      </w:pPr>
      <w:r>
        <w:rPr>
          <w:rFonts w:ascii="Asap" w:hAnsi="Asap" w:eastAsia="Asap"/>
          <w:b/>
          <w:i w:val="0"/>
          <w:color w:val="007EC5"/>
          <w:sz w:val="20"/>
        </w:rPr>
        <w:t>SECTION 6.0B – DOSSIER APPENDICES</w:t>
      </w:r>
    </w:p>
    <w:p>
      <w:pPr>
        <w:autoSpaceDN w:val="0"/>
        <w:autoSpaceDE w:val="0"/>
        <w:widowControl/>
        <w:spacing w:line="360" w:lineRule="exact" w:before="220" w:after="0"/>
        <w:ind w:left="698" w:right="432" w:firstLine="0"/>
        <w:jc w:val="left"/>
      </w:pPr>
      <w:r>
        <w:rPr>
          <w:rFonts w:ascii="Asap" w:hAnsi="Asap" w:eastAsia="Asap"/>
          <w:b/>
          <w:i w:val="0"/>
          <w:color w:val="6C146B"/>
          <w:sz w:val="32"/>
        </w:rPr>
        <w:t xml:space="preserve">1.0B Executive Summary: Clinical </w:t>
      </w:r>
      <w:r>
        <w:rPr>
          <w:rFonts w:ascii="Asap" w:hAnsi="Asap" w:eastAsia="Asap"/>
          <w:b/>
          <w:i w:val="0"/>
          <w:color w:val="6C146B"/>
          <w:sz w:val="32"/>
        </w:rPr>
        <w:t xml:space="preserve">and Economic  Value of the </w:t>
      </w:r>
      <w:r>
        <w:br/>
      </w:r>
      <w:r>
        <w:rPr>
          <w:rFonts w:ascii="Asap" w:hAnsi="Asap" w:eastAsia="Asap"/>
          <w:b/>
          <w:i w:val="0"/>
          <w:color w:val="6C146B"/>
          <w:sz w:val="32"/>
        </w:rPr>
        <w:t>Approved Product</w:t>
      </w:r>
    </w:p>
    <w:p>
      <w:pPr>
        <w:autoSpaceDN w:val="0"/>
        <w:autoSpaceDE w:val="0"/>
        <w:widowControl/>
        <w:spacing w:line="245" w:lineRule="auto" w:before="100" w:after="0"/>
        <w:ind w:left="698" w:right="144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The recommended length of Section 1.0B is five pages </w:t>
      </w:r>
      <w:r>
        <w:rPr>
          <w:rFonts w:ascii="Lora" w:hAnsi="Lora" w:eastAsia="Lora"/>
          <w:b w:val="0"/>
          <w:i w:val="0"/>
          <w:color w:val="000000"/>
          <w:sz w:val="18"/>
        </w:rPr>
        <w:t>(maximum eight).</w:t>
      </w:r>
    </w:p>
    <w:p>
      <w:pPr>
        <w:autoSpaceDN w:val="0"/>
        <w:autoSpaceDE w:val="0"/>
        <w:widowControl/>
        <w:spacing w:line="245" w:lineRule="auto" w:before="0" w:after="0"/>
        <w:ind w:left="698" w:right="144" w:firstLine="18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>This section of the submission represents the princi-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pal opportunity for a manufacturer to briefly summarize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the value of its product. The Executive Summary should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highlight the key evidence on clinical and economic value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and be representative of the body of evidence found in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Sections 2.0B through 5.0B. The manufacturer should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briefly describe the clinical and economic information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presented in the dossier using the layout described in </w:t>
      </w:r>
    </w:p>
    <w:p>
      <w:pPr>
        <w:autoSpaceDN w:val="0"/>
        <w:autoSpaceDE w:val="0"/>
        <w:widowControl/>
        <w:spacing w:line="186" w:lineRule="exact" w:before="608" w:after="0"/>
        <w:ind w:left="740" w:right="0" w:firstLine="0"/>
        <w:jc w:val="left"/>
      </w:pPr>
      <w:r>
        <w:rPr>
          <w:rFonts w:ascii="Asap" w:hAnsi="Asap" w:eastAsia="Asap"/>
          <w:b/>
          <w:i w:val="0"/>
          <w:color w:val="14377D"/>
          <w:sz w:val="14"/>
        </w:rPr>
        <w:t>JMCP</w:t>
      </w:r>
      <w:r>
        <w:rPr>
          <w:rFonts w:ascii="Asap" w:hAnsi="Asap" w:eastAsia="Asap"/>
          <w:b w:val="0"/>
          <w:i w:val="0"/>
          <w:color w:val="14377D"/>
          <w:sz w:val="14"/>
        </w:rPr>
        <w:t>.org</w:t>
      </w:r>
      <w:r>
        <w:rPr>
          <w:rFonts w:ascii="Asap" w:hAnsi="Asap" w:eastAsia="Asap"/>
          <w:b w:val="0"/>
          <w:i w:val="0"/>
          <w:color w:val="474C55"/>
          <w:sz w:val="14"/>
        </w:rPr>
        <w:t>|</w:t>
      </w:r>
      <w:r>
        <w:rPr>
          <w:rFonts w:ascii="Asap" w:hAnsi="Asap" w:eastAsia="Asap"/>
          <w:b w:val="0"/>
          <w:i w:val="0"/>
          <w:color w:val="474C55"/>
          <w:sz w:val="14"/>
        </w:rPr>
        <w:t>April 2024</w:t>
      </w:r>
      <w:r>
        <w:rPr>
          <w:rFonts w:ascii="Asap" w:hAnsi="Asap" w:eastAsia="Asap"/>
          <w:b w:val="0"/>
          <w:i w:val="0"/>
          <w:color w:val="474C55"/>
          <w:sz w:val="14"/>
        </w:rPr>
        <w:t>|</w:t>
      </w:r>
      <w:r>
        <w:rPr>
          <w:rFonts w:ascii="Asap" w:hAnsi="Asap" w:eastAsia="Asap"/>
          <w:b w:val="0"/>
          <w:i w:val="0"/>
          <w:color w:val="474C55"/>
          <w:sz w:val="14"/>
        </w:rPr>
        <w:t>Vol. 30, No. 4-B</w:t>
      </w:r>
    </w:p>
    <w:p>
      <w:pPr>
        <w:sectPr>
          <w:type w:val="continuous"/>
          <w:pgSz w:w="11880" w:h="15660"/>
          <w:pgMar w:top="360" w:right="674" w:bottom="266" w:left="0" w:header="720" w:footer="720" w:gutter="0"/>
          <w:cols w:num="2" w:equalWidth="0">
            <w:col w:w="5942" w:space="0"/>
            <w:col w:w="5263" w:space="0"/>
          </w:cols>
          <w:docGrid w:linePitch="360"/>
        </w:sectPr>
      </w:pPr>
    </w:p>
    <w:p>
      <w:pPr>
        <w:autoSpaceDN w:val="0"/>
        <w:autoSpaceDE w:val="0"/>
        <w:widowControl/>
        <w:spacing w:line="245" w:lineRule="auto" w:before="0" w:after="0"/>
        <w:ind w:left="156" w:right="0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Sections 1.1B and 1.2B and state the expected per unit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product cost. Based on this information, the manufacturer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should articulate a value argument to justify these expected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expenditures in the context of the clinical evidence and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anticipated effects on health and economic outcomes.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Throughout the Executive Summary, the reader should be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referred to those places in the full dossier that justify claims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and other statements made in the Executive Summary. </w:t>
      </w:r>
      <w:r>
        <w:rPr>
          <w:rFonts w:ascii="Lora" w:hAnsi="Lora" w:eastAsia="Lora"/>
          <w:b w:val="0"/>
          <w:i w:val="0"/>
          <w:color w:val="000000"/>
          <w:sz w:val="18"/>
        </w:rPr>
        <w:t>Hyperlinks to these areas are especially helpful. If appropri-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ate, additional context should be provided to emphasize the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potential value or unmet need of the disease and relevant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aspects of the therapeutic landscape (e.g., is the endpoint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or population representative or meaningful outside of a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clinical trial? Are study methodologies suitable for the type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of study? Are assumptions for cost-effectiveness analyses </w:t>
      </w:r>
      <w:r>
        <w:rPr>
          <w:rFonts w:ascii="Lora" w:hAnsi="Lora" w:eastAsia="Lora"/>
          <w:b w:val="0"/>
          <w:i w:val="0"/>
          <w:color w:val="000000"/>
          <w:sz w:val="18"/>
        </w:rPr>
        <w:t>relevant/valid?)</w:t>
      </w:r>
    </w:p>
    <w:p>
      <w:pPr>
        <w:autoSpaceDN w:val="0"/>
        <w:tabs>
          <w:tab w:pos="336" w:val="left"/>
          <w:tab w:pos="876" w:val="left"/>
        </w:tabs>
        <w:autoSpaceDE w:val="0"/>
        <w:widowControl/>
        <w:spacing w:line="242" w:lineRule="exact" w:before="220" w:after="0"/>
        <w:ind w:left="156" w:right="0" w:firstLine="0"/>
        <w:jc w:val="left"/>
      </w:pPr>
      <w:r>
        <w:rPr>
          <w:rFonts w:ascii="Asap" w:hAnsi="Asap" w:eastAsia="Asap"/>
          <w:b/>
          <w:i w:val="0"/>
          <w:color w:val="14377D"/>
          <w:sz w:val="20"/>
        </w:rPr>
        <w:t xml:space="preserve">1.1B </w:t>
      </w:r>
      <w:r>
        <w:tab/>
      </w:r>
      <w:r>
        <w:rPr>
          <w:rFonts w:ascii="Asap" w:hAnsi="Asap" w:eastAsia="Asap"/>
          <w:b/>
          <w:i w:val="0"/>
          <w:color w:val="14377D"/>
          <w:sz w:val="20"/>
        </w:rPr>
        <w:t xml:space="preserve">CLINICAL BENEFITS 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Begin with the indication approved by the FDA for the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product and a short synopsis of the efficacy and safety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information from the prescribing information and clinical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trials. Summarize the clinical benefits of the proposed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product, in terms of the following: </w:t>
      </w:r>
      <w:r>
        <w:br/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1. Efficacy and effectiveness.</w:t>
      </w:r>
    </w:p>
    <w:p>
      <w:pPr>
        <w:autoSpaceDN w:val="0"/>
        <w:tabs>
          <w:tab w:pos="516" w:val="left"/>
        </w:tabs>
        <w:autoSpaceDE w:val="0"/>
        <w:widowControl/>
        <w:spacing w:line="245" w:lineRule="auto" w:before="0" w:after="0"/>
        <w:ind w:left="336" w:right="0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>2. Comparative effectiveness relative to available alterna-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tive therapies.</w:t>
      </w:r>
    </w:p>
    <w:p>
      <w:pPr>
        <w:sectPr>
          <w:type w:val="nextColumn"/>
          <w:pgSz w:w="11880" w:h="15660"/>
          <w:pgMar w:top="360" w:right="674" w:bottom="266" w:left="0" w:header="720" w:footer="720" w:gutter="0"/>
          <w:cols w:num="2" w:equalWidth="0">
            <w:col w:w="5942" w:space="0"/>
            <w:col w:w="5263" w:space="0"/>
          </w:cols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224.0" w:type="dxa"/>
      </w:tblPr>
      <w:tblGrid>
        <w:gridCol w:w="4862"/>
        <w:gridCol w:w="4862"/>
      </w:tblGrid>
      <w:tr>
        <w:trPr>
          <w:trHeight w:hRule="exact" w:val="362"/>
        </w:trPr>
        <w:tc>
          <w:tcPr>
            <w:tcW w:type="dxa" w:w="584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4" w:after="0"/>
              <w:ind w:left="0" w:right="90" w:firstLine="0"/>
              <w:jc w:val="right"/>
            </w:pPr>
            <w:r>
              <w:rPr>
                <w:rFonts w:ascii="Asap" w:hAnsi="Asap" w:eastAsia="Asap"/>
                <w:b/>
                <w:i w:val="0"/>
                <w:color w:val="474C55"/>
                <w:sz w:val="18"/>
              </w:rPr>
              <w:t>AMCP FORMAT 5.0</w:t>
            </w:r>
          </w:p>
        </w:tc>
        <w:tc>
          <w:tcPr>
            <w:tcW w:type="dxa" w:w="1094"/>
            <w:tcBorders/>
            <w:shd w:fill="6b146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72" w:after="0"/>
              <w:ind w:left="90" w:right="0" w:firstLine="0"/>
              <w:jc w:val="left"/>
            </w:pPr>
            <w:r>
              <w:rPr>
                <w:rFonts w:ascii="Asap" w:hAnsi="Asap" w:eastAsia="Asap"/>
                <w:b/>
                <w:i w:val="0"/>
                <w:color w:val="FFFFFF"/>
                <w:sz w:val="18"/>
              </w:rPr>
              <w:t>27</w:t>
            </w:r>
          </w:p>
        </w:tc>
      </w:tr>
    </w:tbl>
    <w:p>
      <w:pPr>
        <w:autoSpaceDN w:val="0"/>
        <w:autoSpaceDE w:val="0"/>
        <w:widowControl/>
        <w:spacing w:line="14" w:lineRule="exact" w:before="0" w:after="1038"/>
        <w:ind w:left="0" w:right="0"/>
      </w:pPr>
    </w:p>
    <w:p>
      <w:pPr>
        <w:sectPr>
          <w:pgSz w:w="11880" w:h="15660"/>
          <w:pgMar w:top="360" w:right="0" w:bottom="266" w:left="71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3" w:lineRule="auto" w:before="0" w:after="0"/>
        <w:ind w:left="184" w:right="0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>3. Safety/tolerability.</w:t>
      </w:r>
    </w:p>
    <w:p>
      <w:pPr>
        <w:autoSpaceDN w:val="0"/>
        <w:autoSpaceDE w:val="0"/>
        <w:widowControl/>
        <w:spacing w:line="245" w:lineRule="auto" w:before="0" w:after="0"/>
        <w:ind w:left="364" w:right="156" w:hanging="180"/>
        <w:jc w:val="both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4. Shortcomings of previously available treatment and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the unmet medical need that the proposed therapy </w:t>
      </w:r>
      <w:r>
        <w:rPr>
          <w:rFonts w:ascii="Lora" w:hAnsi="Lora" w:eastAsia="Lora"/>
          <w:b w:val="0"/>
          <w:i w:val="0"/>
          <w:color w:val="000000"/>
          <w:sz w:val="18"/>
        </w:rPr>
        <w:t>addresses.</w:t>
      </w:r>
    </w:p>
    <w:p>
      <w:pPr>
        <w:autoSpaceDN w:val="0"/>
        <w:tabs>
          <w:tab w:pos="184" w:val="left"/>
          <w:tab w:pos="724" w:val="left"/>
        </w:tabs>
        <w:autoSpaceDE w:val="0"/>
        <w:widowControl/>
        <w:spacing w:line="242" w:lineRule="exact" w:before="218" w:after="0"/>
        <w:ind w:left="4" w:right="144" w:firstLine="0"/>
        <w:jc w:val="left"/>
      </w:pPr>
      <w:r>
        <w:rPr>
          <w:rFonts w:ascii="Asap" w:hAnsi="Asap" w:eastAsia="Asap"/>
          <w:b/>
          <w:i w:val="0"/>
          <w:color w:val="14377D"/>
          <w:sz w:val="20"/>
        </w:rPr>
        <w:t xml:space="preserve">1.2B </w:t>
      </w:r>
      <w:r>
        <w:tab/>
      </w:r>
      <w:r>
        <w:rPr>
          <w:rFonts w:ascii="Asap" w:hAnsi="Asap" w:eastAsia="Asap"/>
          <w:b/>
          <w:i w:val="0"/>
          <w:color w:val="14377D"/>
          <w:sz w:val="20"/>
        </w:rPr>
        <w:t xml:space="preserve">ECONOMIC BENEFITS 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Summarize the economic benefits of the proposed product,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in terms of the following: </w:t>
      </w:r>
      <w:r>
        <w:br/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1. Cost per unit and cost per average treatment duration.</w:t>
      </w:r>
    </w:p>
    <w:p>
      <w:pPr>
        <w:autoSpaceDN w:val="0"/>
        <w:autoSpaceDE w:val="0"/>
        <w:widowControl/>
        <w:spacing w:line="245" w:lineRule="auto" w:before="0" w:after="0"/>
        <w:ind w:left="364" w:right="144" w:hanging="18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>2. Context of the proposed cost: potential clinical ben-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efits provided (including quality-of-life benefits) and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potential economic benefits (including savings or cost </w:t>
      </w:r>
      <w:r>
        <w:rPr>
          <w:rFonts w:ascii="Lora" w:hAnsi="Lora" w:eastAsia="Lora"/>
          <w:b w:val="0"/>
          <w:i w:val="0"/>
          <w:color w:val="000000"/>
          <w:sz w:val="18"/>
        </w:rPr>
        <w:t>offsets).</w:t>
      </w:r>
    </w:p>
    <w:p>
      <w:pPr>
        <w:autoSpaceDN w:val="0"/>
        <w:autoSpaceDE w:val="0"/>
        <w:widowControl/>
        <w:spacing w:line="223" w:lineRule="auto" w:before="0" w:after="0"/>
        <w:ind w:left="184" w:right="0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>3. Shortcomings of other therapies.</w:t>
      </w:r>
    </w:p>
    <w:p>
      <w:pPr>
        <w:autoSpaceDN w:val="0"/>
        <w:autoSpaceDE w:val="0"/>
        <w:widowControl/>
        <w:spacing w:line="245" w:lineRule="auto" w:before="0" w:after="0"/>
        <w:ind w:left="4" w:right="144" w:firstLine="18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Briefly present results of any observational research </w:t>
      </w:r>
      <w:r>
        <w:rPr>
          <w:rFonts w:ascii="Lora" w:hAnsi="Lora" w:eastAsia="Lora"/>
          <w:b w:val="0"/>
          <w:i w:val="0"/>
          <w:color w:val="000000"/>
          <w:sz w:val="18"/>
        </w:rPr>
        <w:t>or economic data, with inclusion of the per-member per-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month (PMPM) or incremental cost-effectiveness ratio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result at minimum. Briefly summarize other published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information on the cost or economic impact of the product </w:t>
      </w:r>
      <w:r>
        <w:rPr>
          <w:rFonts w:ascii="Lora" w:hAnsi="Lora" w:eastAsia="Lora"/>
          <w:b w:val="0"/>
          <w:i w:val="0"/>
          <w:color w:val="000000"/>
          <w:sz w:val="18"/>
        </w:rPr>
        <w:t>(e.g., effect on resource utilization or other cost offsets).</w:t>
      </w:r>
    </w:p>
    <w:p>
      <w:pPr>
        <w:autoSpaceDN w:val="0"/>
        <w:autoSpaceDE w:val="0"/>
        <w:widowControl/>
        <w:spacing w:line="245" w:lineRule="auto" w:before="0" w:after="0"/>
        <w:ind w:left="4" w:right="144" w:firstLine="18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>Include the economic impact of special handling, deliv-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ery, route and site of administration, therapeutic drug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monitoring, Risk Evaluation and Mitigation Strategy (REMS)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programs, and other administrative offsets that would be </w:t>
      </w:r>
      <w:r>
        <w:rPr>
          <w:rFonts w:ascii="Lora" w:hAnsi="Lora" w:eastAsia="Lora"/>
          <w:b w:val="0"/>
          <w:i w:val="0"/>
          <w:color w:val="000000"/>
          <w:sz w:val="18"/>
        </w:rPr>
        <w:t>above and beyond the cost of the product.</w:t>
      </w:r>
    </w:p>
    <w:p>
      <w:pPr>
        <w:autoSpaceDN w:val="0"/>
        <w:tabs>
          <w:tab w:pos="724" w:val="left"/>
        </w:tabs>
        <w:autoSpaceDE w:val="0"/>
        <w:widowControl/>
        <w:spacing w:line="240" w:lineRule="exact" w:before="222" w:after="0"/>
        <w:ind w:left="4" w:right="144" w:firstLine="0"/>
        <w:jc w:val="left"/>
      </w:pPr>
      <w:r>
        <w:rPr>
          <w:rFonts w:ascii="Asap" w:hAnsi="Asap" w:eastAsia="Asap"/>
          <w:b/>
          <w:i w:val="0"/>
          <w:color w:val="14377D"/>
          <w:sz w:val="20"/>
        </w:rPr>
        <w:t xml:space="preserve">1.3B </w:t>
      </w:r>
      <w:r>
        <w:tab/>
      </w:r>
      <w:r>
        <w:rPr>
          <w:rFonts w:ascii="Asap" w:hAnsi="Asap" w:eastAsia="Asap"/>
          <w:b/>
          <w:i w:val="0"/>
          <w:color w:val="14377D"/>
          <w:sz w:val="20"/>
        </w:rPr>
        <w:t xml:space="preserve">CONCLUSIONS 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Summarize the value of the proposed product. Highlight </w:t>
      </w:r>
      <w:r>
        <w:rPr>
          <w:rFonts w:ascii="Lora" w:hAnsi="Lora" w:eastAsia="Lora"/>
          <w:b w:val="0"/>
          <w:i w:val="0"/>
          <w:color w:val="000000"/>
          <w:sz w:val="18"/>
        </w:rPr>
        <w:t>key points regarding the clinical and economic advan-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tages and uniqueness of the product. Finally, based on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the information presented in Sections 2.0B through 5.0B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that follow, the conclusions should include a statement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regarding the expected effect of the product relative to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other available treatment options, both pharmaceutical and </w:t>
      </w:r>
      <w:r>
        <w:rPr>
          <w:rFonts w:ascii="Lora" w:hAnsi="Lora" w:eastAsia="Lora"/>
          <w:b w:val="0"/>
          <w:i w:val="0"/>
          <w:color w:val="000000"/>
          <w:sz w:val="18"/>
        </w:rPr>
        <w:t>nonpharmaceutical.</w:t>
      </w:r>
    </w:p>
    <w:p>
      <w:pPr>
        <w:autoSpaceDN w:val="0"/>
        <w:autoSpaceDE w:val="0"/>
        <w:widowControl/>
        <w:spacing w:line="360" w:lineRule="exact" w:before="216" w:after="0"/>
        <w:ind w:left="4" w:right="864" w:firstLine="0"/>
        <w:jc w:val="left"/>
      </w:pPr>
      <w:r>
        <w:rPr>
          <w:rFonts w:ascii="Asap" w:hAnsi="Asap" w:eastAsia="Asap"/>
          <w:b/>
          <w:i w:val="0"/>
          <w:color w:val="6C146B"/>
          <w:sz w:val="32"/>
        </w:rPr>
        <w:t xml:space="preserve">2.0B Product Information and </w:t>
      </w:r>
      <w:r>
        <w:rPr>
          <w:rFonts w:ascii="Asap" w:hAnsi="Asap" w:eastAsia="Asap"/>
          <w:b/>
          <w:i w:val="0"/>
          <w:color w:val="6C146B"/>
          <w:sz w:val="32"/>
        </w:rPr>
        <w:t>Disease Description</w:t>
      </w:r>
    </w:p>
    <w:p>
      <w:pPr>
        <w:autoSpaceDN w:val="0"/>
        <w:tabs>
          <w:tab w:pos="724" w:val="left"/>
        </w:tabs>
        <w:autoSpaceDE w:val="0"/>
        <w:widowControl/>
        <w:spacing w:line="242" w:lineRule="exact" w:before="326" w:after="0"/>
        <w:ind w:left="4" w:right="144" w:firstLine="0"/>
        <w:jc w:val="left"/>
      </w:pPr>
      <w:r>
        <w:rPr>
          <w:rFonts w:ascii="Asap" w:hAnsi="Asap" w:eastAsia="Asap"/>
          <w:b/>
          <w:i w:val="0"/>
          <w:color w:val="14377D"/>
          <w:sz w:val="20"/>
        </w:rPr>
        <w:t xml:space="preserve">2.1B </w:t>
      </w:r>
      <w:r>
        <w:tab/>
      </w:r>
      <w:r>
        <w:rPr>
          <w:rFonts w:ascii="Asap" w:hAnsi="Asap" w:eastAsia="Asap"/>
          <w:b/>
          <w:i w:val="0"/>
          <w:color w:val="14377D"/>
          <w:sz w:val="20"/>
        </w:rPr>
        <w:t xml:space="preserve">PRODUCT INFORMATION 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The recommended length of Section 2.1B is five pages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(maximum 10). This section can be written in a paragraph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or as a table. Brevity should be considered when writing </w:t>
      </w:r>
    </w:p>
    <w:p>
      <w:pPr>
        <w:sectPr>
          <w:type w:val="continuous"/>
          <w:pgSz w:w="11880" w:h="15660"/>
          <w:pgMar w:top="360" w:right="0" w:bottom="266" w:left="716" w:header="720" w:footer="720" w:gutter="0"/>
          <w:cols w:num="2" w:equalWidth="0">
            <w:col w:w="5248" w:space="0"/>
            <w:col w:w="5916" w:space="0"/>
          </w:cols>
          <w:docGrid w:linePitch="360"/>
        </w:sectPr>
      </w:pPr>
    </w:p>
    <w:p>
      <w:pPr>
        <w:autoSpaceDN w:val="0"/>
        <w:autoSpaceDE w:val="0"/>
        <w:widowControl/>
        <w:spacing w:line="245" w:lineRule="auto" w:before="0" w:after="0"/>
        <w:ind w:left="156" w:right="672" w:firstLine="0"/>
        <w:jc w:val="both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this section. When possible, hyperlink to the prescribing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information/PI or use language from the highlights section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of the prescribing information/PI. </w:t>
      </w:r>
    </w:p>
    <w:p>
      <w:pPr>
        <w:autoSpaceDN w:val="0"/>
        <w:tabs>
          <w:tab w:pos="336" w:val="left"/>
          <w:tab w:pos="516" w:val="left"/>
        </w:tabs>
        <w:autoSpaceDE w:val="0"/>
        <w:widowControl/>
        <w:spacing w:line="245" w:lineRule="auto" w:before="0" w:after="0"/>
        <w:ind w:left="156" w:right="576" w:firstLine="0"/>
        <w:jc w:val="left"/>
      </w:pP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Basic product information should generally be provided, </w:t>
      </w:r>
      <w:r>
        <w:rPr>
          <w:rFonts w:ascii="Lora" w:hAnsi="Lora" w:eastAsia="Lora"/>
          <w:b w:val="0"/>
          <w:i w:val="0"/>
          <w:color w:val="000000"/>
          <w:sz w:val="18"/>
        </w:rPr>
        <w:t>including, but not limited to, the following:</w:t>
      </w:r>
      <w:r>
        <w:br/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• Generic name</w:t>
      </w:r>
      <w:r>
        <w:br/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• Brand name</w:t>
      </w:r>
      <w:r>
        <w:br/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• FDA-approved indication(s) and approval date</w:t>
      </w:r>
      <w:r>
        <w:br/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• Therapeutic class and/or mechanism of action</w:t>
      </w:r>
      <w:r>
        <w:br/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• Dosage forms and strengths</w:t>
      </w:r>
      <w:r>
        <w:br/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• Contraindications</w:t>
      </w:r>
      <w:r>
        <w:br/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• Boxed warnings, warnings/precautions, REMS </w:t>
      </w:r>
      <w:r>
        <w:br/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• Adverse events</w:t>
      </w:r>
      <w:r>
        <w:br/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• Unique identifiers (e.g., National Drug Code [NDC] </w:t>
      </w:r>
      <w:r>
        <w:tab/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number, American Hospital Formulary Service [AHFS] </w:t>
      </w:r>
      <w:r>
        <w:tab/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information) </w:t>
      </w:r>
      <w:r>
        <w:br/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• Wholesale acquisition cost (WAC) pricing</w:t>
      </w:r>
      <w:r>
        <w:br/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• Healthcare Common Procedure Coding System </w:t>
      </w:r>
      <w:r>
        <w:tab/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(HCPCS) code(s) </w:t>
      </w:r>
      <w:r>
        <w:br/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Other differentiating attributes may also be included, </w:t>
      </w:r>
      <w:r>
        <w:rPr>
          <w:rFonts w:ascii="Lora" w:hAnsi="Lora" w:eastAsia="Lora"/>
          <w:b w:val="0"/>
          <w:i w:val="0"/>
          <w:color w:val="000000"/>
          <w:sz w:val="18"/>
        </w:rPr>
        <w:t>when clinically necessary, including the following:</w:t>
      </w:r>
      <w:r>
        <w:br/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• Pharmacology, pharmacokinetics, pharmacodynamics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• Special populations (e.g., pregnancy, pediatric use, </w:t>
      </w:r>
      <w:r>
        <w:tab/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renal impairment)</w:t>
      </w:r>
      <w:r>
        <w:br/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• Drug/drug, drug/food, and drug/disease interactions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• Access (e.g., restrictions on distribution, supply limita-</w:t>
      </w:r>
      <w:r>
        <w:tab/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tions, anticipated shortages, patient assistance, and </w:t>
      </w:r>
      <w:r>
        <w:tab/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prescribing restrictions)</w:t>
      </w:r>
      <w:r>
        <w:br/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• Administration (e.g., required health care provider </w:t>
      </w:r>
      <w:r>
        <w:tab/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administration or self-administration after provider </w:t>
      </w:r>
      <w:r>
        <w:tab/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training)</w:t>
      </w:r>
      <w:r>
        <w:br/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• Product development or post-marketing obligations as </w:t>
      </w:r>
      <w:r>
        <w:tab/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required by the FDA</w:t>
      </w:r>
      <w:r>
        <w:br/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• Post-approval monitoring of drug safety and adverse </w:t>
      </w:r>
      <w:r>
        <w:tab/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events </w:t>
      </w:r>
      <w:r>
        <w:br/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• Co-prescribed/concomitant therapies </w:t>
      </w:r>
      <w:r>
        <w:br/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Additional information beyond the label should only be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provided in cases where one or more of these attributes is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of major significance in defining the value of a product. </w:t>
      </w:r>
    </w:p>
    <w:p>
      <w:pPr>
        <w:autoSpaceDN w:val="0"/>
        <w:autoSpaceDE w:val="0"/>
        <w:widowControl/>
        <w:spacing w:line="245" w:lineRule="auto" w:before="0" w:after="0"/>
        <w:ind w:left="156" w:right="576" w:firstLine="18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>For DTx products, complete all relevant product descrip-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tion information in addition to the Table of Highlights for </w:t>
      </w:r>
      <w:r>
        <w:rPr>
          <w:rFonts w:ascii="Lora" w:hAnsi="Lora" w:eastAsia="Lora"/>
          <w:b w:val="0"/>
          <w:i w:val="0"/>
          <w:color w:val="000000"/>
          <w:sz w:val="18"/>
        </w:rPr>
        <w:t>Digital Therapeutics (Table 2.1.1B).</w:t>
      </w:r>
    </w:p>
    <w:p>
      <w:pPr>
        <w:autoSpaceDN w:val="0"/>
        <w:autoSpaceDE w:val="0"/>
        <w:widowControl/>
        <w:spacing w:line="186" w:lineRule="exact" w:before="2714" w:after="0"/>
        <w:ind w:left="0" w:right="742" w:firstLine="0"/>
        <w:jc w:val="right"/>
      </w:pPr>
      <w:r>
        <w:rPr>
          <w:rFonts w:ascii="Asap" w:hAnsi="Asap" w:eastAsia="Asap"/>
          <w:b w:val="0"/>
          <w:i w:val="0"/>
          <w:color w:val="474C55"/>
          <w:sz w:val="14"/>
        </w:rPr>
        <w:t>Vol. 30, No. 4-b</w:t>
      </w:r>
      <w:r>
        <w:rPr>
          <w:rFonts w:ascii="Asap" w:hAnsi="Asap" w:eastAsia="Asap"/>
          <w:b w:val="0"/>
          <w:i w:val="0"/>
          <w:color w:val="474C55"/>
          <w:sz w:val="14"/>
        </w:rPr>
        <w:t>|</w:t>
      </w:r>
      <w:r>
        <w:rPr>
          <w:rFonts w:ascii="Asap" w:hAnsi="Asap" w:eastAsia="Asap"/>
          <w:b w:val="0"/>
          <w:i w:val="0"/>
          <w:color w:val="474C55"/>
          <w:sz w:val="14"/>
        </w:rPr>
        <w:t>April 2024</w:t>
      </w:r>
      <w:r>
        <w:rPr>
          <w:rFonts w:ascii="Asap" w:hAnsi="Asap" w:eastAsia="Asap"/>
          <w:b w:val="0"/>
          <w:i w:val="0"/>
          <w:color w:val="474C55"/>
          <w:sz w:val="14"/>
        </w:rPr>
        <w:t>|</w:t>
      </w:r>
      <w:r>
        <w:rPr>
          <w:rFonts w:ascii="Asap" w:hAnsi="Asap" w:eastAsia="Asap"/>
          <w:b/>
          <w:i w:val="0"/>
          <w:color w:val="14377D"/>
          <w:sz w:val="14"/>
        </w:rPr>
        <w:t xml:space="preserve"> JMCP</w:t>
      </w:r>
      <w:r>
        <w:rPr>
          <w:rFonts w:ascii="Asap" w:hAnsi="Asap" w:eastAsia="Asap"/>
          <w:b w:val="0"/>
          <w:i w:val="0"/>
          <w:color w:val="14377D"/>
          <w:sz w:val="14"/>
        </w:rPr>
        <w:t>.org</w:t>
      </w:r>
    </w:p>
    <w:p>
      <w:pPr>
        <w:sectPr>
          <w:type w:val="nextColumn"/>
          <w:pgSz w:w="11880" w:h="15660"/>
          <w:pgMar w:top="360" w:right="0" w:bottom="266" w:left="716" w:header="720" w:footer="720" w:gutter="0"/>
          <w:cols w:num="2" w:equalWidth="0">
            <w:col w:w="5248" w:space="0"/>
            <w:col w:w="5916" w:space="0"/>
          </w:cols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22.0" w:type="dxa"/>
      </w:tblPr>
      <w:tblGrid>
        <w:gridCol w:w="3248"/>
        <w:gridCol w:w="3248"/>
        <w:gridCol w:w="3248"/>
      </w:tblGrid>
      <w:tr>
        <w:trPr>
          <w:trHeight w:hRule="exact" w:val="1444"/>
        </w:trPr>
        <w:tc>
          <w:tcPr>
            <w:tcW w:type="dxa" w:w="272"/>
            <w:tcBorders>
              <w:bottom w:sz="3.5999999046325684" w:val="single" w:color="#474B5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4" w:after="0"/>
              <w:ind w:left="0" w:right="0" w:firstLine="0"/>
              <w:jc w:val="left"/>
            </w:pPr>
            <w:r>
              <w:rPr>
                <w:rFonts w:ascii="Asap" w:hAnsi="Asap" w:eastAsia="Asap"/>
                <w:b/>
                <w:i w:val="0"/>
                <w:color w:val="FFFFFF"/>
                <w:sz w:val="18"/>
              </w:rPr>
              <w:t>28</w:t>
            </w:r>
          </w:p>
        </w:tc>
        <w:tc>
          <w:tcPr>
            <w:tcW w:type="dxa" w:w="1930"/>
            <w:tcBorders>
              <w:bottom w:sz="3.5999999046325684" w:val="single" w:color="#474B5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4" w:after="0"/>
              <w:ind w:left="90" w:right="0" w:firstLine="0"/>
              <w:jc w:val="left"/>
            </w:pPr>
            <w:r>
              <w:rPr>
                <w:rFonts w:ascii="Asap" w:hAnsi="Asap" w:eastAsia="Asap"/>
                <w:b/>
                <w:i w:val="0"/>
                <w:color w:val="474C55"/>
                <w:sz w:val="18"/>
              </w:rPr>
              <w:t>AMCP FORMAT 5.0</w:t>
            </w:r>
          </w:p>
        </w:tc>
        <w:tc>
          <w:tcPr>
            <w:tcW w:type="dxa" w:w="8140"/>
            <w:tcBorders>
              <w:bottom w:sz="3.5999999046325684" w:val="single" w:color="#474B55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70"/>
        </w:trPr>
        <w:tc>
          <w:tcPr>
            <w:tcW w:type="dxa" w:w="272"/>
            <w:tcBorders>
              <w:top w:sz="3.5999999046325684" w:val="single" w:color="#474B55"/>
            </w:tcBorders>
            <w:shd w:fill="474b55"/>
            <w:tcMar>
              <w:start w:w="0" w:type="dxa"/>
              <w:end w:w="0" w:type="dxa"/>
            </w:tcMar>
          </w:tcPr>
          <w:p/>
        </w:tc>
        <w:tc>
          <w:tcPr>
            <w:tcW w:type="dxa" w:w="1930"/>
            <w:tcBorders>
              <w:top w:sz="3.5999999046325684" w:val="single" w:color="#474B55"/>
            </w:tcBorders>
            <w:shd w:fill="474b55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6" w:after="0"/>
              <w:ind w:left="124" w:right="0" w:firstLine="0"/>
              <w:jc w:val="left"/>
            </w:pPr>
            <w:r>
              <w:rPr>
                <w:rFonts w:ascii="Asap" w:hAnsi="Asap" w:eastAsia="Asap"/>
                <w:b/>
                <w:i w:val="0"/>
                <w:color w:val="FFFFFF"/>
                <w:sz w:val="20"/>
              </w:rPr>
              <w:t>TABLE 2.1.1B</w:t>
            </w:r>
          </w:p>
        </w:tc>
        <w:tc>
          <w:tcPr>
            <w:tcW w:type="dxa" w:w="8140"/>
            <w:tcBorders>
              <w:top w:sz="3.5999999046325684" w:val="single" w:color="#474B5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8" w:lineRule="exact" w:before="60" w:after="0"/>
              <w:ind w:left="116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14377D"/>
                <w:sz w:val="20"/>
              </w:rPr>
              <w:t>TABLE OF HIGHLIGHTS FOR DIGITAL THERAPEUTICS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14.0" w:type="dxa"/>
      </w:tblPr>
      <w:tblGrid>
        <w:gridCol w:w="4872"/>
        <w:gridCol w:w="4872"/>
      </w:tblGrid>
      <w:tr>
        <w:trPr>
          <w:trHeight w:hRule="exact" w:val="308"/>
        </w:trPr>
        <w:tc>
          <w:tcPr>
            <w:tcW w:type="dxa" w:w="3564"/>
            <w:tcBorders>
              <w:top w:sz="16.0" w:val="single" w:color="#474B55"/>
              <w:end w:sz="8.0" w:val="single" w:color="#C6C8C7"/>
              <w:bottom w:sz="8.0" w:val="single" w:color="#13377C"/>
            </w:tcBorders>
            <w:shd w:fill="c6c8c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2" w:lineRule="exact" w:before="38" w:after="0"/>
              <w:ind w:left="0" w:right="0" w:firstLine="0"/>
              <w:jc w:val="center"/>
            </w:pPr>
            <w:r>
              <w:rPr>
                <w:w w:val="102.46950387954712"/>
                <w:rFonts w:ascii="Asap" w:hAnsi="Asap" w:eastAsia="Asap"/>
                <w:b/>
                <w:i w:val="0"/>
                <w:color w:val="000000"/>
                <w:sz w:val="16"/>
              </w:rPr>
              <w:t>Type of Information</w:t>
            </w:r>
          </w:p>
        </w:tc>
        <w:tc>
          <w:tcPr>
            <w:tcW w:type="dxa" w:w="6870"/>
            <w:tcBorders>
              <w:start w:sz="8.0" w:val="single" w:color="#C6C8C7"/>
              <w:top w:sz="16.0" w:val="single" w:color="#474B55"/>
              <w:bottom w:sz="8.0" w:val="single" w:color="#13377C"/>
            </w:tcBorders>
            <w:shd w:fill="c6c8c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2" w:lineRule="exact" w:before="38" w:after="0"/>
              <w:ind w:left="0" w:right="0" w:firstLine="0"/>
              <w:jc w:val="center"/>
            </w:pPr>
            <w:r>
              <w:rPr>
                <w:w w:val="102.46950387954712"/>
                <w:rFonts w:ascii="Asap" w:hAnsi="Asap" w:eastAsia="Asap"/>
                <w:b/>
                <w:i w:val="0"/>
                <w:color w:val="000000"/>
                <w:sz w:val="16"/>
              </w:rPr>
              <w:t>Description of Information</w:t>
            </w:r>
          </w:p>
        </w:tc>
      </w:tr>
      <w:tr>
        <w:trPr>
          <w:trHeight w:hRule="exact" w:val="310"/>
        </w:trPr>
        <w:tc>
          <w:tcPr>
            <w:tcW w:type="dxa" w:w="3564"/>
            <w:tcBorders>
              <w:top w:sz="8.0" w:val="single" w:color="#13377C"/>
              <w:end w:sz="8.0" w:val="single" w:color="#C6C8C7"/>
              <w:bottom w:sz="8.0" w:val="single" w:color="#C6C8C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52" w:after="0"/>
              <w:ind w:left="100" w:right="0" w:firstLine="0"/>
              <w:jc w:val="left"/>
            </w:pPr>
            <w:r>
              <w:rPr>
                <w:rFonts w:ascii="Asap" w:hAnsi="Asap" w:eastAsia="Asap"/>
                <w:b/>
                <w:i w:val="0"/>
                <w:color w:val="000000"/>
                <w:sz w:val="16"/>
              </w:rPr>
              <w:t>Product version</w:t>
            </w:r>
          </w:p>
        </w:tc>
        <w:tc>
          <w:tcPr>
            <w:tcW w:type="dxa" w:w="6870"/>
            <w:tcBorders>
              <w:start w:sz="8.0" w:val="single" w:color="#C6C8C7"/>
              <w:top w:sz="8.0" w:val="single" w:color="#13377C"/>
              <w:bottom w:sz="8.0" w:val="single" w:color="#C6C8C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58" w:after="0"/>
              <w:ind w:left="70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>- Include version of application that the dossier applies to</w:t>
            </w:r>
          </w:p>
        </w:tc>
      </w:tr>
      <w:tr>
        <w:trPr>
          <w:trHeight w:hRule="exact" w:val="470"/>
        </w:trPr>
        <w:tc>
          <w:tcPr>
            <w:tcW w:type="dxa" w:w="3564"/>
            <w:tcBorders>
              <w:top w:sz="8.0" w:val="single" w:color="#C6C8C7"/>
              <w:end w:sz="8.0" w:val="single" w:color="#C6C8C7"/>
              <w:bottom w:sz="8.0" w:val="single" w:color="#C6C8C7"/>
            </w:tcBorders>
            <w:shd w:fill="eaea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130" w:after="0"/>
              <w:ind w:left="100" w:right="0" w:firstLine="0"/>
              <w:jc w:val="left"/>
            </w:pPr>
            <w:r>
              <w:rPr>
                <w:rFonts w:ascii="Asap" w:hAnsi="Asap" w:eastAsia="Asap"/>
                <w:b/>
                <w:i w:val="0"/>
                <w:color w:val="000000"/>
                <w:sz w:val="16"/>
              </w:rPr>
              <w:t>Approval pathway</w:t>
            </w:r>
          </w:p>
        </w:tc>
        <w:tc>
          <w:tcPr>
            <w:tcW w:type="dxa" w:w="6870"/>
            <w:tcBorders>
              <w:start w:sz="8.0" w:val="single" w:color="#C6C8C7"/>
              <w:top w:sz="8.0" w:val="single" w:color="#C6C8C7"/>
              <w:bottom w:sz="8.0" w:val="single" w:color="#C6C8C7"/>
            </w:tcBorders>
            <w:shd w:fill="eaeaf2"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250" w:val="left"/>
              </w:tabs>
              <w:autoSpaceDE w:val="0"/>
              <w:widowControl/>
              <w:spacing w:line="170" w:lineRule="exact" w:before="76" w:after="0"/>
              <w:ind w:left="70" w:right="288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 xml:space="preserve">- FDA clearance, class II device, predicates based on the desktop app now transferred to the </w:t>
            </w:r>
            <w:r>
              <w:tab/>
            </w: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>web, etc.</w:t>
            </w:r>
          </w:p>
        </w:tc>
      </w:tr>
      <w:tr>
        <w:trPr>
          <w:trHeight w:hRule="exact" w:val="784"/>
        </w:trPr>
        <w:tc>
          <w:tcPr>
            <w:tcW w:type="dxa" w:w="3564"/>
            <w:tcBorders>
              <w:top w:sz="8.0" w:val="single" w:color="#C6C8C7"/>
              <w:end w:sz="8.0" w:val="single" w:color="#C6C8C7"/>
              <w:bottom w:sz="8.0" w:val="single" w:color="#C6C8C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8" w:after="0"/>
              <w:ind w:left="100" w:right="0" w:firstLine="0"/>
              <w:jc w:val="left"/>
            </w:pPr>
            <w:r>
              <w:rPr>
                <w:rFonts w:ascii="Asap" w:hAnsi="Asap" w:eastAsia="Asap"/>
                <w:b/>
                <w:i w:val="0"/>
                <w:color w:val="000000"/>
                <w:sz w:val="16"/>
              </w:rPr>
              <w:t xml:space="preserve">Intended environment of therapy delivery and </w:t>
            </w:r>
            <w:r>
              <w:rPr>
                <w:rFonts w:ascii="Asap" w:hAnsi="Asap" w:eastAsia="Asap"/>
                <w:b/>
                <w:i w:val="0"/>
                <w:color w:val="000000"/>
                <w:sz w:val="16"/>
              </w:rPr>
              <w:t>ongoing use</w:t>
            </w:r>
          </w:p>
        </w:tc>
        <w:tc>
          <w:tcPr>
            <w:tcW w:type="dxa" w:w="6870"/>
            <w:tcBorders>
              <w:start w:sz="8.0" w:val="single" w:color="#C6C8C7"/>
              <w:top w:sz="8.0" w:val="single" w:color="#C6C8C7"/>
              <w:bottom w:sz="8.0" w:val="single" w:color="#C6C8C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exact" w:before="4" w:after="0"/>
              <w:ind w:left="70" w:right="3024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>- Patient setting (home, work, school)</w:t>
            </w:r>
            <w:r>
              <w:br/>
            </w: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>- Health care setting</w:t>
            </w:r>
            <w:r>
              <w:br/>
            </w: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>- Institutional setting (nursing home, long-term care)</w:t>
            </w:r>
          </w:p>
        </w:tc>
      </w:tr>
      <w:tr>
        <w:trPr>
          <w:trHeight w:hRule="exact" w:val="310"/>
        </w:trPr>
        <w:tc>
          <w:tcPr>
            <w:tcW w:type="dxa" w:w="3564"/>
            <w:tcBorders>
              <w:top w:sz="8.0" w:val="single" w:color="#C6C8C7"/>
              <w:end w:sz="8.0" w:val="single" w:color="#C6C8C7"/>
              <w:bottom w:sz="8.0" w:val="single" w:color="#C6C8C7"/>
            </w:tcBorders>
            <w:shd w:fill="eaea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50" w:after="0"/>
              <w:ind w:left="100" w:right="0" w:firstLine="0"/>
              <w:jc w:val="left"/>
            </w:pPr>
            <w:r>
              <w:rPr>
                <w:rFonts w:ascii="Asap" w:hAnsi="Asap" w:eastAsia="Asap"/>
                <w:b/>
                <w:i w:val="0"/>
                <w:color w:val="000000"/>
                <w:sz w:val="16"/>
              </w:rPr>
              <w:t>Intended line of business</w:t>
            </w:r>
          </w:p>
        </w:tc>
        <w:tc>
          <w:tcPr>
            <w:tcW w:type="dxa" w:w="6870"/>
            <w:tcBorders>
              <w:start w:sz="8.0" w:val="single" w:color="#C6C8C7"/>
              <w:top w:sz="8.0" w:val="single" w:color="#C6C8C7"/>
              <w:bottom w:sz="8.0" w:val="single" w:color="#C6C8C7"/>
            </w:tcBorders>
            <w:shd w:fill="eaea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58" w:after="0"/>
              <w:ind w:left="70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>- Commercial, Medicare, Medicaid, Other</w:t>
            </w:r>
          </w:p>
        </w:tc>
      </w:tr>
      <w:tr>
        <w:trPr>
          <w:trHeight w:hRule="exact" w:val="1026"/>
        </w:trPr>
        <w:tc>
          <w:tcPr>
            <w:tcW w:type="dxa" w:w="3564"/>
            <w:tcBorders>
              <w:top w:sz="8.0" w:val="single" w:color="#C6C8C7"/>
              <w:end w:sz="8.0" w:val="single" w:color="#C6C8C7"/>
              <w:bottom w:sz="8.0" w:val="single" w:color="#C6C8C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408" w:after="0"/>
              <w:ind w:left="100" w:right="0" w:firstLine="0"/>
              <w:jc w:val="left"/>
            </w:pPr>
            <w:r>
              <w:rPr>
                <w:rFonts w:ascii="Asap" w:hAnsi="Asap" w:eastAsia="Asap"/>
                <w:b/>
                <w:i w:val="0"/>
                <w:color w:val="000000"/>
                <w:sz w:val="16"/>
              </w:rPr>
              <w:t>Relationship to other therapies</w:t>
            </w:r>
          </w:p>
        </w:tc>
        <w:tc>
          <w:tcPr>
            <w:tcW w:type="dxa" w:w="6870"/>
            <w:tcBorders>
              <w:start w:sz="8.0" w:val="single" w:color="#C6C8C7"/>
              <w:top w:sz="8.0" w:val="single" w:color="#C6C8C7"/>
              <w:bottom w:sz="8.0" w:val="single" w:color="#C6C8C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exact" w:before="4" w:after="0"/>
              <w:ind w:left="70" w:right="360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>- Stand alone</w:t>
            </w:r>
            <w:r>
              <w:br/>
            </w: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>- Add-on therapy to standard of care</w:t>
            </w:r>
            <w:r>
              <w:br/>
            </w: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>- Replaces existing therapy</w:t>
            </w:r>
            <w:r>
              <w:br/>
            </w: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>- Co-prescribed with pharmacologic therapy</w:t>
            </w:r>
          </w:p>
        </w:tc>
      </w:tr>
      <w:tr>
        <w:trPr>
          <w:trHeight w:hRule="exact" w:val="310"/>
        </w:trPr>
        <w:tc>
          <w:tcPr>
            <w:tcW w:type="dxa" w:w="3564"/>
            <w:tcBorders>
              <w:top w:sz="8.0" w:val="single" w:color="#C6C8C7"/>
              <w:end w:sz="8.0" w:val="single" w:color="#C6C8C7"/>
              <w:bottom w:sz="8.0" w:val="single" w:color="#C6C8C7"/>
            </w:tcBorders>
            <w:shd w:fill="eaea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50" w:after="0"/>
              <w:ind w:left="100" w:right="0" w:firstLine="0"/>
              <w:jc w:val="left"/>
            </w:pPr>
            <w:r>
              <w:rPr>
                <w:rFonts w:ascii="Asap" w:hAnsi="Asap" w:eastAsia="Asap"/>
                <w:b/>
                <w:i w:val="0"/>
                <w:color w:val="000000"/>
                <w:sz w:val="16"/>
              </w:rPr>
              <w:t>Language</w:t>
            </w:r>
          </w:p>
        </w:tc>
        <w:tc>
          <w:tcPr>
            <w:tcW w:type="dxa" w:w="6870"/>
            <w:tcBorders>
              <w:start w:sz="8.0" w:val="single" w:color="#C6C8C7"/>
              <w:top w:sz="8.0" w:val="single" w:color="#C6C8C7"/>
              <w:bottom w:sz="8.0" w:val="single" w:color="#C6C8C7"/>
            </w:tcBorders>
            <w:shd w:fill="eaea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58" w:after="0"/>
              <w:ind w:left="70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>- Languages the product is available in</w:t>
            </w:r>
          </w:p>
        </w:tc>
      </w:tr>
      <w:tr>
        <w:trPr>
          <w:trHeight w:hRule="exact" w:val="308"/>
        </w:trPr>
        <w:tc>
          <w:tcPr>
            <w:tcW w:type="dxa" w:w="3564"/>
            <w:tcBorders>
              <w:top w:sz="8.0" w:val="single" w:color="#C6C8C7"/>
              <w:end w:sz="8.0" w:val="single" w:color="#C6C8C7"/>
              <w:bottom w:sz="8.0" w:val="single" w:color="#C6C8C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50" w:after="0"/>
              <w:ind w:left="100" w:right="0" w:firstLine="0"/>
              <w:jc w:val="left"/>
            </w:pPr>
            <w:r>
              <w:rPr>
                <w:rFonts w:ascii="Asap" w:hAnsi="Asap" w:eastAsia="Asap"/>
                <w:b/>
                <w:i w:val="0"/>
                <w:color w:val="000000"/>
                <w:sz w:val="16"/>
              </w:rPr>
              <w:t>Considerations for specific populations</w:t>
            </w:r>
          </w:p>
        </w:tc>
        <w:tc>
          <w:tcPr>
            <w:tcW w:type="dxa" w:w="6870"/>
            <w:tcBorders>
              <w:start w:sz="8.0" w:val="single" w:color="#C6C8C7"/>
              <w:top w:sz="8.0" w:val="single" w:color="#C6C8C7"/>
              <w:bottom w:sz="8.0" w:val="single" w:color="#C6C8C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58" w:after="0"/>
              <w:ind w:left="70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>- Additional information on cultural, disability, age, health, or digital literacy requirements</w:t>
            </w:r>
          </w:p>
        </w:tc>
      </w:tr>
      <w:tr>
        <w:trPr>
          <w:trHeight w:hRule="exact" w:val="2262"/>
        </w:trPr>
        <w:tc>
          <w:tcPr>
            <w:tcW w:type="dxa" w:w="3564"/>
            <w:tcBorders>
              <w:top w:sz="8.0" w:val="single" w:color="#C6C8C7"/>
              <w:end w:sz="8.0" w:val="single" w:color="#C6C8C7"/>
              <w:bottom w:sz="8.0" w:val="single" w:color="#C6C8C7"/>
            </w:tcBorders>
            <w:shd w:fill="eaea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1028" w:after="0"/>
              <w:ind w:left="100" w:right="0" w:firstLine="0"/>
              <w:jc w:val="left"/>
            </w:pPr>
            <w:r>
              <w:rPr>
                <w:rFonts w:ascii="Asap" w:hAnsi="Asap" w:eastAsia="Asap"/>
                <w:b/>
                <w:i w:val="0"/>
                <w:color w:val="000000"/>
                <w:sz w:val="16"/>
              </w:rPr>
              <w:t>Patient access to the product</w:t>
            </w:r>
          </w:p>
        </w:tc>
        <w:tc>
          <w:tcPr>
            <w:tcW w:type="dxa" w:w="6870"/>
            <w:tcBorders>
              <w:start w:sz="8.0" w:val="single" w:color="#C6C8C7"/>
              <w:top w:sz="8.0" w:val="single" w:color="#C6C8C7"/>
              <w:bottom w:sz="8.0" w:val="single" w:color="#C6C8C7"/>
            </w:tcBorders>
            <w:shd w:fill="eaeaf2"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250" w:val="left"/>
              </w:tabs>
              <w:autoSpaceDE w:val="0"/>
              <w:widowControl/>
              <w:spacing w:line="218" w:lineRule="exact" w:before="28" w:after="0"/>
              <w:ind w:left="70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>- Formal prescription from a qualified clinician (in-person or virtual engagement)</w:t>
            </w:r>
            <w:r>
              <w:br/>
            </w: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>- Clinician referral for a nonprescription DTx product (in-person or virtual engagement)</w:t>
            </w:r>
            <w:r>
              <w:br/>
            </w: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>- Direct authorization by an employer for a nonprescription DTx product</w:t>
            </w:r>
            <w:r>
              <w:br/>
            </w: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>- Direct authorization by a payer for a nonprescription DTx product</w:t>
            </w:r>
            <w:r>
              <w:br/>
            </w: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 xml:space="preserve">- “Authorized clinical protocol” established by an HCDM to authorize automatic patient access </w:t>
            </w:r>
            <w:r>
              <w:tab/>
            </w: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>when necessary, qualification requirements are met</w:t>
            </w:r>
            <w:r>
              <w:br/>
            </w: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 xml:space="preserve">- “Clinically validated screening tool” that patients use to determine whether they qualify for the </w:t>
            </w:r>
            <w:r>
              <w:tab/>
            </w: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>therapy; “over-the-counter” model where no form of third-party authorization is necessary</w:t>
            </w: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 xml:space="preserve">- Details on the dispensing process may also be included (e.g. download, specialty pharmacy, </w:t>
            </w:r>
            <w:r>
              <w:tab/>
            </w: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>etc.)</w:t>
            </w:r>
          </w:p>
        </w:tc>
      </w:tr>
      <w:tr>
        <w:trPr>
          <w:trHeight w:hRule="exact" w:val="490"/>
        </w:trPr>
        <w:tc>
          <w:tcPr>
            <w:tcW w:type="dxa" w:w="3564"/>
            <w:tcBorders>
              <w:top w:sz="8.0" w:val="single" w:color="#C6C8C7"/>
              <w:end w:sz="8.0" w:val="single" w:color="#C6C8C7"/>
              <w:bottom w:sz="8.0" w:val="single" w:color="#C6C8C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80" w:after="0"/>
              <w:ind w:left="100" w:right="432" w:firstLine="0"/>
              <w:jc w:val="left"/>
            </w:pPr>
            <w:r>
              <w:rPr>
                <w:rFonts w:ascii="Asap" w:hAnsi="Asap" w:eastAsia="Asap"/>
                <w:b/>
                <w:i w:val="0"/>
                <w:color w:val="000000"/>
                <w:sz w:val="16"/>
              </w:rPr>
              <w:t xml:space="preserve">Components required for the software to </w:t>
            </w:r>
            <w:r>
              <w:rPr>
                <w:rFonts w:ascii="Asap" w:hAnsi="Asap" w:eastAsia="Asap"/>
                <w:b/>
                <w:i w:val="0"/>
                <w:color w:val="000000"/>
                <w:sz w:val="16"/>
              </w:rPr>
              <w:t>deliver its therapeutic value</w:t>
            </w:r>
          </w:p>
        </w:tc>
        <w:tc>
          <w:tcPr>
            <w:tcW w:type="dxa" w:w="6870"/>
            <w:tcBorders>
              <w:start w:sz="8.0" w:val="single" w:color="#C6C8C7"/>
              <w:top w:sz="8.0" w:val="single" w:color="#C6C8C7"/>
              <w:bottom w:sz="8.0" w:val="single" w:color="#C6C8C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exact" w:before="148" w:after="0"/>
              <w:ind w:left="70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>- Additional hardware or software required</w:t>
            </w:r>
          </w:p>
        </w:tc>
      </w:tr>
      <w:tr>
        <w:trPr>
          <w:trHeight w:hRule="exact" w:val="490"/>
        </w:trPr>
        <w:tc>
          <w:tcPr>
            <w:tcW w:type="dxa" w:w="3564"/>
            <w:tcBorders>
              <w:top w:sz="8.0" w:val="single" w:color="#C6C8C7"/>
              <w:end w:sz="8.0" w:val="single" w:color="#C6C8C7"/>
              <w:bottom w:sz="8.0" w:val="single" w:color="#C6C8C7"/>
            </w:tcBorders>
            <w:shd w:fill="eaea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80" w:after="0"/>
              <w:ind w:left="100" w:right="432" w:firstLine="0"/>
              <w:jc w:val="left"/>
            </w:pPr>
            <w:r>
              <w:rPr>
                <w:rFonts w:ascii="Asap" w:hAnsi="Asap" w:eastAsia="Asap"/>
                <w:b/>
                <w:i w:val="0"/>
                <w:color w:val="000000"/>
                <w:sz w:val="16"/>
              </w:rPr>
              <w:t xml:space="preserve">Host technology and required hardware </w:t>
            </w:r>
            <w:r>
              <w:rPr>
                <w:rFonts w:ascii="Asap" w:hAnsi="Asap" w:eastAsia="Asap"/>
                <w:b/>
                <w:i w:val="0"/>
                <w:color w:val="000000"/>
                <w:sz w:val="16"/>
              </w:rPr>
              <w:t>components (if applicable)</w:t>
            </w:r>
          </w:p>
        </w:tc>
        <w:tc>
          <w:tcPr>
            <w:tcW w:type="dxa" w:w="6870"/>
            <w:tcBorders>
              <w:start w:sz="8.0" w:val="single" w:color="#C6C8C7"/>
              <w:top w:sz="8.0" w:val="single" w:color="#C6C8C7"/>
              <w:bottom w:sz="8.0" w:val="single" w:color="#C6C8C7"/>
            </w:tcBorders>
            <w:shd w:fill="eaea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48" w:after="0"/>
              <w:ind w:left="70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>- Smartphone, tablet, laptop, wearable device</w:t>
            </w:r>
          </w:p>
        </w:tc>
      </w:tr>
      <w:tr>
        <w:trPr>
          <w:trHeight w:hRule="exact" w:val="542"/>
        </w:trPr>
        <w:tc>
          <w:tcPr>
            <w:tcW w:type="dxa" w:w="3564"/>
            <w:tcBorders>
              <w:top w:sz="8.0" w:val="single" w:color="#C6C8C7"/>
              <w:end w:sz="8.0" w:val="single" w:color="#C6C8C7"/>
              <w:bottom w:sz="8.0" w:val="single" w:color="#C6C8C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166" w:after="0"/>
              <w:ind w:left="100" w:right="0" w:firstLine="0"/>
              <w:jc w:val="left"/>
            </w:pPr>
            <w:r>
              <w:rPr>
                <w:rFonts w:ascii="Asap" w:hAnsi="Asap" w:eastAsia="Asap"/>
                <w:b/>
                <w:i w:val="0"/>
                <w:color w:val="000000"/>
                <w:sz w:val="16"/>
              </w:rPr>
              <w:t>Technical requirements</w:t>
            </w:r>
          </w:p>
        </w:tc>
        <w:tc>
          <w:tcPr>
            <w:tcW w:type="dxa" w:w="6870"/>
            <w:tcBorders>
              <w:start w:sz="8.0" w:val="single" w:color="#C6C8C7"/>
              <w:top w:sz="8.0" w:val="single" w:color="#C6C8C7"/>
              <w:bottom w:sz="8.0" w:val="single" w:color="#C6C8C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exact" w:before="4" w:after="0"/>
              <w:ind w:left="70" w:right="5472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>- Offline-capable</w:t>
            </w:r>
            <w:r>
              <w:br/>
            </w: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>- Broadband</w:t>
            </w:r>
          </w:p>
        </w:tc>
      </w:tr>
      <w:tr>
        <w:trPr>
          <w:trHeight w:hRule="exact" w:val="784"/>
        </w:trPr>
        <w:tc>
          <w:tcPr>
            <w:tcW w:type="dxa" w:w="3564"/>
            <w:tcBorders>
              <w:top w:sz="8.0" w:val="single" w:color="#C6C8C7"/>
              <w:end w:sz="8.0" w:val="single" w:color="#C6C8C7"/>
              <w:bottom w:sz="8.0" w:val="single" w:color="#C6C8C7"/>
            </w:tcBorders>
            <w:shd w:fill="eaea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288" w:after="0"/>
              <w:ind w:left="100" w:right="0" w:firstLine="0"/>
              <w:jc w:val="left"/>
            </w:pPr>
            <w:r>
              <w:rPr>
                <w:rFonts w:ascii="Asap" w:hAnsi="Asap" w:eastAsia="Asap"/>
                <w:b/>
                <w:i w:val="0"/>
                <w:color w:val="000000"/>
                <w:sz w:val="16"/>
              </w:rPr>
              <w:t>Compatibility</w:t>
            </w:r>
          </w:p>
        </w:tc>
        <w:tc>
          <w:tcPr>
            <w:tcW w:type="dxa" w:w="6870"/>
            <w:tcBorders>
              <w:start w:sz="8.0" w:val="single" w:color="#C6C8C7"/>
              <w:top w:sz="8.0" w:val="single" w:color="#C6C8C7"/>
              <w:bottom w:sz="8.0" w:val="single" w:color="#C6C8C7"/>
            </w:tcBorders>
            <w:shd w:fill="eaea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exact" w:before="4" w:after="0"/>
              <w:ind w:left="70" w:right="4032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>- PC/Mac</w:t>
            </w:r>
            <w:r>
              <w:br/>
            </w: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>- Browser (e.g., Chrome, Edge, Safari)</w:t>
            </w:r>
            <w:r>
              <w:br/>
            </w: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>- Operating system (e.g., iOS, Android)</w:t>
            </w:r>
          </w:p>
        </w:tc>
      </w:tr>
      <w:tr>
        <w:trPr>
          <w:trHeight w:hRule="exact" w:val="310"/>
        </w:trPr>
        <w:tc>
          <w:tcPr>
            <w:tcW w:type="dxa" w:w="3564"/>
            <w:tcBorders>
              <w:top w:sz="8.0" w:val="single" w:color="#C6C8C7"/>
              <w:end w:sz="8.0" w:val="single" w:color="#C6C8C7"/>
              <w:bottom w:sz="16.0" w:val="single" w:color="#474B5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50" w:after="0"/>
              <w:ind w:left="100" w:right="0" w:firstLine="0"/>
              <w:jc w:val="left"/>
            </w:pPr>
            <w:r>
              <w:rPr>
                <w:rFonts w:ascii="Asap" w:hAnsi="Asap" w:eastAsia="Asap"/>
                <w:b/>
                <w:i w:val="0"/>
                <w:color w:val="000000"/>
                <w:sz w:val="16"/>
              </w:rPr>
              <w:t>Technical assistance availability</w:t>
            </w:r>
          </w:p>
        </w:tc>
        <w:tc>
          <w:tcPr>
            <w:tcW w:type="dxa" w:w="6870"/>
            <w:tcBorders>
              <w:start w:sz="8.0" w:val="single" w:color="#C6C8C7"/>
              <w:top w:sz="8.0" w:val="single" w:color="#C6C8C7"/>
              <w:bottom w:sz="16.0" w:val="single" w:color="#474B5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58" w:after="0"/>
              <w:ind w:left="70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>- In-app support via chat or call center availability</w:t>
            </w:r>
          </w:p>
        </w:tc>
      </w:tr>
    </w:tbl>
    <w:p>
      <w:pPr>
        <w:autoSpaceDN w:val="0"/>
        <w:autoSpaceDE w:val="0"/>
        <w:widowControl/>
        <w:spacing w:line="180" w:lineRule="exact" w:before="248" w:after="0"/>
        <w:ind w:left="732" w:right="288" w:firstLine="0"/>
        <w:jc w:val="left"/>
      </w:pPr>
      <w:r>
        <w:rPr>
          <w:rFonts w:ascii="Asap" w:hAnsi="Asap" w:eastAsia="Asap"/>
          <w:b w:val="0"/>
          <w:i/>
          <w:color w:val="000000"/>
          <w:sz w:val="15"/>
        </w:rPr>
        <w:t xml:space="preserve">DTx = digital therapeutics; FDA = U.S. Food and Drug Administration; HCDM = health care decision-maker; iOS = Apple operating system; PC/Mac = </w:t>
      </w:r>
      <w:r>
        <w:rPr>
          <w:rFonts w:ascii="Asap" w:hAnsi="Asap" w:eastAsia="Asap"/>
          <w:b w:val="0"/>
          <w:i/>
          <w:color w:val="000000"/>
          <w:sz w:val="15"/>
        </w:rPr>
        <w:t>refers to computers running IBM-based operating systems/computers produced by Apple.</w:t>
      </w:r>
    </w:p>
    <w:p>
      <w:pPr>
        <w:autoSpaceDN w:val="0"/>
        <w:autoSpaceDE w:val="0"/>
        <w:widowControl/>
        <w:spacing w:line="186" w:lineRule="exact" w:before="3056" w:after="0"/>
        <w:ind w:left="740" w:right="0" w:firstLine="0"/>
        <w:jc w:val="left"/>
      </w:pPr>
      <w:r>
        <w:rPr>
          <w:rFonts w:ascii="Asap" w:hAnsi="Asap" w:eastAsia="Asap"/>
          <w:b/>
          <w:i w:val="0"/>
          <w:color w:val="14377D"/>
          <w:sz w:val="14"/>
        </w:rPr>
        <w:t>JMCP</w:t>
      </w:r>
      <w:r>
        <w:rPr>
          <w:rFonts w:ascii="Asap" w:hAnsi="Asap" w:eastAsia="Asap"/>
          <w:b w:val="0"/>
          <w:i w:val="0"/>
          <w:color w:val="14377D"/>
          <w:sz w:val="14"/>
        </w:rPr>
        <w:t>.org</w:t>
      </w:r>
      <w:r>
        <w:rPr>
          <w:rFonts w:ascii="Asap" w:hAnsi="Asap" w:eastAsia="Asap"/>
          <w:b w:val="0"/>
          <w:i w:val="0"/>
          <w:color w:val="474C55"/>
          <w:sz w:val="14"/>
        </w:rPr>
        <w:t>|</w:t>
      </w:r>
      <w:r>
        <w:rPr>
          <w:rFonts w:ascii="Asap" w:hAnsi="Asap" w:eastAsia="Asap"/>
          <w:b w:val="0"/>
          <w:i w:val="0"/>
          <w:color w:val="474C55"/>
          <w:sz w:val="14"/>
        </w:rPr>
        <w:t>April 2024</w:t>
      </w:r>
      <w:r>
        <w:rPr>
          <w:rFonts w:ascii="Asap" w:hAnsi="Asap" w:eastAsia="Asap"/>
          <w:b w:val="0"/>
          <w:i w:val="0"/>
          <w:color w:val="474C55"/>
          <w:sz w:val="14"/>
        </w:rPr>
        <w:t>|</w:t>
      </w:r>
      <w:r>
        <w:rPr>
          <w:rFonts w:ascii="Asap" w:hAnsi="Asap" w:eastAsia="Asap"/>
          <w:b w:val="0"/>
          <w:i w:val="0"/>
          <w:color w:val="474C55"/>
          <w:sz w:val="14"/>
        </w:rPr>
        <w:t>Vol. 30, No. 4-B</w:t>
      </w:r>
    </w:p>
    <w:p>
      <w:pPr>
        <w:sectPr>
          <w:pgSz w:w="11880" w:h="15660"/>
          <w:pgMar w:top="360" w:right="696" w:bottom="266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220.0" w:type="dxa"/>
      </w:tblPr>
      <w:tblGrid>
        <w:gridCol w:w="4850"/>
        <w:gridCol w:w="4850"/>
      </w:tblGrid>
      <w:tr>
        <w:trPr>
          <w:trHeight w:hRule="exact" w:val="362"/>
        </w:trPr>
        <w:tc>
          <w:tcPr>
            <w:tcW w:type="dxa" w:w="582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4" w:after="0"/>
              <w:ind w:left="0" w:right="90" w:firstLine="0"/>
              <w:jc w:val="right"/>
            </w:pPr>
            <w:r>
              <w:rPr>
                <w:rFonts w:ascii="Asap" w:hAnsi="Asap" w:eastAsia="Asap"/>
                <w:b/>
                <w:i w:val="0"/>
                <w:color w:val="474C55"/>
                <w:sz w:val="18"/>
              </w:rPr>
              <w:t>AMCP FORMAT 5.0</w:t>
            </w:r>
          </w:p>
        </w:tc>
        <w:tc>
          <w:tcPr>
            <w:tcW w:type="dxa" w:w="1094"/>
            <w:tcBorders/>
            <w:shd w:fill="6b146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72" w:after="0"/>
              <w:ind w:left="90" w:right="0" w:firstLine="0"/>
              <w:jc w:val="left"/>
            </w:pPr>
            <w:r>
              <w:rPr>
                <w:rFonts w:ascii="Asap" w:hAnsi="Asap" w:eastAsia="Asap"/>
                <w:b/>
                <w:i w:val="0"/>
                <w:color w:val="FFFFFF"/>
                <w:sz w:val="18"/>
              </w:rPr>
              <w:t>29</w:t>
            </w:r>
          </w:p>
        </w:tc>
      </w:tr>
    </w:tbl>
    <w:p>
      <w:pPr>
        <w:autoSpaceDN w:val="0"/>
        <w:autoSpaceDE w:val="0"/>
        <w:widowControl/>
        <w:spacing w:line="14" w:lineRule="exact" w:before="0" w:after="1032"/>
        <w:ind w:left="0" w:right="0"/>
      </w:pPr>
    </w:p>
    <w:p>
      <w:pPr>
        <w:sectPr>
          <w:pgSz w:w="11880" w:h="15660"/>
          <w:pgMar w:top="360" w:right="0" w:bottom="266" w:left="740" w:header="720" w:footer="720" w:gutter="0"/>
          <w:cols/>
          <w:docGrid w:linePitch="360"/>
        </w:sectPr>
      </w:pPr>
    </w:p>
    <w:p>
      <w:pPr>
        <w:autoSpaceDN w:val="0"/>
        <w:tabs>
          <w:tab w:pos="360" w:val="left"/>
        </w:tabs>
        <w:autoSpaceDE w:val="0"/>
        <w:widowControl/>
        <w:spacing w:line="240" w:lineRule="exact" w:before="0" w:after="0"/>
        <w:ind w:left="180" w:right="144" w:firstLine="0"/>
        <w:jc w:val="left"/>
      </w:pPr>
      <w:r>
        <w:rPr>
          <w:rFonts w:ascii="Asap" w:hAnsi="Asap" w:eastAsia="Asap"/>
          <w:b/>
          <w:i w:val="0"/>
          <w:color w:val="007EC5"/>
          <w:sz w:val="18"/>
        </w:rPr>
        <w:t xml:space="preserve">2.1.2B PRODUCT COMPARISON 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 statement as to why the comparators were selected </w:t>
      </w:r>
      <w:r>
        <w:rPr>
          <w:rFonts w:ascii="Lora" w:hAnsi="Lora" w:eastAsia="Lora"/>
          <w:b w:val="0"/>
          <w:i w:val="0"/>
          <w:color w:val="000000"/>
          <w:sz w:val="18"/>
        </w:rPr>
        <w:t>should be included (e.g., meta-analyses, guidelines, litera-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ture search). If comparator products are selected based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on guidelines, it may be necessary to include information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from the guidelines in the product comparison table.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Concise comparison of PI information or appropriate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clinical data (e.g., published literature, medical meeting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abstracts) with the primary comparator products in the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same therapeutic area generally including, but not limited </w:t>
      </w:r>
      <w:r>
        <w:rPr>
          <w:rFonts w:ascii="Lora" w:hAnsi="Lora" w:eastAsia="Lora"/>
          <w:b w:val="0"/>
          <w:i w:val="0"/>
          <w:color w:val="000000"/>
          <w:sz w:val="18"/>
        </w:rPr>
        <w:t>to indications, contraindications, dosing, boxed warn-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ings, warnings/precautions, adverse events, and other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differentiating characteristics (expand as appropriate for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the therapeutic class). This information should generally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come from the highlights section of the PI. If direct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head-to-head trials have been conducted comparing the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product to its comparators, this should be noted here,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and the reader referred to the review of those trials in </w:t>
      </w:r>
      <w:r>
        <w:rPr>
          <w:rFonts w:ascii="Lora" w:hAnsi="Lora" w:eastAsia="Lora"/>
          <w:b w:val="0"/>
          <w:i w:val="0"/>
          <w:color w:val="000000"/>
          <w:sz w:val="18"/>
        </w:rPr>
        <w:t>Section 3.0B of the dossier.</w:t>
      </w:r>
    </w:p>
    <w:p>
      <w:pPr>
        <w:autoSpaceDN w:val="0"/>
        <w:autoSpaceDE w:val="0"/>
        <w:widowControl/>
        <w:spacing w:line="245" w:lineRule="auto" w:before="0" w:after="0"/>
        <w:ind w:left="180" w:right="144" w:firstLine="18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For biosimilar products, comparative information to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the reference product and other biosimilars should be </w:t>
      </w:r>
      <w:r>
        <w:rPr>
          <w:rFonts w:ascii="Lora" w:hAnsi="Lora" w:eastAsia="Lora"/>
          <w:b w:val="0"/>
          <w:i w:val="0"/>
          <w:color w:val="000000"/>
          <w:sz w:val="18"/>
        </w:rPr>
        <w:t>included as well as evidence that demonstrates biosimi-</w:t>
      </w:r>
      <w:r>
        <w:rPr>
          <w:rFonts w:ascii="Lora" w:hAnsi="Lora" w:eastAsia="Lora"/>
          <w:b w:val="0"/>
          <w:i w:val="0"/>
          <w:color w:val="000000"/>
          <w:sz w:val="18"/>
        </w:rPr>
        <w:t>larity or interchangeability.</w:t>
      </w:r>
    </w:p>
    <w:p>
      <w:pPr>
        <w:autoSpaceDN w:val="0"/>
        <w:autoSpaceDE w:val="0"/>
        <w:widowControl/>
        <w:spacing w:line="244" w:lineRule="exact" w:before="220" w:after="0"/>
        <w:ind w:left="0" w:right="144" w:firstLine="0"/>
        <w:jc w:val="left"/>
      </w:pPr>
      <w:r>
        <w:rPr>
          <w:rFonts w:ascii="Asap" w:hAnsi="Asap" w:eastAsia="Asap"/>
          <w:b/>
          <w:i w:val="0"/>
          <w:color w:val="14377D"/>
          <w:sz w:val="20"/>
        </w:rPr>
        <w:t xml:space="preserve">2.2B PLACE OF THE PRODUCT IN THERAPY 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The recommended length of Section 2.2B is 5 pages </w:t>
      </w:r>
      <w:r>
        <w:rPr>
          <w:rFonts w:ascii="Lora" w:hAnsi="Lora" w:eastAsia="Lora"/>
          <w:b w:val="0"/>
          <w:i w:val="0"/>
          <w:color w:val="000000"/>
          <w:sz w:val="18"/>
        </w:rPr>
        <w:t>(maximum 10) for each indication.</w:t>
      </w:r>
    </w:p>
    <w:p>
      <w:pPr>
        <w:autoSpaceDN w:val="0"/>
        <w:autoSpaceDE w:val="0"/>
        <w:widowControl/>
        <w:spacing w:line="245" w:lineRule="auto" w:before="0" w:after="0"/>
        <w:ind w:left="0" w:right="246" w:firstLine="180"/>
        <w:jc w:val="both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Information presented in this section should be brief. Do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not duplicate information presented in Sections 3.0B, 4.0B,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and 5.0B. Hyperlinks within the document can be useful to </w:t>
      </w:r>
      <w:r>
        <w:rPr>
          <w:rFonts w:ascii="Lora" w:hAnsi="Lora" w:eastAsia="Lora"/>
          <w:b w:val="0"/>
          <w:i w:val="0"/>
          <w:color w:val="000000"/>
          <w:sz w:val="18"/>
        </w:rPr>
        <w:t>encourage brevity when possible.</w:t>
      </w:r>
    </w:p>
    <w:p>
      <w:pPr>
        <w:autoSpaceDN w:val="0"/>
        <w:autoSpaceDE w:val="0"/>
        <w:widowControl/>
        <w:spacing w:line="244" w:lineRule="exact" w:before="84" w:after="0"/>
        <w:ind w:left="180" w:right="144" w:firstLine="0"/>
        <w:jc w:val="left"/>
      </w:pPr>
      <w:r>
        <w:rPr>
          <w:rFonts w:ascii="Asap" w:hAnsi="Asap" w:eastAsia="Asap"/>
          <w:b/>
          <w:i w:val="0"/>
          <w:color w:val="007EC5"/>
          <w:sz w:val="18"/>
        </w:rPr>
        <w:t xml:space="preserve">2.2.1B DISEASE DESCRIPTION 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The disease description should be a top-line overview </w:t>
      </w:r>
      <w:r>
        <w:rPr>
          <w:rFonts w:ascii="Lora" w:hAnsi="Lora" w:eastAsia="Lora"/>
          <w:b w:val="0"/>
          <w:i w:val="0"/>
          <w:color w:val="000000"/>
          <w:sz w:val="18"/>
        </w:rPr>
        <w:t>focusing on the indicated population.</w:t>
      </w:r>
    </w:p>
    <w:p>
      <w:pPr>
        <w:autoSpaceDN w:val="0"/>
        <w:tabs>
          <w:tab w:pos="360" w:val="left"/>
        </w:tabs>
        <w:autoSpaceDE w:val="0"/>
        <w:widowControl/>
        <w:spacing w:line="245" w:lineRule="auto" w:before="0" w:after="0"/>
        <w:ind w:left="180" w:right="144" w:firstLine="0"/>
        <w:jc w:val="left"/>
      </w:pP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Manufacturers should provide a description of specific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patient subpopulations in which the product is expected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to be most effective, if known. Include clinical markers,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diagnostic or genetic criteria, or other markers, if known,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that can be used to identify these subpopulations. When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possible, this information should reflect a population of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U.S. patients. Present a summary of information from the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literature for topics, including, but not limited to: 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1. Epidemiology and relevant risk factors, with a focus on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identifiable subpopulations that would be appropriate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for the use of the product.</w:t>
      </w:r>
    </w:p>
    <w:p>
      <w:pPr>
        <w:autoSpaceDN w:val="0"/>
        <w:autoSpaceDE w:val="0"/>
        <w:widowControl/>
        <w:spacing w:line="223" w:lineRule="auto" w:before="0" w:after="0"/>
        <w:ind w:left="180" w:right="0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>2. Pathophysiology.</w:t>
      </w:r>
    </w:p>
    <w:p>
      <w:pPr>
        <w:autoSpaceDN w:val="0"/>
        <w:autoSpaceDE w:val="0"/>
        <w:widowControl/>
        <w:spacing w:line="223" w:lineRule="auto" w:before="0" w:after="0"/>
        <w:ind w:left="180" w:right="0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>3. Clinical presentation.</w:t>
      </w:r>
    </w:p>
    <w:p>
      <w:pPr>
        <w:autoSpaceDN w:val="0"/>
        <w:autoSpaceDE w:val="0"/>
        <w:widowControl/>
        <w:spacing w:line="223" w:lineRule="auto" w:before="0" w:after="0"/>
        <w:ind w:left="180" w:right="0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>4. Societal, humanistic, and economic burden.</w:t>
      </w:r>
    </w:p>
    <w:p>
      <w:pPr>
        <w:autoSpaceDN w:val="0"/>
        <w:autoSpaceDE w:val="0"/>
        <w:widowControl/>
        <w:spacing w:line="245" w:lineRule="auto" w:before="0" w:after="0"/>
        <w:ind w:left="360" w:right="246" w:hanging="180"/>
        <w:jc w:val="both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5. Disparities in access and utilization and outcomes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experienced, as related to social and demographic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factors such as race, ethnicity, gender, income, and </w:t>
      </w:r>
    </w:p>
    <w:p>
      <w:pPr>
        <w:sectPr>
          <w:type w:val="continuous"/>
          <w:pgSz w:w="11880" w:h="15660"/>
          <w:pgMar w:top="360" w:right="0" w:bottom="266" w:left="740" w:header="720" w:footer="720" w:gutter="0"/>
          <w:cols w:num="2" w:equalWidth="0">
            <w:col w:w="5334" w:space="0"/>
            <w:col w:w="5806" w:space="0"/>
          </w:cols>
          <w:docGrid w:linePitch="360"/>
        </w:sectPr>
      </w:pPr>
    </w:p>
    <w:p>
      <w:pPr>
        <w:autoSpaceDN w:val="0"/>
        <w:autoSpaceDE w:val="0"/>
        <w:widowControl/>
        <w:spacing w:line="223" w:lineRule="auto" w:before="0" w:after="0"/>
        <w:ind w:left="426" w:right="0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>geographic region.</w:t>
      </w:r>
    </w:p>
    <w:p>
      <w:pPr>
        <w:autoSpaceDN w:val="0"/>
        <w:autoSpaceDE w:val="0"/>
        <w:widowControl/>
        <w:spacing w:line="245" w:lineRule="auto" w:before="0" w:after="0"/>
        <w:ind w:left="246" w:right="652" w:firstLine="180"/>
        <w:jc w:val="both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This section may be expanded to provide greater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detail for medications and other treatments that require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intense clinical monitoring to manage severe side effects,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frequent dose adjustments, or specialized training for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handling and administration. For example, this section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may be expanded for products that are used to treat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rare diseases for which relatively little information may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be available in the public domain. Likewise, expanded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information is useful for products that are costly, have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few competing or generic alternatives, or have limited </w:t>
      </w:r>
      <w:r>
        <w:rPr>
          <w:rFonts w:ascii="Lora" w:hAnsi="Lora" w:eastAsia="Lora"/>
          <w:b w:val="0"/>
          <w:i w:val="0"/>
          <w:color w:val="000000"/>
          <w:sz w:val="18"/>
        </w:rPr>
        <w:t>distribution or access points.</w:t>
      </w:r>
    </w:p>
    <w:p>
      <w:pPr>
        <w:autoSpaceDN w:val="0"/>
        <w:autoSpaceDE w:val="0"/>
        <w:widowControl/>
        <w:spacing w:line="242" w:lineRule="exact" w:before="86" w:after="0"/>
        <w:ind w:left="246" w:right="576" w:firstLine="0"/>
        <w:jc w:val="left"/>
      </w:pPr>
      <w:r>
        <w:rPr>
          <w:rFonts w:ascii="Asap" w:hAnsi="Asap" w:eastAsia="Asap"/>
          <w:b/>
          <w:i w:val="0"/>
          <w:color w:val="007EC5"/>
          <w:sz w:val="18"/>
        </w:rPr>
        <w:t xml:space="preserve">2.2.2B APPROACHES TO TREATMENT 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The key questions to address are the following: How is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the disease/condition currently treated? If known, how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does the product fit into existing therapeutic algorithms?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The unmet need should be highlighted when data are </w:t>
      </w:r>
      <w:r>
        <w:rPr>
          <w:rFonts w:ascii="Lora" w:hAnsi="Lora" w:eastAsia="Lora"/>
          <w:b w:val="0"/>
          <w:i w:val="0"/>
          <w:color w:val="000000"/>
          <w:sz w:val="18"/>
        </w:rPr>
        <w:t>available. These data may not be available for new prod-</w:t>
      </w:r>
      <w:r>
        <w:rPr>
          <w:rFonts w:ascii="Lora" w:hAnsi="Lora" w:eastAsia="Lora"/>
          <w:b w:val="0"/>
          <w:i w:val="0"/>
          <w:color w:val="000000"/>
          <w:sz w:val="18"/>
        </w:rPr>
        <w:t>ucts but should be included for legacy products.</w:t>
      </w:r>
    </w:p>
    <w:p>
      <w:pPr>
        <w:autoSpaceDN w:val="0"/>
        <w:autoSpaceDE w:val="0"/>
        <w:widowControl/>
        <w:spacing w:line="245" w:lineRule="auto" w:before="0" w:after="0"/>
        <w:ind w:left="246" w:right="652" w:firstLine="180"/>
        <w:jc w:val="both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Provide a summary of information but do not duplicate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information included in other sections. Use hyperlinks to </w:t>
      </w:r>
      <w:r>
        <w:rPr>
          <w:rFonts w:ascii="Lora" w:hAnsi="Lora" w:eastAsia="Lora"/>
          <w:b w:val="0"/>
          <w:i w:val="0"/>
          <w:color w:val="000000"/>
          <w:sz w:val="18"/>
        </w:rPr>
        <w:t>other sections versus repeating information.</w:t>
      </w:r>
    </w:p>
    <w:p>
      <w:pPr>
        <w:autoSpaceDN w:val="0"/>
        <w:autoSpaceDE w:val="0"/>
        <w:widowControl/>
        <w:spacing w:line="245" w:lineRule="auto" w:before="0" w:after="0"/>
        <w:ind w:left="426" w:right="576" w:hanging="18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1. Summarize current approaches to treatment (drug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and nondrug), including where this product fits in with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existing therapies and addresses unmet needs. When </w:t>
      </w:r>
      <w:r>
        <w:rPr>
          <w:rFonts w:ascii="Lora" w:hAnsi="Lora" w:eastAsia="Lora"/>
          <w:b w:val="0"/>
          <w:i w:val="0"/>
          <w:color w:val="000000"/>
          <w:sz w:val="18"/>
        </w:rPr>
        <w:t>guidelines are also discussed in Section 5.1B, hyperlink-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ing between the 2 sections is recommended. </w:t>
      </w:r>
    </w:p>
    <w:p>
      <w:pPr>
        <w:autoSpaceDN w:val="0"/>
        <w:autoSpaceDE w:val="0"/>
        <w:widowControl/>
        <w:spacing w:line="245" w:lineRule="auto" w:before="0" w:after="0"/>
        <w:ind w:left="426" w:right="576" w:hanging="18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2. Describe the place and anticipated uses of the product </w:t>
      </w:r>
      <w:r>
        <w:rPr>
          <w:rFonts w:ascii="Lora" w:hAnsi="Lora" w:eastAsia="Lora"/>
          <w:b w:val="0"/>
          <w:i w:val="0"/>
          <w:color w:val="000000"/>
          <w:sz w:val="18"/>
        </w:rPr>
        <w:t>for treating disease, especially for certain subpopula-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tions that can be targeted for the use of the product.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This may include registry, real-world evidence, clinical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trial, or other information from competing products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that provide information about the disease state or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approaches to treatment.  This should include whether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the product addresses unmet needs, including those </w:t>
      </w:r>
      <w:r>
        <w:rPr>
          <w:rFonts w:ascii="Lora" w:hAnsi="Lora" w:eastAsia="Lora"/>
          <w:b w:val="0"/>
          <w:i w:val="0"/>
          <w:color w:val="000000"/>
          <w:sz w:val="18"/>
        </w:rPr>
        <w:t>related to health disparities.</w:t>
      </w:r>
    </w:p>
    <w:p>
      <w:pPr>
        <w:autoSpaceDN w:val="0"/>
        <w:autoSpaceDE w:val="0"/>
        <w:widowControl/>
        <w:spacing w:line="245" w:lineRule="auto" w:before="0" w:after="0"/>
        <w:ind w:left="426" w:right="652" w:hanging="180"/>
        <w:jc w:val="both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3. Describe the heterogeneity of treatment effect, if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any, related to the use of the product. Hyperlink to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Section 3.0B for specific findings. Response to therapy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may vary from patient to patient. HCDMs need to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consider variability between individual patients, within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populations studied, and between clinical studies. Any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information that substantiates heterogeneity effects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(benefit and harms) of the proposed therapy should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be described here and supported with evidence from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studies in Section 3.0B (e.g., crossover study designs,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N-of-1 studies, subgroup analyses). This information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should be provided where feasible; when not feasible to </w:t>
      </w:r>
      <w:r>
        <w:rPr>
          <w:rFonts w:ascii="Lora" w:hAnsi="Lora" w:eastAsia="Lora"/>
          <w:b w:val="0"/>
          <w:i w:val="0"/>
          <w:color w:val="000000"/>
          <w:sz w:val="18"/>
        </w:rPr>
        <w:t>do so, the rationale should be provided.</w:t>
      </w:r>
    </w:p>
    <w:p>
      <w:pPr>
        <w:autoSpaceDN w:val="0"/>
        <w:autoSpaceDE w:val="0"/>
        <w:widowControl/>
        <w:spacing w:line="223" w:lineRule="auto" w:before="0" w:after="0"/>
        <w:ind w:left="246" w:right="0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4. Include proposed ancillary disease or care management </w:t>
      </w:r>
    </w:p>
    <w:p>
      <w:pPr>
        <w:autoSpaceDN w:val="0"/>
        <w:autoSpaceDE w:val="0"/>
        <w:widowControl/>
        <w:spacing w:line="186" w:lineRule="exact" w:before="694" w:after="0"/>
        <w:ind w:left="0" w:right="742" w:firstLine="0"/>
        <w:jc w:val="right"/>
      </w:pPr>
      <w:r>
        <w:rPr>
          <w:rFonts w:ascii="Asap" w:hAnsi="Asap" w:eastAsia="Asap"/>
          <w:b w:val="0"/>
          <w:i w:val="0"/>
          <w:color w:val="474C55"/>
          <w:sz w:val="14"/>
        </w:rPr>
        <w:t>Vol. 30, No. 4-b</w:t>
      </w:r>
      <w:r>
        <w:rPr>
          <w:rFonts w:ascii="Asap" w:hAnsi="Asap" w:eastAsia="Asap"/>
          <w:b w:val="0"/>
          <w:i w:val="0"/>
          <w:color w:val="474C55"/>
          <w:sz w:val="14"/>
        </w:rPr>
        <w:t>|</w:t>
      </w:r>
      <w:r>
        <w:rPr>
          <w:rFonts w:ascii="Asap" w:hAnsi="Asap" w:eastAsia="Asap"/>
          <w:b w:val="0"/>
          <w:i w:val="0"/>
          <w:color w:val="474C55"/>
          <w:sz w:val="14"/>
        </w:rPr>
        <w:t>April 2024</w:t>
      </w:r>
      <w:r>
        <w:rPr>
          <w:rFonts w:ascii="Asap" w:hAnsi="Asap" w:eastAsia="Asap"/>
          <w:b w:val="0"/>
          <w:i w:val="0"/>
          <w:color w:val="474C55"/>
          <w:sz w:val="14"/>
        </w:rPr>
        <w:t>|</w:t>
      </w:r>
      <w:r>
        <w:rPr>
          <w:rFonts w:ascii="Asap" w:hAnsi="Asap" w:eastAsia="Asap"/>
          <w:b/>
          <w:i w:val="0"/>
          <w:color w:val="14377D"/>
          <w:sz w:val="14"/>
        </w:rPr>
        <w:t xml:space="preserve"> JMCP</w:t>
      </w:r>
      <w:r>
        <w:rPr>
          <w:rFonts w:ascii="Asap" w:hAnsi="Asap" w:eastAsia="Asap"/>
          <w:b w:val="0"/>
          <w:i w:val="0"/>
          <w:color w:val="14377D"/>
          <w:sz w:val="14"/>
        </w:rPr>
        <w:t>.org</w:t>
      </w:r>
    </w:p>
    <w:p>
      <w:pPr>
        <w:sectPr>
          <w:type w:val="nextColumn"/>
          <w:pgSz w:w="11880" w:h="15660"/>
          <w:pgMar w:top="360" w:right="0" w:bottom="266" w:left="740" w:header="720" w:footer="720" w:gutter="0"/>
          <w:cols w:num="2" w:equalWidth="0">
            <w:col w:w="5334" w:space="0"/>
            <w:col w:w="5806" w:space="0"/>
          </w:cols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883"/>
        <w:gridCol w:w="4883"/>
      </w:tblGrid>
      <w:tr>
        <w:trPr>
          <w:trHeight w:hRule="exact" w:val="362"/>
        </w:trPr>
        <w:tc>
          <w:tcPr>
            <w:tcW w:type="dxa" w:w="1094"/>
            <w:tcBorders/>
            <w:shd w:fill="6b146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4" w:after="0"/>
              <w:ind w:left="0" w:right="90" w:firstLine="0"/>
              <w:jc w:val="right"/>
            </w:pPr>
            <w:r>
              <w:rPr>
                <w:rFonts w:ascii="Asap" w:hAnsi="Asap" w:eastAsia="Asap"/>
                <w:b/>
                <w:i w:val="0"/>
                <w:color w:val="FFFFFF"/>
                <w:sz w:val="18"/>
              </w:rPr>
              <w:t>30</w:t>
            </w:r>
          </w:p>
        </w:tc>
        <w:tc>
          <w:tcPr>
            <w:tcW w:type="dxa" w:w="584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4" w:after="0"/>
              <w:ind w:left="90" w:right="0" w:firstLine="0"/>
              <w:jc w:val="left"/>
            </w:pPr>
            <w:r>
              <w:rPr>
                <w:rFonts w:ascii="Asap" w:hAnsi="Asap" w:eastAsia="Asap"/>
                <w:b/>
                <w:i w:val="0"/>
                <w:color w:val="474C55"/>
                <w:sz w:val="18"/>
              </w:rPr>
              <w:t>AMCP FORMAT 5.0</w:t>
            </w:r>
          </w:p>
        </w:tc>
      </w:tr>
    </w:tbl>
    <w:p>
      <w:pPr>
        <w:autoSpaceDN w:val="0"/>
        <w:autoSpaceDE w:val="0"/>
        <w:widowControl/>
        <w:spacing w:line="14" w:lineRule="exact" w:before="0" w:after="1038"/>
        <w:ind w:left="0" w:right="0"/>
      </w:pPr>
    </w:p>
    <w:p>
      <w:pPr>
        <w:sectPr>
          <w:pgSz w:w="11880" w:h="15660"/>
          <w:pgMar w:top="360" w:right="674" w:bottom="266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45" w:lineRule="auto" w:before="0" w:after="0"/>
        <w:ind w:left="1058" w:right="144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intervention strategies provided by the manufacturer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that are intended to accompany the product at launch. </w:t>
      </w:r>
    </w:p>
    <w:p>
      <w:pPr>
        <w:autoSpaceDN w:val="0"/>
        <w:autoSpaceDE w:val="0"/>
        <w:widowControl/>
        <w:spacing w:line="245" w:lineRule="auto" w:before="0" w:after="0"/>
        <w:ind w:left="1058" w:right="144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>Services intended to accompany a specialty pharma-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ceutical at launch should be described. These may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include any of the following: patient education services,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nursing administration support services, programs </w:t>
      </w:r>
      <w:r>
        <w:rPr>
          <w:rFonts w:ascii="Lora" w:hAnsi="Lora" w:eastAsia="Lora"/>
          <w:b w:val="0"/>
          <w:i w:val="0"/>
          <w:color w:val="000000"/>
          <w:sz w:val="18"/>
        </w:rPr>
        <w:t>intended to promote adherence, coordination of infor-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mation among providers or facilities, sharps disposal,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and financial assistance to patients. Specific claims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made regarding the benefits of these services should be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documented in this section and supported by scientific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evidence described in this section or reported in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Section 3.0B or Section 5.0B, if applicable. It should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be clearly stated when there is no scientific evidence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to support claims of benefits for these services. For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patient assistance programs, it is optimal to include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the terms of the program and the expected number of </w:t>
      </w:r>
      <w:r>
        <w:rPr>
          <w:rFonts w:ascii="Lora" w:hAnsi="Lora" w:eastAsia="Lora"/>
          <w:b w:val="0"/>
          <w:i w:val="0"/>
          <w:color w:val="000000"/>
          <w:sz w:val="18"/>
        </w:rPr>
        <w:t>beneficiaries.</w:t>
      </w:r>
    </w:p>
    <w:p>
      <w:pPr>
        <w:autoSpaceDN w:val="0"/>
        <w:autoSpaceDE w:val="0"/>
        <w:widowControl/>
        <w:spacing w:line="245" w:lineRule="auto" w:before="0" w:after="0"/>
        <w:ind w:left="1058" w:right="246" w:hanging="180"/>
        <w:jc w:val="both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5. Describe other product development or post-marketing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obligations as required by the FDA such as a REMS,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phase 4 trial, patient registry, restricted distribution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channel, and other elements designed to ensure the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safe use of the product. In addition to the existing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instructions for this section, if a multifaceted program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intended to accompany the product at launch will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include a REMS alongside other elements, describe it in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Section 2.2.2B(5) and note in Section 2.2.2B(6) that the </w:t>
      </w:r>
      <w:r>
        <w:rPr>
          <w:rFonts w:ascii="Lora" w:hAnsi="Lora" w:eastAsia="Lora"/>
          <w:b w:val="0"/>
          <w:i w:val="0"/>
          <w:color w:val="000000"/>
          <w:sz w:val="18"/>
        </w:rPr>
        <w:t>program contains a REMS component.</w:t>
      </w:r>
    </w:p>
    <w:p>
      <w:pPr>
        <w:autoSpaceDN w:val="0"/>
        <w:autoSpaceDE w:val="0"/>
        <w:widowControl/>
        <w:spacing w:line="245" w:lineRule="auto" w:before="0" w:after="0"/>
        <w:ind w:left="1058" w:right="144" w:hanging="18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6. Describe ongoing post-approval monitoring of drug </w:t>
      </w:r>
      <w:r>
        <w:rPr>
          <w:rFonts w:ascii="Lora" w:hAnsi="Lora" w:eastAsia="Lora"/>
          <w:b w:val="0"/>
          <w:i w:val="0"/>
          <w:color w:val="000000"/>
          <w:sz w:val="18"/>
        </w:rPr>
        <w:t>safety and adverse events. Ongoing post-approval mon-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itoring and cost of adverse events for newly approved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products should be conducted and included, if available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or if applicable. Signals of adverse events indicating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disproportional rates of events should be reported.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The estimated cost of adverse events, including the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cost of monitoring, hospitalizations, emergency room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visits, and any other relevant costs associated with </w:t>
      </w:r>
      <w:r>
        <w:rPr>
          <w:rFonts w:ascii="Lora" w:hAnsi="Lora" w:eastAsia="Lora"/>
          <w:b w:val="0"/>
          <w:i w:val="0"/>
          <w:color w:val="000000"/>
          <w:sz w:val="18"/>
        </w:rPr>
        <w:t>treating the adverse event should be included. In addi-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tion, the HCDM should contact the drug company for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current additional information related to drug safety </w:t>
      </w:r>
      <w:r>
        <w:rPr>
          <w:rFonts w:ascii="Lora" w:hAnsi="Lora" w:eastAsia="Lora"/>
          <w:b w:val="0"/>
          <w:i w:val="0"/>
          <w:color w:val="000000"/>
          <w:sz w:val="18"/>
        </w:rPr>
        <w:t>and adverse events.</w:t>
      </w:r>
    </w:p>
    <w:p>
      <w:pPr>
        <w:autoSpaceDN w:val="0"/>
        <w:autoSpaceDE w:val="0"/>
        <w:widowControl/>
        <w:spacing w:line="245" w:lineRule="auto" w:before="0" w:after="0"/>
        <w:ind w:left="864" w:right="248" w:firstLine="0"/>
        <w:jc w:val="right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7. Describe the key expected outcomes of therapy of the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product. Hyperlink to Section 3.0B for specific findings. </w:t>
      </w:r>
      <w:r>
        <w:rPr>
          <w:rFonts w:ascii="Lora" w:hAnsi="Lora" w:eastAsia="Lora"/>
          <w:b w:val="0"/>
          <w:i w:val="0"/>
          <w:color w:val="000000"/>
          <w:sz w:val="18"/>
        </w:rPr>
        <w:t>8. Other key assumptions and their rationale.</w:t>
      </w:r>
    </w:p>
    <w:p>
      <w:pPr>
        <w:autoSpaceDN w:val="0"/>
        <w:tabs>
          <w:tab w:pos="1418" w:val="left"/>
        </w:tabs>
        <w:autoSpaceDE w:val="0"/>
        <w:widowControl/>
        <w:spacing w:line="266" w:lineRule="exact" w:before="198" w:after="0"/>
        <w:ind w:left="698" w:right="0" w:firstLine="0"/>
        <w:jc w:val="left"/>
      </w:pPr>
      <w:r>
        <w:rPr>
          <w:rFonts w:ascii="Asap" w:hAnsi="Asap" w:eastAsia="Asap"/>
          <w:b/>
          <w:i w:val="0"/>
          <w:color w:val="14377D"/>
          <w:sz w:val="20"/>
        </w:rPr>
        <w:t xml:space="preserve">2.3B </w:t>
      </w:r>
      <w:r>
        <w:tab/>
      </w:r>
      <w:r>
        <w:rPr>
          <w:rFonts w:ascii="Asap" w:hAnsi="Asap" w:eastAsia="Asap"/>
          <w:b/>
          <w:i w:val="0"/>
          <w:color w:val="14377D"/>
          <w:sz w:val="20"/>
        </w:rPr>
        <w:t>EVIDENCE FOR CDTS</w:t>
      </w:r>
    </w:p>
    <w:p>
      <w:pPr>
        <w:autoSpaceDN w:val="0"/>
        <w:autoSpaceDE w:val="0"/>
        <w:widowControl/>
        <w:spacing w:line="244" w:lineRule="exact" w:before="86" w:after="0"/>
        <w:ind w:left="878" w:right="144" w:firstLine="0"/>
        <w:jc w:val="left"/>
      </w:pPr>
      <w:r>
        <w:rPr>
          <w:rFonts w:ascii="Asap" w:hAnsi="Asap" w:eastAsia="Asap"/>
          <w:b w:val="0"/>
          <w:i w:val="0"/>
          <w:color w:val="007EC5"/>
          <w:sz w:val="18"/>
        </w:rPr>
        <w:t xml:space="preserve">Drug Dossier with CDTs 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When a CDT has been co-developed with a drug, or when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the CDT is required per FDA labeling, then the four key </w:t>
      </w:r>
      <w:r>
        <w:rPr>
          <w:rFonts w:ascii="Lora" w:hAnsi="Lora" w:eastAsia="Lora"/>
          <w:b w:val="0"/>
          <w:i w:val="0"/>
          <w:color w:val="000000"/>
          <w:sz w:val="18"/>
        </w:rPr>
        <w:t>evidence elements from the ACCE framework</w:t>
      </w:r>
      <w:r>
        <w:rPr>
          <w:w w:val="104.94000434875488"/>
          <w:rFonts w:ascii="Lora" w:hAnsi="Lora" w:eastAsia="Lora"/>
          <w:b w:val="0"/>
          <w:i w:val="0"/>
          <w:color w:val="000000"/>
          <w:sz w:val="10"/>
        </w:rPr>
        <w:t>26</w:t>
      </w:r>
      <w:r>
        <w:rPr>
          <w:rFonts w:ascii="Lora" w:hAnsi="Lora" w:eastAsia="Lora"/>
          <w:b w:val="0"/>
          <w:i w:val="0"/>
          <w:color w:val="000000"/>
          <w:sz w:val="18"/>
        </w:rPr>
        <w:t>—analyti-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cal validity, clinical validity, clinical utility, and economic </w:t>
      </w:r>
    </w:p>
    <w:p>
      <w:pPr>
        <w:autoSpaceDN w:val="0"/>
        <w:autoSpaceDE w:val="0"/>
        <w:widowControl/>
        <w:spacing w:line="186" w:lineRule="exact" w:before="466" w:after="0"/>
        <w:ind w:left="740" w:right="0" w:firstLine="0"/>
        <w:jc w:val="left"/>
      </w:pPr>
      <w:r>
        <w:rPr>
          <w:rFonts w:ascii="Asap" w:hAnsi="Asap" w:eastAsia="Asap"/>
          <w:b/>
          <w:i w:val="0"/>
          <w:color w:val="14377D"/>
          <w:sz w:val="14"/>
        </w:rPr>
        <w:t>JMCP</w:t>
      </w:r>
      <w:r>
        <w:rPr>
          <w:rFonts w:ascii="Asap" w:hAnsi="Asap" w:eastAsia="Asap"/>
          <w:b w:val="0"/>
          <w:i w:val="0"/>
          <w:color w:val="14377D"/>
          <w:sz w:val="14"/>
        </w:rPr>
        <w:t>.org</w:t>
      </w:r>
      <w:r>
        <w:rPr>
          <w:rFonts w:ascii="Asap" w:hAnsi="Asap" w:eastAsia="Asap"/>
          <w:b w:val="0"/>
          <w:i w:val="0"/>
          <w:color w:val="474C55"/>
          <w:sz w:val="14"/>
        </w:rPr>
        <w:t>|</w:t>
      </w:r>
      <w:r>
        <w:rPr>
          <w:rFonts w:ascii="Asap" w:hAnsi="Asap" w:eastAsia="Asap"/>
          <w:b w:val="0"/>
          <w:i w:val="0"/>
          <w:color w:val="474C55"/>
          <w:sz w:val="14"/>
        </w:rPr>
        <w:t>April 2024</w:t>
      </w:r>
      <w:r>
        <w:rPr>
          <w:rFonts w:ascii="Asap" w:hAnsi="Asap" w:eastAsia="Asap"/>
          <w:b w:val="0"/>
          <w:i w:val="0"/>
          <w:color w:val="474C55"/>
          <w:sz w:val="14"/>
        </w:rPr>
        <w:t>|</w:t>
      </w:r>
      <w:r>
        <w:rPr>
          <w:rFonts w:ascii="Asap" w:hAnsi="Asap" w:eastAsia="Asap"/>
          <w:b w:val="0"/>
          <w:i w:val="0"/>
          <w:color w:val="474C55"/>
          <w:sz w:val="14"/>
        </w:rPr>
        <w:t>Vol. 30, No. 4-B</w:t>
      </w:r>
    </w:p>
    <w:p>
      <w:pPr>
        <w:sectPr>
          <w:type w:val="continuous"/>
          <w:pgSz w:w="11880" w:h="15660"/>
          <w:pgMar w:top="360" w:right="674" w:bottom="266" w:left="0" w:header="720" w:footer="720" w:gutter="0"/>
          <w:cols w:num="2" w:equalWidth="0">
            <w:col w:w="6032" w:space="0"/>
            <w:col w:w="5173" w:space="0"/>
          </w:cols>
          <w:docGrid w:linePitch="360"/>
        </w:sectPr>
      </w:pPr>
    </w:p>
    <w:p>
      <w:pPr>
        <w:autoSpaceDN w:val="0"/>
        <w:autoSpaceDE w:val="0"/>
        <w:widowControl/>
        <w:spacing w:line="245" w:lineRule="auto" w:before="0" w:after="0"/>
        <w:ind w:left="246" w:right="22" w:firstLine="0"/>
        <w:jc w:val="both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value—will generally be captured in the drug dossier. As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such, the drug dossier should contain information about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the CDT according to Sections 2.3.1B and 2.3.3B. </w:t>
      </w:r>
    </w:p>
    <w:p>
      <w:pPr>
        <w:autoSpaceDN w:val="0"/>
        <w:autoSpaceDE w:val="0"/>
        <w:widowControl/>
        <w:spacing w:line="242" w:lineRule="exact" w:before="82" w:after="0"/>
        <w:ind w:left="246" w:right="0" w:firstLine="0"/>
        <w:jc w:val="left"/>
      </w:pPr>
      <w:r>
        <w:rPr>
          <w:rFonts w:ascii="Asap" w:hAnsi="Asap" w:eastAsia="Asap"/>
          <w:b w:val="0"/>
          <w:i w:val="0"/>
          <w:color w:val="007EC5"/>
          <w:sz w:val="18"/>
        </w:rPr>
        <w:t xml:space="preserve">CDT Dossier 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In cases where the CDT is not inherently tied to the drug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or if the CDT is not owned by the manufacturer, then the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CDT developer may respond to an unsolicited request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with a separate CDT dossier. A stand-alone CDT dossier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should contain information about the CDT according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to Sections 2.3.1B, 2.3.2B, and 2.3.3B. The CDT dossier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should also contain an Executive Summary (Section 1.0B).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If relevant and available, information that belongs in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Section 4.0B and Section 5.0B may be supplied using the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unapproved product, approved product, or unapproved </w:t>
      </w:r>
      <w:r>
        <w:rPr>
          <w:rFonts w:ascii="Lora" w:hAnsi="Lora" w:eastAsia="Lora"/>
          <w:b w:val="0"/>
          <w:i w:val="0"/>
          <w:color w:val="000000"/>
          <w:sz w:val="18"/>
        </w:rPr>
        <w:t>use dossier templates.</w:t>
      </w:r>
    </w:p>
    <w:p>
      <w:pPr>
        <w:autoSpaceDN w:val="0"/>
        <w:tabs>
          <w:tab w:pos="516" w:val="left"/>
        </w:tabs>
        <w:autoSpaceDE w:val="0"/>
        <w:widowControl/>
        <w:spacing w:line="242" w:lineRule="exact" w:before="86" w:after="0"/>
        <w:ind w:left="246" w:right="0" w:firstLine="0"/>
        <w:jc w:val="left"/>
      </w:pPr>
      <w:r>
        <w:rPr>
          <w:rFonts w:ascii="Asap" w:hAnsi="Asap" w:eastAsia="Asap"/>
          <w:b/>
          <w:i w:val="0"/>
          <w:color w:val="007EC5"/>
          <w:sz w:val="18"/>
        </w:rPr>
        <w:t xml:space="preserve">2.3.1B PRODUCT INFORMATION FOR CDT 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The recommended length of Section 2.3.1B is five pages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(maximum 10). The following are components that should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be supplied: 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1. Generic name, brand name, manufacturer, or clinical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laboratory.</w:t>
      </w:r>
    </w:p>
    <w:p>
      <w:pPr>
        <w:autoSpaceDN w:val="0"/>
        <w:autoSpaceDE w:val="0"/>
        <w:widowControl/>
        <w:spacing w:line="245" w:lineRule="auto" w:before="0" w:after="0"/>
        <w:ind w:left="516" w:right="20" w:hanging="270"/>
        <w:jc w:val="both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2. Type of test: technical (e.g., immunohistochemical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[IHC], fluorescent in situ hybridization [FISH], gene </w:t>
      </w:r>
      <w:r>
        <w:rPr>
          <w:rFonts w:ascii="Lora" w:hAnsi="Lora" w:eastAsia="Lora"/>
          <w:b w:val="0"/>
          <w:i w:val="0"/>
          <w:color w:val="000000"/>
          <w:sz w:val="18"/>
        </w:rPr>
        <w:t>expression profile, sequencing panel).</w:t>
      </w:r>
    </w:p>
    <w:p>
      <w:pPr>
        <w:autoSpaceDN w:val="0"/>
        <w:autoSpaceDE w:val="0"/>
        <w:widowControl/>
        <w:spacing w:line="221" w:lineRule="auto" w:before="0" w:after="0"/>
        <w:ind w:left="246" w:right="0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>3. Target: describe test target (e.g., biomarker).</w:t>
      </w:r>
    </w:p>
    <w:p>
      <w:pPr>
        <w:autoSpaceDN w:val="0"/>
        <w:tabs>
          <w:tab w:pos="516" w:val="left"/>
        </w:tabs>
        <w:autoSpaceDE w:val="0"/>
        <w:widowControl/>
        <w:spacing w:line="245" w:lineRule="auto" w:before="0" w:after="0"/>
        <w:ind w:left="246" w:right="0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4. Indications/uses with companion pharmaceutical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that are cleared or approved by the FDA.</w:t>
      </w:r>
    </w:p>
    <w:p>
      <w:pPr>
        <w:autoSpaceDN w:val="0"/>
        <w:autoSpaceDE w:val="0"/>
        <w:widowControl/>
        <w:spacing w:line="221" w:lineRule="auto" w:before="0" w:after="0"/>
        <w:ind w:left="246" w:right="0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>5. Date of FDA clearance or approval.</w:t>
      </w:r>
    </w:p>
    <w:p>
      <w:pPr>
        <w:autoSpaceDN w:val="0"/>
        <w:autoSpaceDE w:val="0"/>
        <w:widowControl/>
        <w:spacing w:line="245" w:lineRule="auto" w:before="0" w:after="0"/>
        <w:ind w:left="516" w:right="0" w:hanging="27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6. Intended use: clinical basis for CDT (e.g., treatment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guidance, diagnosis, prognosis and management, </w:t>
      </w:r>
      <w:r>
        <w:rPr>
          <w:rFonts w:ascii="Lora" w:hAnsi="Lora" w:eastAsia="Lora"/>
          <w:b w:val="0"/>
          <w:i w:val="0"/>
          <w:color w:val="000000"/>
          <w:sz w:val="18"/>
        </w:rPr>
        <w:t>risk management, treatment, monitoring, or pre-</w:t>
      </w:r>
      <w:r>
        <w:rPr>
          <w:rFonts w:ascii="Lora" w:hAnsi="Lora" w:eastAsia="Lora"/>
          <w:b w:val="0"/>
          <w:i w:val="0"/>
          <w:color w:val="000000"/>
          <w:sz w:val="18"/>
        </w:rPr>
        <w:t>symptomatic testing).</w:t>
      </w:r>
    </w:p>
    <w:p>
      <w:pPr>
        <w:autoSpaceDN w:val="0"/>
        <w:autoSpaceDE w:val="0"/>
        <w:widowControl/>
        <w:spacing w:line="245" w:lineRule="auto" w:before="0" w:after="0"/>
        <w:ind w:left="516" w:right="0" w:hanging="27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7. Indication and target populations; prevalence of </w:t>
      </w:r>
      <w:r>
        <w:rPr>
          <w:rFonts w:ascii="Lora" w:hAnsi="Lora" w:eastAsia="Lora"/>
          <w:b w:val="0"/>
          <w:i w:val="0"/>
          <w:color w:val="000000"/>
          <w:sz w:val="18"/>
        </w:rPr>
        <w:t>disease/condition, and CDT variant/marker preva-</w:t>
      </w:r>
      <w:r>
        <w:rPr>
          <w:rFonts w:ascii="Lora" w:hAnsi="Lora" w:eastAsia="Lora"/>
          <w:b w:val="0"/>
          <w:i w:val="0"/>
          <w:color w:val="000000"/>
          <w:sz w:val="18"/>
        </w:rPr>
        <w:t>lence in indicated population.</w:t>
      </w:r>
    </w:p>
    <w:p>
      <w:pPr>
        <w:autoSpaceDN w:val="0"/>
        <w:autoSpaceDE w:val="0"/>
        <w:widowControl/>
        <w:spacing w:line="223" w:lineRule="auto" w:before="0" w:after="0"/>
        <w:ind w:left="246" w:right="0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>8. Place of CDT in drug therapy.</w:t>
      </w:r>
    </w:p>
    <w:p>
      <w:pPr>
        <w:autoSpaceDN w:val="0"/>
        <w:tabs>
          <w:tab w:pos="516" w:val="left"/>
        </w:tabs>
        <w:autoSpaceDE w:val="0"/>
        <w:widowControl/>
        <w:spacing w:line="245" w:lineRule="auto" w:before="0" w:after="0"/>
        <w:ind w:left="246" w:right="0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>9. Contraindications, warnings/precautions, and inter-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actions relative to CDT use.</w:t>
      </w:r>
    </w:p>
    <w:p>
      <w:pPr>
        <w:autoSpaceDN w:val="0"/>
        <w:autoSpaceDE w:val="0"/>
        <w:widowControl/>
        <w:spacing w:line="245" w:lineRule="auto" w:before="0" w:after="0"/>
        <w:ind w:left="516" w:right="22" w:hanging="270"/>
        <w:jc w:val="both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10. Alternative tests and options available, whether they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are CDTs or laboratory-developed tests; describe </w:t>
      </w:r>
      <w:r>
        <w:rPr>
          <w:rFonts w:ascii="Lora" w:hAnsi="Lora" w:eastAsia="Lora"/>
          <w:b w:val="0"/>
          <w:i w:val="0"/>
          <w:color w:val="000000"/>
          <w:sz w:val="18"/>
        </w:rPr>
        <w:t>relative advantages and disadvantages.</w:t>
      </w:r>
    </w:p>
    <w:p>
      <w:pPr>
        <w:autoSpaceDN w:val="0"/>
        <w:autoSpaceDE w:val="0"/>
        <w:widowControl/>
        <w:spacing w:line="223" w:lineRule="auto" w:before="0" w:after="0"/>
        <w:ind w:left="246" w:right="0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>11. Other key assumptions and their rationale.</w:t>
      </w:r>
    </w:p>
    <w:p>
      <w:pPr>
        <w:autoSpaceDN w:val="0"/>
        <w:tabs>
          <w:tab w:pos="426" w:val="left"/>
          <w:tab w:pos="516" w:val="left"/>
          <w:tab w:pos="606" w:val="left"/>
        </w:tabs>
        <w:autoSpaceDE w:val="0"/>
        <w:widowControl/>
        <w:spacing w:line="245" w:lineRule="auto" w:before="0" w:after="0"/>
        <w:ind w:left="246" w:right="0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12. Supporting clinical and economic evidence for the </w:t>
      </w:r>
      <w:r>
        <w:tab/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test, using the ACCE framework</w:t>
      </w:r>
      <w:r>
        <w:rPr>
          <w:w w:val="104.94000434875488"/>
          <w:rFonts w:ascii="Lora" w:hAnsi="Lora" w:eastAsia="Lora"/>
          <w:b w:val="0"/>
          <w:i w:val="0"/>
          <w:color w:val="000000"/>
          <w:sz w:val="10"/>
        </w:rPr>
        <w:t>26</w:t>
      </w:r>
      <w:r>
        <w:rPr>
          <w:rFonts w:ascii="Lora" w:hAnsi="Lora" w:eastAsia="Lora"/>
          <w:b w:val="0"/>
          <w:i w:val="0"/>
          <w:color w:val="000000"/>
          <w:sz w:val="18"/>
        </w:rPr>
        <w:t>:</w:t>
      </w:r>
      <w:r>
        <w:br/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• Analytical validity: How well does the test identify </w:t>
      </w:r>
      <w:r>
        <w:tab/>
      </w:r>
      <w:r>
        <w:tab/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the target or biomarker it is intended to identify?</w:t>
      </w:r>
    </w:p>
    <w:p>
      <w:pPr>
        <w:autoSpaceDN w:val="0"/>
        <w:autoSpaceDE w:val="0"/>
        <w:widowControl/>
        <w:spacing w:line="245" w:lineRule="auto" w:before="0" w:after="0"/>
        <w:ind w:left="786" w:right="20" w:hanging="180"/>
        <w:jc w:val="both"/>
      </w:pPr>
      <w:r>
        <w:rPr>
          <w:rFonts w:ascii="AppleSymbols" w:hAnsi="AppleSymbols" w:eastAsia="AppleSymbols"/>
          <w:b w:val="0"/>
          <w:i w:val="0"/>
          <w:color w:val="000000"/>
          <w:sz w:val="18"/>
        </w:rPr>
        <w:t>⚬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Is the accuracy with which a particular genetic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or phenotypic characteristic identified within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professional standards and federal regulation </w:t>
      </w:r>
      <w:r>
        <w:rPr>
          <w:rFonts w:ascii="Lora" w:hAnsi="Lora" w:eastAsia="Lora"/>
          <w:b w:val="0"/>
          <w:i w:val="0"/>
          <w:color w:val="000000"/>
          <w:sz w:val="18"/>
        </w:rPr>
        <w:t>requirements?</w:t>
      </w:r>
    </w:p>
    <w:p>
      <w:pPr>
        <w:sectPr>
          <w:type w:val="nextColumn"/>
          <w:pgSz w:w="11880" w:h="15660"/>
          <w:pgMar w:top="360" w:right="674" w:bottom="266" w:left="0" w:header="720" w:footer="720" w:gutter="0"/>
          <w:cols w:num="2" w:equalWidth="0">
            <w:col w:w="6032" w:space="0"/>
            <w:col w:w="5173" w:space="0"/>
          </w:cols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140.0" w:type="dxa"/>
      </w:tblPr>
      <w:tblGrid>
        <w:gridCol w:w="4770"/>
        <w:gridCol w:w="4770"/>
      </w:tblGrid>
      <w:tr>
        <w:trPr>
          <w:trHeight w:hRule="exact" w:val="362"/>
        </w:trPr>
        <w:tc>
          <w:tcPr>
            <w:tcW w:type="dxa" w:w="574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4" w:after="0"/>
              <w:ind w:left="0" w:right="90" w:firstLine="0"/>
              <w:jc w:val="right"/>
            </w:pPr>
            <w:r>
              <w:rPr>
                <w:rFonts w:ascii="Asap" w:hAnsi="Asap" w:eastAsia="Asap"/>
                <w:b/>
                <w:i w:val="0"/>
                <w:color w:val="474C55"/>
                <w:sz w:val="18"/>
              </w:rPr>
              <w:t>AMCP FORMAT 5.0</w:t>
            </w:r>
          </w:p>
        </w:tc>
        <w:tc>
          <w:tcPr>
            <w:tcW w:type="dxa" w:w="1094"/>
            <w:tcBorders/>
            <w:shd w:fill="6b146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72" w:after="0"/>
              <w:ind w:left="90" w:right="0" w:firstLine="0"/>
              <w:jc w:val="left"/>
            </w:pPr>
            <w:r>
              <w:rPr>
                <w:rFonts w:ascii="Asap" w:hAnsi="Asap" w:eastAsia="Asap"/>
                <w:b/>
                <w:i w:val="0"/>
                <w:color w:val="FFFFFF"/>
                <w:sz w:val="18"/>
              </w:rPr>
              <w:t>31</w:t>
            </w:r>
          </w:p>
        </w:tc>
      </w:tr>
    </w:tbl>
    <w:p>
      <w:pPr>
        <w:autoSpaceDN w:val="0"/>
        <w:autoSpaceDE w:val="0"/>
        <w:widowControl/>
        <w:spacing w:line="14" w:lineRule="exact" w:before="0" w:after="1036"/>
        <w:ind w:left="0" w:right="0"/>
      </w:pPr>
    </w:p>
    <w:p>
      <w:pPr>
        <w:sectPr>
          <w:pgSz w:w="11880" w:h="15660"/>
          <w:pgMar w:top="360" w:right="0" w:bottom="266" w:left="900" w:header="720" w:footer="720" w:gutter="0"/>
          <w:cols/>
          <w:docGrid w:linePitch="360"/>
        </w:sectPr>
      </w:pPr>
    </w:p>
    <w:p>
      <w:pPr>
        <w:autoSpaceDN w:val="0"/>
        <w:tabs>
          <w:tab w:pos="540" w:val="left"/>
        </w:tabs>
        <w:autoSpaceDE w:val="0"/>
        <w:widowControl/>
        <w:spacing w:line="245" w:lineRule="auto" w:before="0" w:after="0"/>
        <w:ind w:left="360" w:right="144" w:firstLine="0"/>
        <w:jc w:val="left"/>
      </w:pPr>
      <w:r>
        <w:rPr>
          <w:rFonts w:ascii="AppleSymbols" w:hAnsi="AppleSymbols" w:eastAsia="AppleSymbols"/>
          <w:b w:val="0"/>
          <w:i w:val="0"/>
          <w:color w:val="000000"/>
          <w:sz w:val="18"/>
        </w:rPr>
        <w:t>⚬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Sensitivity: How often is the test positive when the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marker is present?</w:t>
      </w:r>
    </w:p>
    <w:p>
      <w:pPr>
        <w:autoSpaceDN w:val="0"/>
        <w:tabs>
          <w:tab w:pos="540" w:val="left"/>
        </w:tabs>
        <w:autoSpaceDE w:val="0"/>
        <w:widowControl/>
        <w:spacing w:line="245" w:lineRule="auto" w:before="0" w:after="0"/>
        <w:ind w:left="360" w:right="144" w:firstLine="0"/>
        <w:jc w:val="left"/>
      </w:pPr>
      <w:r>
        <w:rPr>
          <w:rFonts w:ascii="AppleSymbols" w:hAnsi="AppleSymbols" w:eastAsia="AppleSymbols"/>
          <w:b w:val="0"/>
          <w:i w:val="0"/>
          <w:color w:val="000000"/>
          <w:sz w:val="18"/>
        </w:rPr>
        <w:t>⚬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Specificity: How often is the test negative when the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marker is not present?</w:t>
      </w:r>
    </w:p>
    <w:p>
      <w:pPr>
        <w:autoSpaceDN w:val="0"/>
        <w:autoSpaceDE w:val="0"/>
        <w:widowControl/>
        <w:spacing w:line="238" w:lineRule="auto" w:before="0" w:after="0"/>
        <w:ind w:left="360" w:right="0" w:firstLine="0"/>
        <w:jc w:val="left"/>
      </w:pPr>
      <w:r>
        <w:rPr>
          <w:rFonts w:ascii="AppleSymbols" w:hAnsi="AppleSymbols" w:eastAsia="AppleSymbols"/>
          <w:b w:val="0"/>
          <w:i w:val="0"/>
          <w:color w:val="000000"/>
          <w:sz w:val="18"/>
        </w:rPr>
        <w:t>⚬</w:t>
      </w:r>
      <w:r>
        <w:rPr>
          <w:rFonts w:ascii="Lora" w:hAnsi="Lora" w:eastAsia="Lora"/>
          <w:b w:val="0"/>
          <w:i w:val="0"/>
          <w:color w:val="000000"/>
          <w:sz w:val="18"/>
        </w:rPr>
        <w:t>Accuracy: How often is the test correct?</w:t>
      </w:r>
    </w:p>
    <w:p>
      <w:pPr>
        <w:autoSpaceDN w:val="0"/>
        <w:autoSpaceDE w:val="0"/>
        <w:widowControl/>
        <w:spacing w:line="238" w:lineRule="auto" w:before="0" w:after="0"/>
        <w:ind w:left="360" w:right="0" w:firstLine="0"/>
        <w:jc w:val="left"/>
      </w:pPr>
      <w:r>
        <w:rPr>
          <w:rFonts w:ascii="AppleSymbols" w:hAnsi="AppleSymbols" w:eastAsia="AppleSymbols"/>
          <w:b w:val="0"/>
          <w:i w:val="0"/>
          <w:color w:val="000000"/>
          <w:sz w:val="18"/>
        </w:rPr>
        <w:t>⚬</w:t>
      </w:r>
      <w:r>
        <w:rPr>
          <w:rFonts w:ascii="Lora" w:hAnsi="Lora" w:eastAsia="Lora"/>
          <w:b w:val="0"/>
          <w:i w:val="0"/>
          <w:color w:val="000000"/>
          <w:sz w:val="18"/>
        </w:rPr>
        <w:t>Precision: Reproducibility of the test.</w:t>
      </w:r>
    </w:p>
    <w:p>
      <w:pPr>
        <w:autoSpaceDN w:val="0"/>
        <w:tabs>
          <w:tab w:pos="360" w:val="left"/>
        </w:tabs>
        <w:autoSpaceDE w:val="0"/>
        <w:widowControl/>
        <w:spacing w:line="245" w:lineRule="auto" w:before="0" w:after="0"/>
        <w:ind w:left="180" w:right="144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• Clinical validity: How well does the test identify the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disease or medical condition of interest?</w:t>
      </w:r>
    </w:p>
    <w:p>
      <w:pPr>
        <w:autoSpaceDN w:val="0"/>
        <w:tabs>
          <w:tab w:pos="540" w:val="left"/>
        </w:tabs>
        <w:autoSpaceDE w:val="0"/>
        <w:widowControl/>
        <w:spacing w:line="245" w:lineRule="auto" w:before="0" w:after="0"/>
        <w:ind w:left="360" w:right="144" w:firstLine="0"/>
        <w:jc w:val="left"/>
      </w:pPr>
      <w:r>
        <w:rPr>
          <w:rFonts w:ascii="AppleSymbols" w:hAnsi="AppleSymbols" w:eastAsia="AppleSymbols"/>
          <w:b w:val="0"/>
          <w:i w:val="0"/>
          <w:color w:val="000000"/>
          <w:sz w:val="18"/>
        </w:rPr>
        <w:t>⚬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Positive predictive value: How often does a patient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who tests positive have the medical condition?</w:t>
      </w:r>
    </w:p>
    <w:p>
      <w:pPr>
        <w:autoSpaceDN w:val="0"/>
        <w:tabs>
          <w:tab w:pos="540" w:val="left"/>
        </w:tabs>
        <w:autoSpaceDE w:val="0"/>
        <w:widowControl/>
        <w:spacing w:line="245" w:lineRule="auto" w:before="0" w:after="0"/>
        <w:ind w:left="360" w:right="144" w:firstLine="0"/>
        <w:jc w:val="left"/>
      </w:pPr>
      <w:r>
        <w:rPr>
          <w:rFonts w:ascii="AppleSymbols" w:hAnsi="AppleSymbols" w:eastAsia="AppleSymbols"/>
          <w:b w:val="0"/>
          <w:i w:val="0"/>
          <w:color w:val="000000"/>
          <w:sz w:val="18"/>
        </w:rPr>
        <w:t>⚬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Negative predictive value: How often does a patient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who tests negative not have the medical condition?</w:t>
      </w:r>
    </w:p>
    <w:p>
      <w:pPr>
        <w:autoSpaceDN w:val="0"/>
        <w:tabs>
          <w:tab w:pos="540" w:val="left"/>
        </w:tabs>
        <w:autoSpaceDE w:val="0"/>
        <w:widowControl/>
        <w:spacing w:line="245" w:lineRule="auto" w:before="0" w:after="0"/>
        <w:ind w:left="360" w:right="144" w:firstLine="0"/>
        <w:jc w:val="left"/>
      </w:pPr>
      <w:r>
        <w:rPr>
          <w:rFonts w:ascii="AppleSymbols" w:hAnsi="AppleSymbols" w:eastAsia="AppleSymbols"/>
          <w:b w:val="0"/>
          <w:i w:val="0"/>
          <w:color w:val="000000"/>
          <w:sz w:val="18"/>
        </w:rPr>
        <w:t>⚬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Thresholds used to separate a positive from a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negative result.</w:t>
      </w:r>
    </w:p>
    <w:p>
      <w:pPr>
        <w:autoSpaceDN w:val="0"/>
        <w:tabs>
          <w:tab w:pos="540" w:val="left"/>
        </w:tabs>
        <w:autoSpaceDE w:val="0"/>
        <w:widowControl/>
        <w:spacing w:line="245" w:lineRule="auto" w:before="0" w:after="0"/>
        <w:ind w:left="360" w:right="144" w:firstLine="0"/>
        <w:jc w:val="left"/>
      </w:pPr>
      <w:r>
        <w:rPr>
          <w:rFonts w:ascii="AppleSymbols" w:hAnsi="AppleSymbols" w:eastAsia="AppleSymbols"/>
          <w:b w:val="0"/>
          <w:i w:val="0"/>
          <w:color w:val="000000"/>
          <w:sz w:val="18"/>
        </w:rPr>
        <w:t>⚬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In which populations has the test been validated,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and in how many studies?</w:t>
      </w:r>
    </w:p>
    <w:p>
      <w:pPr>
        <w:autoSpaceDN w:val="0"/>
        <w:tabs>
          <w:tab w:pos="360" w:val="left"/>
        </w:tabs>
        <w:autoSpaceDE w:val="0"/>
        <w:widowControl/>
        <w:spacing w:line="245" w:lineRule="auto" w:before="0" w:after="0"/>
        <w:ind w:left="180" w:right="144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• Clinical utility: How does the test improve patient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outcomes?</w:t>
      </w:r>
    </w:p>
    <w:p>
      <w:pPr>
        <w:autoSpaceDN w:val="0"/>
        <w:tabs>
          <w:tab w:pos="540" w:val="left"/>
        </w:tabs>
        <w:autoSpaceDE w:val="0"/>
        <w:widowControl/>
        <w:spacing w:line="245" w:lineRule="auto" w:before="0" w:after="0"/>
        <w:ind w:left="360" w:right="144" w:firstLine="0"/>
        <w:jc w:val="left"/>
      </w:pPr>
      <w:r>
        <w:rPr>
          <w:rFonts w:ascii="AppleSymbols" w:hAnsi="AppleSymbols" w:eastAsia="AppleSymbols"/>
          <w:b w:val="0"/>
          <w:i w:val="0"/>
          <w:color w:val="000000"/>
          <w:sz w:val="18"/>
        </w:rPr>
        <w:t>⚬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Interventions that are based on positive and/or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negative test results.</w:t>
      </w:r>
    </w:p>
    <w:p>
      <w:pPr>
        <w:autoSpaceDN w:val="0"/>
        <w:autoSpaceDE w:val="0"/>
        <w:widowControl/>
        <w:spacing w:line="245" w:lineRule="auto" w:before="0" w:after="0"/>
        <w:ind w:left="288" w:right="144" w:firstLine="0"/>
        <w:jc w:val="center"/>
      </w:pPr>
      <w:r>
        <w:rPr>
          <w:rFonts w:ascii="AppleSymbols" w:hAnsi="AppleSymbols" w:eastAsia="AppleSymbols"/>
          <w:b w:val="0"/>
          <w:i w:val="0"/>
          <w:color w:val="000000"/>
          <w:sz w:val="18"/>
        </w:rPr>
        <w:t>⚬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Efficacy/effectiveness and safety of the clinical </w:t>
      </w:r>
      <w:r>
        <w:rPr>
          <w:rFonts w:ascii="Lora" w:hAnsi="Lora" w:eastAsia="Lora"/>
          <w:b w:val="0"/>
          <w:i w:val="0"/>
          <w:color w:val="000000"/>
          <w:sz w:val="18"/>
        </w:rPr>
        <w:t>intervention implemented as a result of the test.</w:t>
      </w:r>
    </w:p>
    <w:p>
      <w:pPr>
        <w:autoSpaceDN w:val="0"/>
        <w:autoSpaceDE w:val="0"/>
        <w:widowControl/>
        <w:spacing w:line="245" w:lineRule="auto" w:before="0" w:after="0"/>
        <w:ind w:left="540" w:right="144" w:hanging="180"/>
        <w:jc w:val="left"/>
      </w:pPr>
      <w:r>
        <w:rPr>
          <w:rFonts w:ascii="AppleSymbols" w:hAnsi="AppleSymbols" w:eastAsia="AppleSymbols"/>
          <w:b w:val="0"/>
          <w:i w:val="0"/>
          <w:color w:val="000000"/>
          <w:sz w:val="18"/>
        </w:rPr>
        <w:t>⚬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Changes in patient outcomes, treatments received, </w:t>
      </w:r>
      <w:r>
        <w:rPr>
          <w:rFonts w:ascii="Lora" w:hAnsi="Lora" w:eastAsia="Lora"/>
          <w:b w:val="0"/>
          <w:i w:val="0"/>
          <w:color w:val="000000"/>
          <w:sz w:val="18"/>
        </w:rPr>
        <w:t>clinical events, effect on disease progression, risk-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benefit assessment, morbidity, quality of life, and </w:t>
      </w:r>
      <w:r>
        <w:rPr>
          <w:rFonts w:ascii="Lora" w:hAnsi="Lora" w:eastAsia="Lora"/>
          <w:b w:val="0"/>
          <w:i w:val="0"/>
          <w:color w:val="000000"/>
          <w:sz w:val="18"/>
        </w:rPr>
        <w:t>survival, etc.</w:t>
      </w:r>
    </w:p>
    <w:p>
      <w:pPr>
        <w:autoSpaceDN w:val="0"/>
        <w:tabs>
          <w:tab w:pos="540" w:val="left"/>
        </w:tabs>
        <w:autoSpaceDE w:val="0"/>
        <w:widowControl/>
        <w:spacing w:line="245" w:lineRule="auto" w:before="0" w:after="0"/>
        <w:ind w:left="360" w:right="144" w:firstLine="0"/>
        <w:jc w:val="left"/>
      </w:pPr>
      <w:r>
        <w:rPr>
          <w:rFonts w:ascii="AppleSymbols" w:hAnsi="AppleSymbols" w:eastAsia="AppleSymbols"/>
          <w:b w:val="0"/>
          <w:i w:val="0"/>
          <w:color w:val="000000"/>
          <w:sz w:val="18"/>
        </w:rPr>
        <w:t>⚬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Consider inclusion of quantitative risk-benefit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decision-analytic modeling.</w:t>
      </w:r>
    </w:p>
    <w:p>
      <w:pPr>
        <w:autoSpaceDN w:val="0"/>
        <w:tabs>
          <w:tab w:pos="360" w:val="left"/>
        </w:tabs>
        <w:autoSpaceDE w:val="0"/>
        <w:widowControl/>
        <w:spacing w:line="245" w:lineRule="auto" w:before="0" w:after="0"/>
        <w:ind w:left="180" w:right="144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• Economic value: What is the economic value of the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test?</w:t>
      </w:r>
    </w:p>
    <w:p>
      <w:pPr>
        <w:autoSpaceDN w:val="0"/>
        <w:autoSpaceDE w:val="0"/>
        <w:widowControl/>
        <w:spacing w:line="245" w:lineRule="auto" w:before="0" w:after="0"/>
        <w:ind w:left="540" w:right="144" w:hanging="180"/>
        <w:jc w:val="left"/>
      </w:pPr>
      <w:r>
        <w:rPr>
          <w:rFonts w:ascii="AppleSymbols" w:hAnsi="AppleSymbols" w:eastAsia="AppleSymbols"/>
          <w:b w:val="0"/>
          <w:i w:val="0"/>
          <w:color w:val="000000"/>
          <w:sz w:val="18"/>
        </w:rPr>
        <w:t>⚬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What is the expected difference in costs and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outcomes compared with the next best alternative, </w:t>
      </w:r>
      <w:r>
        <w:rPr>
          <w:rFonts w:ascii="Lora" w:hAnsi="Lora" w:eastAsia="Lora"/>
          <w:b w:val="0"/>
          <w:i w:val="0"/>
          <w:color w:val="000000"/>
          <w:sz w:val="18"/>
        </w:rPr>
        <w:t>including cost offsets from changes in drug utiliza-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tion, side effect treatment, and other health care </w:t>
      </w:r>
      <w:r>
        <w:rPr>
          <w:rFonts w:ascii="Lora" w:hAnsi="Lora" w:eastAsia="Lora"/>
          <w:b w:val="0"/>
          <w:i w:val="0"/>
          <w:color w:val="000000"/>
          <w:sz w:val="18"/>
        </w:rPr>
        <w:t>services and health outcomes?</w:t>
      </w:r>
    </w:p>
    <w:p>
      <w:pPr>
        <w:autoSpaceDN w:val="0"/>
        <w:autoSpaceDE w:val="0"/>
        <w:widowControl/>
        <w:spacing w:line="245" w:lineRule="auto" w:before="0" w:after="0"/>
        <w:ind w:left="540" w:right="246" w:hanging="180"/>
        <w:jc w:val="both"/>
      </w:pPr>
      <w:r>
        <w:rPr>
          <w:rFonts w:ascii="AppleSymbols" w:hAnsi="AppleSymbols" w:eastAsia="AppleSymbols"/>
          <w:b w:val="0"/>
          <w:i w:val="0"/>
          <w:color w:val="000000"/>
          <w:sz w:val="18"/>
        </w:rPr>
        <w:t>⚬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The economic analysis should include, among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other aspects, the prevalence of the condition,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prevalence of the CDT marker of interest, and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burden on the patient or health care system to </w:t>
      </w:r>
      <w:r>
        <w:rPr>
          <w:rFonts w:ascii="Lora" w:hAnsi="Lora" w:eastAsia="Lora"/>
          <w:b w:val="0"/>
          <w:i w:val="0"/>
          <w:color w:val="000000"/>
          <w:sz w:val="18"/>
        </w:rPr>
        <w:t>collect and process the biological sample.</w:t>
      </w:r>
    </w:p>
    <w:p>
      <w:pPr>
        <w:autoSpaceDN w:val="0"/>
        <w:autoSpaceDE w:val="0"/>
        <w:widowControl/>
        <w:spacing w:line="245" w:lineRule="auto" w:before="0" w:after="0"/>
        <w:ind w:left="540" w:right="246" w:hanging="180"/>
        <w:jc w:val="both"/>
      </w:pPr>
      <w:r>
        <w:rPr>
          <w:rFonts w:ascii="AppleSymbols" w:hAnsi="AppleSymbols" w:eastAsia="AppleSymbols"/>
          <w:b w:val="0"/>
          <w:i w:val="0"/>
          <w:color w:val="000000"/>
          <w:sz w:val="18"/>
        </w:rPr>
        <w:t>⚬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Include incremental cost per diagnosis, treatment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modification, events avoided, life-years saved, and </w:t>
      </w:r>
      <w:r>
        <w:rPr>
          <w:rFonts w:ascii="Lora" w:hAnsi="Lora" w:eastAsia="Lora"/>
          <w:b w:val="0"/>
          <w:i w:val="0"/>
          <w:color w:val="000000"/>
          <w:sz w:val="18"/>
        </w:rPr>
        <w:t>quality-adjusted life-years (QALYs) gained, etc.</w:t>
      </w:r>
    </w:p>
    <w:p>
      <w:pPr>
        <w:autoSpaceDN w:val="0"/>
        <w:tabs>
          <w:tab w:pos="270" w:val="left"/>
        </w:tabs>
        <w:autoSpaceDE w:val="0"/>
        <w:widowControl/>
        <w:spacing w:line="245" w:lineRule="auto" w:before="0" w:after="0"/>
        <w:ind w:left="0" w:right="288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>13. Packaging description, regulatory codes, classifica-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tions, and identifiers.</w:t>
      </w:r>
    </w:p>
    <w:p>
      <w:pPr>
        <w:autoSpaceDN w:val="0"/>
        <w:autoSpaceDE w:val="0"/>
        <w:widowControl/>
        <w:spacing w:line="223" w:lineRule="auto" w:before="0" w:after="0"/>
        <w:ind w:left="0" w:right="0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>14. Billing and reimbursement codes and price.</w:t>
      </w:r>
    </w:p>
    <w:p>
      <w:pPr>
        <w:autoSpaceDN w:val="0"/>
        <w:autoSpaceDE w:val="0"/>
        <w:widowControl/>
        <w:spacing w:line="223" w:lineRule="auto" w:before="0" w:after="0"/>
        <w:ind w:left="0" w:right="0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>15. Copy of the product label or PI.</w:t>
      </w:r>
    </w:p>
    <w:p>
      <w:pPr>
        <w:autoSpaceDN w:val="0"/>
        <w:autoSpaceDE w:val="0"/>
        <w:widowControl/>
        <w:spacing w:line="246" w:lineRule="exact" w:before="82" w:after="0"/>
        <w:ind w:left="0" w:right="144" w:firstLine="0"/>
        <w:jc w:val="left"/>
      </w:pPr>
      <w:r>
        <w:rPr>
          <w:rFonts w:ascii="Asap" w:hAnsi="Asap" w:eastAsia="Asap"/>
          <w:b/>
          <w:i w:val="0"/>
          <w:color w:val="007EC5"/>
          <w:sz w:val="18"/>
        </w:rPr>
        <w:t xml:space="preserve">2.3.2B PLACE OF CDTs IN CLINICAL PRACTICE 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The recommended length of Section 2.3.2B is 10 pages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(maximum 15). For stand-alone CDT dossiers, include the </w:t>
      </w:r>
    </w:p>
    <w:p>
      <w:pPr>
        <w:sectPr>
          <w:type w:val="continuous"/>
          <w:pgSz w:w="11880" w:h="15660"/>
          <w:pgMar w:top="360" w:right="0" w:bottom="266" w:left="900" w:header="720" w:footer="720" w:gutter="0"/>
          <w:cols w:num="2" w:equalWidth="0">
            <w:col w:w="5154" w:space="0"/>
            <w:col w:w="5826" w:space="0"/>
          </w:cols>
          <w:docGrid w:linePitch="360"/>
        </w:sectPr>
      </w:pPr>
    </w:p>
    <w:p>
      <w:pPr>
        <w:autoSpaceDN w:val="0"/>
        <w:autoSpaceDE w:val="0"/>
        <w:widowControl/>
        <w:spacing w:line="245" w:lineRule="auto" w:before="0" w:after="0"/>
        <w:ind w:left="246" w:right="3600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following information: 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>1. Disease description.</w:t>
      </w:r>
    </w:p>
    <w:p>
      <w:pPr>
        <w:autoSpaceDN w:val="0"/>
        <w:autoSpaceDE w:val="0"/>
        <w:widowControl/>
        <w:spacing w:line="223" w:lineRule="auto" w:before="0" w:after="0"/>
        <w:ind w:left="426" w:right="0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>• Epidemiology and relevant risk factors.</w:t>
      </w:r>
    </w:p>
    <w:p>
      <w:pPr>
        <w:autoSpaceDN w:val="0"/>
        <w:autoSpaceDE w:val="0"/>
        <w:widowControl/>
        <w:spacing w:line="223" w:lineRule="auto" w:before="0" w:after="0"/>
        <w:ind w:left="426" w:right="0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>• Pathophysiology.</w:t>
      </w:r>
    </w:p>
    <w:p>
      <w:pPr>
        <w:autoSpaceDN w:val="0"/>
        <w:autoSpaceDE w:val="0"/>
        <w:widowControl/>
        <w:spacing w:line="223" w:lineRule="auto" w:before="0" w:after="0"/>
        <w:ind w:left="426" w:right="0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>• Clinical presentation.</w:t>
      </w:r>
    </w:p>
    <w:p>
      <w:pPr>
        <w:autoSpaceDN w:val="0"/>
        <w:autoSpaceDE w:val="0"/>
        <w:widowControl/>
        <w:spacing w:line="223" w:lineRule="auto" w:before="0" w:after="0"/>
        <w:ind w:left="426" w:right="0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>• Societal and economic impact of disease.</w:t>
      </w:r>
    </w:p>
    <w:p>
      <w:pPr>
        <w:autoSpaceDN w:val="0"/>
        <w:autoSpaceDE w:val="0"/>
        <w:widowControl/>
        <w:spacing w:line="223" w:lineRule="auto" w:before="0" w:after="0"/>
        <w:ind w:left="246" w:right="0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>2. Approaches to treatment.</w:t>
      </w:r>
    </w:p>
    <w:p>
      <w:pPr>
        <w:autoSpaceDN w:val="0"/>
        <w:tabs>
          <w:tab w:pos="606" w:val="left"/>
        </w:tabs>
        <w:autoSpaceDE w:val="0"/>
        <w:widowControl/>
        <w:spacing w:line="245" w:lineRule="auto" w:before="0" w:after="0"/>
        <w:ind w:left="426" w:right="720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>• Diagnosis (principal options, practice patterns, alter-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native options).</w:t>
      </w:r>
    </w:p>
    <w:p>
      <w:pPr>
        <w:autoSpaceDN w:val="0"/>
        <w:tabs>
          <w:tab w:pos="606" w:val="left"/>
        </w:tabs>
        <w:autoSpaceDE w:val="0"/>
        <w:widowControl/>
        <w:spacing w:line="245" w:lineRule="auto" w:before="0" w:after="0"/>
        <w:ind w:left="426" w:right="720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>• Anticipated use of the test in patient management.</w:t>
      </w:r>
      <w:r>
        <w:rPr>
          <w:rFonts w:ascii="Lora" w:hAnsi="Lora" w:eastAsia="Lora"/>
          <w:b w:val="0"/>
          <w:i w:val="0"/>
          <w:color w:val="000000"/>
          <w:sz w:val="18"/>
        </w:rPr>
        <w:t>• Prognosis (e.g., expected intermediate health out-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comes, expected net health outcomes of treatment).</w:t>
      </w:r>
      <w:r>
        <w:rPr>
          <w:rFonts w:ascii="Lora" w:hAnsi="Lora" w:eastAsia="Lora"/>
          <w:b w:val="0"/>
          <w:i w:val="0"/>
          <w:color w:val="000000"/>
          <w:sz w:val="18"/>
        </w:rPr>
        <w:t>• Relevant clinical practice guidelines, clinical path-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ways, HTAs, and systematic reviews.</w:t>
      </w:r>
    </w:p>
    <w:p>
      <w:pPr>
        <w:autoSpaceDN w:val="0"/>
        <w:autoSpaceDE w:val="0"/>
        <w:widowControl/>
        <w:spacing w:line="223" w:lineRule="auto" w:before="0" w:after="0"/>
        <w:ind w:left="426" w:right="0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>• Other key assumptions and their rationale.</w:t>
      </w:r>
    </w:p>
    <w:p>
      <w:pPr>
        <w:autoSpaceDN w:val="0"/>
        <w:autoSpaceDE w:val="0"/>
        <w:widowControl/>
        <w:spacing w:line="242" w:lineRule="exact" w:before="86" w:after="0"/>
        <w:ind w:left="246" w:right="576" w:firstLine="0"/>
        <w:jc w:val="left"/>
      </w:pPr>
      <w:r>
        <w:rPr>
          <w:rFonts w:ascii="Asap" w:hAnsi="Asap" w:eastAsia="Asap"/>
          <w:b/>
          <w:i w:val="0"/>
          <w:color w:val="007EC5"/>
          <w:sz w:val="18"/>
        </w:rPr>
        <w:t xml:space="preserve">2.3.3B SUPPORTING CLINICAL DATA FOR CDT 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The recommended length of each study summary is two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pages (maximum five). The recommended length of a row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in the evidence table is one page (maximum two) for each </w:t>
      </w:r>
      <w:r>
        <w:rPr>
          <w:rFonts w:ascii="Lora" w:hAnsi="Lora" w:eastAsia="Lora"/>
          <w:b w:val="0"/>
          <w:i w:val="0"/>
          <w:color w:val="000000"/>
          <w:sz w:val="18"/>
        </w:rPr>
        <w:t>study.</w:t>
      </w:r>
    </w:p>
    <w:p>
      <w:pPr>
        <w:autoSpaceDN w:val="0"/>
        <w:autoSpaceDE w:val="0"/>
        <w:widowControl/>
        <w:spacing w:line="245" w:lineRule="auto" w:before="0" w:after="0"/>
        <w:ind w:left="246" w:right="672" w:firstLine="180"/>
        <w:jc w:val="both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For drug dossiers, studies pertaining to the CDT that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do not belong in Section 3.0B should be summarized in </w:t>
      </w:r>
      <w:r>
        <w:rPr>
          <w:rFonts w:ascii="Lora" w:hAnsi="Lora" w:eastAsia="Lora"/>
          <w:b w:val="0"/>
          <w:i w:val="0"/>
          <w:color w:val="000000"/>
          <w:sz w:val="18"/>
        </w:rPr>
        <w:t>this section.</w:t>
      </w:r>
    </w:p>
    <w:p>
      <w:pPr>
        <w:autoSpaceDN w:val="0"/>
        <w:tabs>
          <w:tab w:pos="426" w:val="left"/>
        </w:tabs>
        <w:autoSpaceDE w:val="0"/>
        <w:widowControl/>
        <w:spacing w:line="245" w:lineRule="auto" w:before="0" w:after="0"/>
        <w:ind w:left="246" w:right="576" w:firstLine="0"/>
        <w:jc w:val="left"/>
      </w:pP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For stand-alone CDT dossiers, all clinical trials that </w:t>
      </w:r>
      <w:r>
        <w:rPr>
          <w:rFonts w:ascii="Lora" w:hAnsi="Lora" w:eastAsia="Lora"/>
          <w:b w:val="0"/>
          <w:i w:val="0"/>
          <w:color w:val="000000"/>
          <w:sz w:val="18"/>
        </w:rPr>
        <w:t>include the CDT should be summarized in this section.</w:t>
      </w:r>
    </w:p>
    <w:p>
      <w:pPr>
        <w:autoSpaceDN w:val="0"/>
        <w:autoSpaceDE w:val="0"/>
        <w:widowControl/>
        <w:spacing w:line="245" w:lineRule="auto" w:before="0" w:after="0"/>
        <w:ind w:left="246" w:right="576" w:firstLine="18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>Submit summaries of key studies that have been con-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ducted (and discussed with the FDA), whether published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or not. For example: 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>1. Analytical validation studies.</w:t>
      </w:r>
    </w:p>
    <w:p>
      <w:pPr>
        <w:autoSpaceDN w:val="0"/>
        <w:autoSpaceDE w:val="0"/>
        <w:widowControl/>
        <w:spacing w:line="223" w:lineRule="auto" w:before="0" w:after="0"/>
        <w:ind w:left="246" w:right="0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>2. Clinical validation studies.</w:t>
      </w:r>
    </w:p>
    <w:p>
      <w:pPr>
        <w:autoSpaceDN w:val="0"/>
        <w:autoSpaceDE w:val="0"/>
        <w:widowControl/>
        <w:spacing w:line="245" w:lineRule="auto" w:before="0" w:after="0"/>
        <w:ind w:left="426" w:right="576" w:hanging="18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>3. Clinical utility studies (e.g., randomized trials, pro-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spective effectiveness trials, case series, retrospective </w:t>
      </w:r>
      <w:r>
        <w:rPr>
          <w:rFonts w:ascii="Lora" w:hAnsi="Lora" w:eastAsia="Lora"/>
          <w:b w:val="0"/>
          <w:i w:val="0"/>
          <w:color w:val="000000"/>
          <w:sz w:val="18"/>
        </w:rPr>
        <w:t>studies, systematic reviews, meta-analyses).</w:t>
      </w:r>
    </w:p>
    <w:p>
      <w:pPr>
        <w:autoSpaceDN w:val="0"/>
        <w:autoSpaceDE w:val="0"/>
        <w:widowControl/>
        <w:spacing w:line="245" w:lineRule="auto" w:before="0" w:after="0"/>
        <w:ind w:left="426" w:right="576" w:hanging="18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4. Outcomes studies (e.g., decision-analytic modeling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studies; prospective, trial-based cost-effectiveness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studies; cross-sectional or retrospective costing studies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and treatment pattern studies; systematic review </w:t>
      </w:r>
      <w:r>
        <w:rPr>
          <w:rFonts w:ascii="Lora" w:hAnsi="Lora" w:eastAsia="Lora"/>
          <w:b w:val="0"/>
          <w:i w:val="0"/>
          <w:color w:val="000000"/>
          <w:sz w:val="18"/>
        </w:rPr>
        <w:t>articles; patient-reported outcomes studies, quality-</w:t>
      </w:r>
      <w:r>
        <w:rPr>
          <w:rFonts w:ascii="Lora" w:hAnsi="Lora" w:eastAsia="Lora"/>
          <w:b w:val="0"/>
          <w:i w:val="0"/>
          <w:color w:val="000000"/>
          <w:sz w:val="18"/>
        </w:rPr>
        <w:t>of-life studies).</w:t>
      </w:r>
    </w:p>
    <w:p>
      <w:pPr>
        <w:autoSpaceDN w:val="0"/>
        <w:autoSpaceDE w:val="0"/>
        <w:widowControl/>
        <w:spacing w:line="223" w:lineRule="auto" w:before="0" w:after="0"/>
        <w:ind w:left="246" w:right="0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>5. Safety studies.</w:t>
      </w:r>
    </w:p>
    <w:p>
      <w:pPr>
        <w:autoSpaceDN w:val="0"/>
        <w:autoSpaceDE w:val="0"/>
        <w:widowControl/>
        <w:spacing w:line="245" w:lineRule="auto" w:before="0" w:after="0"/>
        <w:ind w:left="246" w:right="1008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Evidence in summaries should include the following: </w:t>
      </w:r>
      <w:r>
        <w:rPr>
          <w:rFonts w:ascii="Lora" w:hAnsi="Lora" w:eastAsia="Lora"/>
          <w:b w:val="0"/>
          <w:i w:val="0"/>
          <w:color w:val="000000"/>
          <w:sz w:val="18"/>
        </w:rPr>
        <w:t>1. Setting and location of study.</w:t>
      </w:r>
    </w:p>
    <w:p>
      <w:pPr>
        <w:autoSpaceDN w:val="0"/>
        <w:autoSpaceDE w:val="0"/>
        <w:widowControl/>
        <w:spacing w:line="223" w:lineRule="auto" w:before="0" w:after="0"/>
        <w:ind w:left="246" w:right="0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>2. Study design and research question(s).</w:t>
      </w:r>
    </w:p>
    <w:p>
      <w:pPr>
        <w:autoSpaceDN w:val="0"/>
        <w:autoSpaceDE w:val="0"/>
        <w:widowControl/>
        <w:spacing w:line="223" w:lineRule="auto" w:before="0" w:after="0"/>
        <w:ind w:left="246" w:right="0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>3. Inclusion and exclusion criteria.</w:t>
      </w:r>
    </w:p>
    <w:p>
      <w:pPr>
        <w:autoSpaceDN w:val="0"/>
        <w:tabs>
          <w:tab w:pos="516" w:val="left"/>
          <w:tab w:pos="1342" w:val="left"/>
          <w:tab w:pos="2870" w:val="left"/>
          <w:tab w:pos="4424" w:val="left"/>
        </w:tabs>
        <w:autoSpaceDE w:val="0"/>
        <w:widowControl/>
        <w:spacing w:line="245" w:lineRule="auto" w:before="0" w:after="0"/>
        <w:ind w:left="246" w:right="576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4. Patient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characteristics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(demographics,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number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studied, disease severity, comorbidities).</w:t>
      </w:r>
    </w:p>
    <w:p>
      <w:pPr>
        <w:autoSpaceDN w:val="0"/>
        <w:autoSpaceDE w:val="0"/>
        <w:widowControl/>
        <w:spacing w:line="223" w:lineRule="auto" w:before="0" w:after="0"/>
        <w:ind w:left="246" w:right="0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>5. Intervention and control groups.</w:t>
      </w:r>
    </w:p>
    <w:p>
      <w:pPr>
        <w:autoSpaceDN w:val="0"/>
        <w:autoSpaceDE w:val="0"/>
        <w:widowControl/>
        <w:spacing w:line="245" w:lineRule="auto" w:before="0" w:after="0"/>
        <w:ind w:left="516" w:right="672" w:hanging="270"/>
        <w:jc w:val="both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6. Patient follow-up procedures (e.g., if an ITT design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is used, were drop-outs followed and for what time </w:t>
      </w:r>
      <w:r>
        <w:rPr>
          <w:rFonts w:ascii="Lora" w:hAnsi="Lora" w:eastAsia="Lora"/>
          <w:b w:val="0"/>
          <w:i w:val="0"/>
          <w:color w:val="000000"/>
          <w:sz w:val="18"/>
        </w:rPr>
        <w:t>period?) and treatment/follow-up period.</w:t>
      </w:r>
    </w:p>
    <w:p>
      <w:pPr>
        <w:autoSpaceDN w:val="0"/>
        <w:autoSpaceDE w:val="0"/>
        <w:widowControl/>
        <w:spacing w:line="186" w:lineRule="exact" w:before="694" w:after="0"/>
        <w:ind w:left="0" w:right="742" w:firstLine="0"/>
        <w:jc w:val="right"/>
      </w:pPr>
      <w:r>
        <w:rPr>
          <w:rFonts w:ascii="Asap" w:hAnsi="Asap" w:eastAsia="Asap"/>
          <w:b w:val="0"/>
          <w:i w:val="0"/>
          <w:color w:val="474C55"/>
          <w:sz w:val="14"/>
        </w:rPr>
        <w:t>Vol. 30, No. 4-b</w:t>
      </w:r>
      <w:r>
        <w:rPr>
          <w:rFonts w:ascii="Asap" w:hAnsi="Asap" w:eastAsia="Asap"/>
          <w:b w:val="0"/>
          <w:i w:val="0"/>
          <w:color w:val="474C55"/>
          <w:sz w:val="14"/>
        </w:rPr>
        <w:t>|</w:t>
      </w:r>
      <w:r>
        <w:rPr>
          <w:rFonts w:ascii="Asap" w:hAnsi="Asap" w:eastAsia="Asap"/>
          <w:b w:val="0"/>
          <w:i w:val="0"/>
          <w:color w:val="474C55"/>
          <w:sz w:val="14"/>
        </w:rPr>
        <w:t>April 2024</w:t>
      </w:r>
      <w:r>
        <w:rPr>
          <w:rFonts w:ascii="Asap" w:hAnsi="Asap" w:eastAsia="Asap"/>
          <w:b w:val="0"/>
          <w:i w:val="0"/>
          <w:color w:val="474C55"/>
          <w:sz w:val="14"/>
        </w:rPr>
        <w:t>|</w:t>
      </w:r>
      <w:r>
        <w:rPr>
          <w:rFonts w:ascii="Asap" w:hAnsi="Asap" w:eastAsia="Asap"/>
          <w:b/>
          <w:i w:val="0"/>
          <w:color w:val="14377D"/>
          <w:sz w:val="14"/>
        </w:rPr>
        <w:t xml:space="preserve"> JMCP</w:t>
      </w:r>
      <w:r>
        <w:rPr>
          <w:rFonts w:ascii="Asap" w:hAnsi="Asap" w:eastAsia="Asap"/>
          <w:b w:val="0"/>
          <w:i w:val="0"/>
          <w:color w:val="14377D"/>
          <w:sz w:val="14"/>
        </w:rPr>
        <w:t>.org</w:t>
      </w:r>
    </w:p>
    <w:p>
      <w:pPr>
        <w:sectPr>
          <w:type w:val="nextColumn"/>
          <w:pgSz w:w="11880" w:h="15660"/>
          <w:pgMar w:top="360" w:right="0" w:bottom="266" w:left="900" w:header="720" w:footer="720" w:gutter="0"/>
          <w:cols w:num="2" w:equalWidth="0">
            <w:col w:w="5154" w:space="0"/>
            <w:col w:w="5826" w:space="0"/>
          </w:cols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883"/>
        <w:gridCol w:w="4883"/>
      </w:tblGrid>
      <w:tr>
        <w:trPr>
          <w:trHeight w:hRule="exact" w:val="362"/>
        </w:trPr>
        <w:tc>
          <w:tcPr>
            <w:tcW w:type="dxa" w:w="1094"/>
            <w:tcBorders/>
            <w:shd w:fill="6b146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4" w:after="0"/>
              <w:ind w:left="0" w:right="90" w:firstLine="0"/>
              <w:jc w:val="right"/>
            </w:pPr>
            <w:r>
              <w:rPr>
                <w:rFonts w:ascii="Asap" w:hAnsi="Asap" w:eastAsia="Asap"/>
                <w:b/>
                <w:i w:val="0"/>
                <w:color w:val="FFFFFF"/>
                <w:sz w:val="18"/>
              </w:rPr>
              <w:t>32</w:t>
            </w:r>
          </w:p>
        </w:tc>
        <w:tc>
          <w:tcPr>
            <w:tcW w:type="dxa" w:w="584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4" w:after="0"/>
              <w:ind w:left="90" w:right="0" w:firstLine="0"/>
              <w:jc w:val="left"/>
            </w:pPr>
            <w:r>
              <w:rPr>
                <w:rFonts w:ascii="Asap" w:hAnsi="Asap" w:eastAsia="Asap"/>
                <w:b/>
                <w:i w:val="0"/>
                <w:color w:val="474C55"/>
                <w:sz w:val="18"/>
              </w:rPr>
              <w:t>AMCP FORMAT 5.0</w:t>
            </w:r>
          </w:p>
        </w:tc>
      </w:tr>
    </w:tbl>
    <w:p>
      <w:pPr>
        <w:autoSpaceDN w:val="0"/>
        <w:autoSpaceDE w:val="0"/>
        <w:widowControl/>
        <w:spacing w:line="14" w:lineRule="exact" w:before="0" w:after="1038"/>
        <w:ind w:left="0" w:right="0"/>
      </w:pPr>
    </w:p>
    <w:p>
      <w:pPr>
        <w:sectPr>
          <w:pgSz w:w="11880" w:h="15660"/>
          <w:pgMar w:top="360" w:right="674" w:bottom="266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3" w:lineRule="auto" w:before="0" w:after="0"/>
        <w:ind w:left="878" w:right="0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>7. Clinical outcome(s) measures.</w:t>
      </w:r>
    </w:p>
    <w:p>
      <w:pPr>
        <w:autoSpaceDN w:val="0"/>
        <w:autoSpaceDE w:val="0"/>
        <w:widowControl/>
        <w:spacing w:line="223" w:lineRule="auto" w:before="0" w:after="0"/>
        <w:ind w:left="878" w:right="0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>8. Outcomes evaluated.</w:t>
      </w:r>
    </w:p>
    <w:p>
      <w:pPr>
        <w:autoSpaceDN w:val="0"/>
        <w:tabs>
          <w:tab w:pos="1148" w:val="left"/>
        </w:tabs>
        <w:autoSpaceDE w:val="0"/>
        <w:widowControl/>
        <w:spacing w:line="245" w:lineRule="auto" w:before="0" w:after="0"/>
        <w:ind w:left="878" w:right="144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9. Delineate primary versus secondary study endpoints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and their corresponding results.</w:t>
      </w:r>
    </w:p>
    <w:p>
      <w:pPr>
        <w:autoSpaceDN w:val="0"/>
        <w:tabs>
          <w:tab w:pos="1148" w:val="left"/>
        </w:tabs>
        <w:autoSpaceDE w:val="0"/>
        <w:widowControl/>
        <w:spacing w:line="245" w:lineRule="auto" w:before="0" w:after="0"/>
        <w:ind w:left="878" w:right="144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10. Other results/outcomes reported (e.g., quality of life,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assay performance).</w:t>
      </w:r>
    </w:p>
    <w:p>
      <w:pPr>
        <w:autoSpaceDN w:val="0"/>
        <w:autoSpaceDE w:val="0"/>
        <w:widowControl/>
        <w:spacing w:line="223" w:lineRule="auto" w:before="0" w:after="0"/>
        <w:ind w:left="878" w:right="0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>11. Principal findings.</w:t>
      </w:r>
    </w:p>
    <w:p>
      <w:pPr>
        <w:autoSpaceDN w:val="0"/>
        <w:tabs>
          <w:tab w:pos="1148" w:val="left"/>
        </w:tabs>
        <w:autoSpaceDE w:val="0"/>
        <w:widowControl/>
        <w:spacing w:line="245" w:lineRule="auto" w:before="0" w:after="0"/>
        <w:ind w:left="878" w:right="144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12. Statistical significance of outcomes and power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calculations.</w:t>
      </w:r>
    </w:p>
    <w:p>
      <w:pPr>
        <w:autoSpaceDN w:val="0"/>
        <w:autoSpaceDE w:val="0"/>
        <w:widowControl/>
        <w:spacing w:line="245" w:lineRule="auto" w:before="0" w:after="0"/>
        <w:ind w:left="878" w:right="576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13. Validation of outcomes instrument (if applicable). </w:t>
      </w:r>
      <w:r>
        <w:rPr>
          <w:rFonts w:ascii="Lora" w:hAnsi="Lora" w:eastAsia="Lora"/>
          <w:b w:val="0"/>
          <w:i w:val="0"/>
          <w:color w:val="000000"/>
          <w:sz w:val="18"/>
        </w:rPr>
        <w:t>14. Compliance behavior.</w:t>
      </w:r>
    </w:p>
    <w:p>
      <w:pPr>
        <w:autoSpaceDN w:val="0"/>
        <w:autoSpaceDE w:val="0"/>
        <w:widowControl/>
        <w:spacing w:line="223" w:lineRule="auto" w:before="0" w:after="0"/>
        <w:ind w:left="878" w:right="0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>15. Generalizability of the population treated.</w:t>
      </w:r>
    </w:p>
    <w:p>
      <w:pPr>
        <w:autoSpaceDN w:val="0"/>
        <w:autoSpaceDE w:val="0"/>
        <w:widowControl/>
        <w:spacing w:line="223" w:lineRule="auto" w:before="0" w:after="0"/>
        <w:ind w:left="878" w:right="0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>16. Relevance to enrolled populations.</w:t>
      </w:r>
    </w:p>
    <w:p>
      <w:pPr>
        <w:autoSpaceDN w:val="0"/>
        <w:autoSpaceDE w:val="0"/>
        <w:widowControl/>
        <w:spacing w:line="223" w:lineRule="auto" w:before="0" w:after="0"/>
        <w:ind w:left="878" w:right="0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>17. Publication citations/references used.</w:t>
      </w:r>
    </w:p>
    <w:p>
      <w:pPr>
        <w:autoSpaceDN w:val="0"/>
        <w:autoSpaceDE w:val="0"/>
        <w:widowControl/>
        <w:spacing w:line="245" w:lineRule="auto" w:before="0" w:after="0"/>
        <w:ind w:left="1148" w:right="156" w:hanging="270"/>
        <w:jc w:val="both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18. State whether trials or other studies for the product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are registered in a public trial registry and, if so, </w:t>
      </w:r>
      <w:r>
        <w:rPr>
          <w:rFonts w:ascii="Lora" w:hAnsi="Lora" w:eastAsia="Lora"/>
          <w:b w:val="0"/>
          <w:i w:val="0"/>
          <w:color w:val="000000"/>
          <w:sz w:val="18"/>
        </w:rPr>
        <w:t>provide access information (e.g., ClinicalTrials.gov).</w:t>
      </w:r>
    </w:p>
    <w:p>
      <w:pPr>
        <w:autoSpaceDN w:val="0"/>
        <w:autoSpaceDE w:val="0"/>
        <w:widowControl/>
        <w:spacing w:line="424" w:lineRule="exact" w:before="154" w:after="0"/>
        <w:ind w:left="698" w:right="0" w:firstLine="0"/>
        <w:jc w:val="left"/>
      </w:pPr>
      <w:r>
        <w:rPr>
          <w:rFonts w:ascii="Asap" w:hAnsi="Asap" w:eastAsia="Asap"/>
          <w:b/>
          <w:i w:val="0"/>
          <w:color w:val="6C146B"/>
          <w:sz w:val="32"/>
        </w:rPr>
        <w:t>3.0B Clinical Evidence</w:t>
      </w:r>
    </w:p>
    <w:p>
      <w:pPr>
        <w:autoSpaceDN w:val="0"/>
        <w:autoSpaceDE w:val="0"/>
        <w:widowControl/>
        <w:spacing w:line="245" w:lineRule="auto" w:before="98" w:after="0"/>
        <w:ind w:left="698" w:right="156" w:firstLine="0"/>
        <w:jc w:val="both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Section 3.0B should consist of clinical studies that support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the use and value of the product in a  clear and concise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format. </w:t>
      </w:r>
    </w:p>
    <w:p>
      <w:pPr>
        <w:autoSpaceDN w:val="0"/>
        <w:tabs>
          <w:tab w:pos="878" w:val="left"/>
          <w:tab w:pos="1058" w:val="left"/>
        </w:tabs>
        <w:autoSpaceDE w:val="0"/>
        <w:widowControl/>
        <w:spacing w:line="245" w:lineRule="auto" w:before="0" w:after="0"/>
        <w:ind w:left="698" w:right="144" w:firstLine="0"/>
        <w:jc w:val="left"/>
      </w:pP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It is important that Section 3.0B is transparent and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reflects the full body of clinical evidence that exists for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 product. For a new product, available evidence may be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limited to a few studies, and inclusion of all studies in the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dossier is sensible. For a legacy product, there may be a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very large number of studies in the medical literature,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so inclusion of every study may be impractical for both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manufacturers and HCDMs. In such cases, it is important </w:t>
      </w:r>
      <w:r>
        <w:rPr>
          <w:rFonts w:ascii="Lora" w:hAnsi="Lora" w:eastAsia="Lora"/>
          <w:b w:val="0"/>
          <w:i w:val="0"/>
          <w:color w:val="000000"/>
          <w:sz w:val="18"/>
        </w:rPr>
        <w:t>that the manufacturer exhibits transparency and fair repre-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sentation concerning the evidence included in the dossier,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while at the same time providing a dossier that is useful and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manageable for HCDMs. Therefore, it is recommended that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in such cases, the evidence be separated into the following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categories: </w:t>
      </w:r>
      <w:r>
        <w:br/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1. An overview of clinical information should be provided </w:t>
      </w:r>
      <w:r>
        <w:tab/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on the first page of Section 3.0B. </w:t>
      </w:r>
    </w:p>
    <w:p>
      <w:pPr>
        <w:autoSpaceDN w:val="0"/>
        <w:autoSpaceDE w:val="0"/>
        <w:widowControl/>
        <w:spacing w:line="245" w:lineRule="auto" w:before="0" w:after="0"/>
        <w:ind w:left="1058" w:right="144" w:hanging="18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2. Pivotal data, and in some instances other RCTs and/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or real-world evidence, that contribute significantly to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the knowledge base of the product should be included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as </w:t>
      </w:r>
      <w:r>
        <w:rPr>
          <w:rFonts w:ascii="Lora" w:hAnsi="Lora" w:eastAsia="Lora"/>
          <w:b w:val="0"/>
          <w:i/>
          <w:color w:val="000000"/>
          <w:sz w:val="18"/>
        </w:rPr>
        <w:t>study summaries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 (see Section 3.1B) and </w:t>
      </w:r>
      <w:r>
        <w:rPr>
          <w:rFonts w:ascii="Lora" w:hAnsi="Lora" w:eastAsia="Lora"/>
          <w:b w:val="0"/>
          <w:i/>
          <w:color w:val="000000"/>
          <w:sz w:val="18"/>
        </w:rPr>
        <w:t xml:space="preserve">evidence </w:t>
      </w:r>
      <w:r>
        <w:rPr>
          <w:rFonts w:ascii="Lora" w:hAnsi="Lora" w:eastAsia="Lora"/>
          <w:b w:val="0"/>
          <w:i/>
          <w:color w:val="000000"/>
          <w:sz w:val="18"/>
        </w:rPr>
        <w:t>tables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 (see Section 3.2B).</w:t>
      </w:r>
    </w:p>
    <w:p>
      <w:pPr>
        <w:autoSpaceDN w:val="0"/>
        <w:autoSpaceDE w:val="0"/>
        <w:widowControl/>
        <w:spacing w:line="245" w:lineRule="auto" w:before="0" w:after="0"/>
        <w:ind w:left="1058" w:right="158" w:hanging="180"/>
        <w:jc w:val="both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3. Informative but smaller and/or less rigorous studies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that may add to the evidence base should be included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as </w:t>
      </w:r>
      <w:r>
        <w:rPr>
          <w:rFonts w:ascii="Lora" w:hAnsi="Lora" w:eastAsia="Lora"/>
          <w:b w:val="0"/>
          <w:i/>
          <w:color w:val="000000"/>
          <w:sz w:val="18"/>
        </w:rPr>
        <w:t>evidence tables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 (see Section 3.2B) only.</w:t>
      </w:r>
    </w:p>
    <w:p>
      <w:pPr>
        <w:autoSpaceDN w:val="0"/>
        <w:autoSpaceDE w:val="0"/>
        <w:widowControl/>
        <w:spacing w:line="245" w:lineRule="auto" w:before="0" w:after="0"/>
        <w:ind w:left="1058" w:right="156" w:hanging="180"/>
        <w:jc w:val="both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4. All other studies that have been reported but do not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add significantly to the knowledge base of the product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should be identified in a </w:t>
      </w:r>
      <w:r>
        <w:rPr>
          <w:rFonts w:ascii="Lora" w:hAnsi="Lora" w:eastAsia="Lora"/>
          <w:b w:val="0"/>
          <w:i/>
          <w:color w:val="000000"/>
          <w:sz w:val="18"/>
        </w:rPr>
        <w:t>bibliography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 only.</w:t>
      </w:r>
    </w:p>
    <w:p>
      <w:pPr>
        <w:autoSpaceDN w:val="0"/>
        <w:autoSpaceDE w:val="0"/>
        <w:widowControl/>
        <w:spacing w:line="223" w:lineRule="auto" w:before="0" w:after="0"/>
        <w:ind w:left="878" w:right="0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The overview of the information contained in Section </w:t>
      </w:r>
    </w:p>
    <w:p>
      <w:pPr>
        <w:autoSpaceDN w:val="0"/>
        <w:autoSpaceDE w:val="0"/>
        <w:widowControl/>
        <w:spacing w:line="186" w:lineRule="exact" w:before="590" w:after="0"/>
        <w:ind w:left="740" w:right="0" w:firstLine="0"/>
        <w:jc w:val="left"/>
      </w:pPr>
      <w:r>
        <w:rPr>
          <w:rFonts w:ascii="Asap" w:hAnsi="Asap" w:eastAsia="Asap"/>
          <w:b/>
          <w:i w:val="0"/>
          <w:color w:val="14377D"/>
          <w:sz w:val="14"/>
        </w:rPr>
        <w:t>JMCP</w:t>
      </w:r>
      <w:r>
        <w:rPr>
          <w:rFonts w:ascii="Asap" w:hAnsi="Asap" w:eastAsia="Asap"/>
          <w:b w:val="0"/>
          <w:i w:val="0"/>
          <w:color w:val="14377D"/>
          <w:sz w:val="14"/>
        </w:rPr>
        <w:t>.org</w:t>
      </w:r>
      <w:r>
        <w:rPr>
          <w:rFonts w:ascii="Asap" w:hAnsi="Asap" w:eastAsia="Asap"/>
          <w:b w:val="0"/>
          <w:i w:val="0"/>
          <w:color w:val="474C55"/>
          <w:sz w:val="14"/>
        </w:rPr>
        <w:t>|</w:t>
      </w:r>
      <w:r>
        <w:rPr>
          <w:rFonts w:ascii="Asap" w:hAnsi="Asap" w:eastAsia="Asap"/>
          <w:b w:val="0"/>
          <w:i w:val="0"/>
          <w:color w:val="474C55"/>
          <w:sz w:val="14"/>
        </w:rPr>
        <w:t>April 2024</w:t>
      </w:r>
      <w:r>
        <w:rPr>
          <w:rFonts w:ascii="Asap" w:hAnsi="Asap" w:eastAsia="Asap"/>
          <w:b w:val="0"/>
          <w:i w:val="0"/>
          <w:color w:val="474C55"/>
          <w:sz w:val="14"/>
        </w:rPr>
        <w:t>|</w:t>
      </w:r>
      <w:r>
        <w:rPr>
          <w:rFonts w:ascii="Asap" w:hAnsi="Asap" w:eastAsia="Asap"/>
          <w:b w:val="0"/>
          <w:i w:val="0"/>
          <w:color w:val="474C55"/>
          <w:sz w:val="14"/>
        </w:rPr>
        <w:t>Vol. 30, No. 4-B</w:t>
      </w:r>
    </w:p>
    <w:p>
      <w:pPr>
        <w:sectPr>
          <w:type w:val="continuous"/>
          <w:pgSz w:w="11880" w:h="15660"/>
          <w:pgMar w:top="360" w:right="674" w:bottom="266" w:left="0" w:header="720" w:footer="720" w:gutter="0"/>
          <w:cols w:num="2" w:equalWidth="0">
            <w:col w:w="5942" w:space="0"/>
            <w:col w:w="5263" w:space="0"/>
          </w:cols>
          <w:docGrid w:linePitch="360"/>
        </w:sectPr>
      </w:pPr>
    </w:p>
    <w:p>
      <w:pPr>
        <w:autoSpaceDN w:val="0"/>
        <w:autoSpaceDE w:val="0"/>
        <w:widowControl/>
        <w:spacing w:line="245" w:lineRule="auto" w:before="0" w:after="0"/>
        <w:ind w:left="156" w:right="0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3.0B should define a specific set of objective criteria for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inclusion and exclusion of studies and describe how studies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were selected for inclusion and exclusion in this section. </w:t>
      </w:r>
      <w:r>
        <w:rPr>
          <w:rFonts w:ascii="Lora" w:hAnsi="Lora" w:eastAsia="Lora"/>
          <w:b w:val="0"/>
          <w:i w:val="0"/>
          <w:color w:val="000000"/>
          <w:sz w:val="18"/>
        </w:rPr>
        <w:t>Studies excluded do not need to be identified in a bibliogra-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phy. Considerations for establishing inclusion or exclusion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criteria can be based on the study characteristics as is done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in ClinicalTrials.gov. These characteristics include, but are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not limited to, study design, number of participants, and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location of the study. </w:t>
      </w:r>
    </w:p>
    <w:p>
      <w:pPr>
        <w:autoSpaceDN w:val="0"/>
        <w:autoSpaceDE w:val="0"/>
        <w:widowControl/>
        <w:spacing w:line="245" w:lineRule="auto" w:before="0" w:after="0"/>
        <w:ind w:left="156" w:right="20" w:firstLine="180"/>
        <w:jc w:val="both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In this section, the manufacturer should clearly explain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the objective rationale for delineation and assignment of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studies into each of the categories above to avoid selection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bias. Because these definitions may vary depending on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the context of the product, clinical setting, and available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treatment alternatives (e.g., common disorder vs. orphan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disease), the manufacturer should justify how studies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are included (study summaries vs. evidence tables vs. </w:t>
      </w:r>
      <w:r>
        <w:rPr>
          <w:rFonts w:ascii="Lora" w:hAnsi="Lora" w:eastAsia="Lora"/>
          <w:b w:val="0"/>
          <w:i w:val="0"/>
          <w:color w:val="000000"/>
          <w:sz w:val="18"/>
        </w:rPr>
        <w:t>bibliography).</w:t>
      </w:r>
    </w:p>
    <w:p>
      <w:pPr>
        <w:autoSpaceDN w:val="0"/>
        <w:autoSpaceDE w:val="0"/>
        <w:widowControl/>
        <w:spacing w:line="245" w:lineRule="auto" w:before="0" w:after="0"/>
        <w:ind w:left="156" w:right="22" w:firstLine="180"/>
        <w:jc w:val="both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This section should also explain the degree to which study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participants represent the target population as described in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Section 2.2.1B and identify differences that may obscure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translation to real-world effectiveness. </w:t>
      </w:r>
    </w:p>
    <w:p>
      <w:pPr>
        <w:autoSpaceDN w:val="0"/>
        <w:autoSpaceDE w:val="0"/>
        <w:widowControl/>
        <w:spacing w:line="245" w:lineRule="auto" w:before="0" w:after="0"/>
        <w:ind w:left="156" w:right="0" w:firstLine="18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>For clinical trials, the representation of study partic-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ipants to real-world populations should be explained.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Supplemental tables depicting representation are strongly </w:t>
      </w:r>
      <w:r>
        <w:rPr>
          <w:rFonts w:ascii="Lora" w:hAnsi="Lora" w:eastAsia="Lora"/>
          <w:b w:val="0"/>
          <w:i w:val="0"/>
          <w:color w:val="000000"/>
          <w:sz w:val="18"/>
        </w:rPr>
        <w:t>encouraged. Retrospective studies should include sub-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groups disproportionally affected by the health condition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if such data are available, and limitations that erode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generalizability should be disclosed. </w:t>
      </w:r>
    </w:p>
    <w:p>
      <w:pPr>
        <w:autoSpaceDN w:val="0"/>
        <w:tabs>
          <w:tab w:pos="336" w:val="left"/>
          <w:tab w:pos="516" w:val="left"/>
        </w:tabs>
        <w:autoSpaceDE w:val="0"/>
        <w:widowControl/>
        <w:spacing w:line="245" w:lineRule="auto" w:before="0" w:after="0"/>
        <w:ind w:left="156" w:right="0" w:firstLine="0"/>
        <w:jc w:val="left"/>
      </w:pPr>
      <w:r>
        <w:rPr>
          <w:rFonts w:ascii="Lora" w:hAnsi="Lora" w:eastAsia="Lora"/>
          <w:b/>
          <w:i w:val="0"/>
          <w:color w:val="000000"/>
          <w:sz w:val="18"/>
        </w:rPr>
        <w:t>Considerations for Section 3.0B:</w:t>
      </w:r>
      <w:r>
        <w:br/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• The length and level of detail for study summaries and </w:t>
      </w:r>
      <w:r>
        <w:tab/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evidence tables may vary based on the amount of avail-</w:t>
      </w:r>
      <w:r>
        <w:tab/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able data. It must be noted that HCDMs want a concise, </w:t>
      </w:r>
      <w:r>
        <w:tab/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focused, and user-friendly presentation of data. One </w:t>
      </w:r>
      <w:r>
        <w:tab/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of the most common complaints from HCDMs is that </w:t>
      </w:r>
      <w:r>
        <w:tab/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dossiers are too long.</w:t>
      </w:r>
    </w:p>
    <w:p>
      <w:pPr>
        <w:autoSpaceDN w:val="0"/>
        <w:autoSpaceDE w:val="0"/>
        <w:widowControl/>
        <w:spacing w:line="245" w:lineRule="auto" w:before="0" w:after="0"/>
        <w:ind w:left="516" w:right="20" w:hanging="180"/>
        <w:jc w:val="both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• Specific study designs are not prescribed in this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section. Manufacturers should include studies that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generate evidence about clinical outcomes. </w:t>
      </w:r>
    </w:p>
    <w:p>
      <w:pPr>
        <w:autoSpaceDN w:val="0"/>
        <w:autoSpaceDE w:val="0"/>
        <w:widowControl/>
        <w:spacing w:line="245" w:lineRule="auto" w:before="0" w:after="0"/>
        <w:ind w:left="696" w:right="0" w:hanging="180"/>
        <w:jc w:val="left"/>
      </w:pPr>
      <w:r>
        <w:rPr>
          <w:rFonts w:ascii="AppleSymbols" w:hAnsi="AppleSymbols" w:eastAsia="AppleSymbols"/>
          <w:b w:val="0"/>
          <w:i w:val="0"/>
          <w:color w:val="000000"/>
          <w:sz w:val="18"/>
        </w:rPr>
        <w:t>⚬</w:t>
      </w:r>
      <w:r>
        <w:rPr>
          <w:rFonts w:ascii="Lora" w:hAnsi="Lora" w:eastAsia="Lora"/>
          <w:b w:val="0"/>
          <w:i w:val="0"/>
          <w:color w:val="000000"/>
          <w:sz w:val="18"/>
        </w:rPr>
        <w:t>Prospective clinical studies including RCTs, obser-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vational data, registries, real-world evidence, and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other studies that measure clinical endpoints should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generally be included in Section 3.0B. Study results </w:t>
      </w:r>
      <w:r>
        <w:rPr>
          <w:rFonts w:ascii="Lora" w:hAnsi="Lora" w:eastAsia="Lora"/>
          <w:b w:val="0"/>
          <w:i w:val="0"/>
          <w:color w:val="000000"/>
          <w:sz w:val="18"/>
        </w:rPr>
        <w:t>and outcomes may include efficacy, safety, tolerabil-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ity, pharmacokinetics/pharmacodynamics, patient </w:t>
      </w:r>
      <w:r>
        <w:rPr>
          <w:rFonts w:ascii="Lora" w:hAnsi="Lora" w:eastAsia="Lora"/>
          <w:b w:val="0"/>
          <w:i w:val="0"/>
          <w:color w:val="000000"/>
          <w:sz w:val="18"/>
        </w:rPr>
        <w:t>preference, patient adherence, patient-reported out-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comes, quality of life, evidence that identifies patient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subgroups or clinical settings in which the product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may be appropriate or yield varied outcomes, and </w:t>
      </w:r>
      <w:r>
        <w:rPr>
          <w:rFonts w:ascii="Lora" w:hAnsi="Lora" w:eastAsia="Lora"/>
          <w:b w:val="0"/>
          <w:i w:val="0"/>
          <w:color w:val="000000"/>
          <w:sz w:val="18"/>
        </w:rPr>
        <w:t>other clinically related outcomes.</w:t>
      </w:r>
    </w:p>
    <w:p>
      <w:pPr>
        <w:autoSpaceDN w:val="0"/>
        <w:autoSpaceDE w:val="0"/>
        <w:widowControl/>
        <w:spacing w:line="238" w:lineRule="auto" w:before="0" w:after="0"/>
        <w:ind w:left="516" w:right="0" w:firstLine="0"/>
        <w:jc w:val="left"/>
      </w:pPr>
      <w:r>
        <w:rPr>
          <w:rFonts w:ascii="AppleSymbols" w:hAnsi="AppleSymbols" w:eastAsia="AppleSymbols"/>
          <w:b w:val="0"/>
          <w:i w:val="0"/>
          <w:color w:val="000000"/>
          <w:sz w:val="18"/>
        </w:rPr>
        <w:t>⚬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Retrospective studies, including real-world evidence, </w:t>
      </w:r>
    </w:p>
    <w:p>
      <w:pPr>
        <w:sectPr>
          <w:type w:val="nextColumn"/>
          <w:pgSz w:w="11880" w:h="15660"/>
          <w:pgMar w:top="360" w:right="674" w:bottom="266" w:left="0" w:header="720" w:footer="720" w:gutter="0"/>
          <w:cols w:num="2" w:equalWidth="0">
            <w:col w:w="5942" w:space="0"/>
            <w:col w:w="5263" w:space="0"/>
          </w:cols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140.0" w:type="dxa"/>
      </w:tblPr>
      <w:tblGrid>
        <w:gridCol w:w="4770"/>
        <w:gridCol w:w="4770"/>
      </w:tblGrid>
      <w:tr>
        <w:trPr>
          <w:trHeight w:hRule="exact" w:val="362"/>
        </w:trPr>
        <w:tc>
          <w:tcPr>
            <w:tcW w:type="dxa" w:w="574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4" w:after="0"/>
              <w:ind w:left="0" w:right="90" w:firstLine="0"/>
              <w:jc w:val="right"/>
            </w:pPr>
            <w:r>
              <w:rPr>
                <w:rFonts w:ascii="Asap" w:hAnsi="Asap" w:eastAsia="Asap"/>
                <w:b/>
                <w:i w:val="0"/>
                <w:color w:val="474C55"/>
                <w:sz w:val="18"/>
              </w:rPr>
              <w:t>AMCP FORMAT 5.0</w:t>
            </w:r>
          </w:p>
        </w:tc>
        <w:tc>
          <w:tcPr>
            <w:tcW w:type="dxa" w:w="1094"/>
            <w:tcBorders/>
            <w:shd w:fill="6b146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72" w:after="0"/>
              <w:ind w:left="90" w:right="0" w:firstLine="0"/>
              <w:jc w:val="left"/>
            </w:pPr>
            <w:r>
              <w:rPr>
                <w:rFonts w:ascii="Asap" w:hAnsi="Asap" w:eastAsia="Asap"/>
                <w:b/>
                <w:i w:val="0"/>
                <w:color w:val="FFFFFF"/>
                <w:sz w:val="18"/>
              </w:rPr>
              <w:t>33</w:t>
            </w:r>
          </w:p>
        </w:tc>
      </w:tr>
    </w:tbl>
    <w:p>
      <w:pPr>
        <w:autoSpaceDN w:val="0"/>
        <w:autoSpaceDE w:val="0"/>
        <w:widowControl/>
        <w:spacing w:line="14" w:lineRule="exact" w:before="0" w:after="1038"/>
        <w:ind w:left="0" w:right="0"/>
      </w:pPr>
    </w:p>
    <w:p>
      <w:pPr>
        <w:sectPr>
          <w:pgSz w:w="11880" w:h="15660"/>
          <w:pgMar w:top="360" w:right="0" w:bottom="266" w:left="90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45" w:lineRule="auto" w:before="0" w:after="0"/>
        <w:ind w:left="360" w:right="144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supporting the clinical use and clinical value of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the product that are conducted using existing data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from chart reviews, medical and pharmacy claims,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electronic medical records, product and/or disease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registries, patient-generated data including data </w:t>
      </w:r>
      <w:r>
        <w:rPr>
          <w:rFonts w:ascii="Lora" w:hAnsi="Lora" w:eastAsia="Lora"/>
          <w:b w:val="0"/>
          <w:i w:val="0"/>
          <w:color w:val="000000"/>
          <w:sz w:val="18"/>
        </w:rPr>
        <w:t>gathered from other sources such as mobile applica-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tions, or other novel sources of data. Retrospective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studies can be a valuable source of information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about diverse subgroups and therapeutic variability;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however, many measures of diversity such as race, </w:t>
      </w:r>
      <w:r>
        <w:rPr>
          <w:rFonts w:ascii="Lora" w:hAnsi="Lora" w:eastAsia="Lora"/>
          <w:b w:val="0"/>
          <w:i w:val="0"/>
          <w:color w:val="000000"/>
          <w:sz w:val="18"/>
        </w:rPr>
        <w:t>ethnicity, and socioeconomic status are not consis-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tently available in retrospective databases. In cases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where health disparities cannot be examined, the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rationale for omitting this information should be </w:t>
      </w:r>
      <w:r>
        <w:rPr>
          <w:rFonts w:ascii="Lora" w:hAnsi="Lora" w:eastAsia="Lora"/>
          <w:b w:val="0"/>
          <w:i w:val="0"/>
          <w:color w:val="000000"/>
          <w:sz w:val="18"/>
        </w:rPr>
        <w:t>provided.</w:t>
      </w:r>
    </w:p>
    <w:p>
      <w:pPr>
        <w:autoSpaceDN w:val="0"/>
        <w:autoSpaceDE w:val="0"/>
        <w:widowControl/>
        <w:spacing w:line="245" w:lineRule="auto" w:before="0" w:after="0"/>
        <w:ind w:left="360" w:right="156" w:hanging="180"/>
        <w:jc w:val="both"/>
      </w:pPr>
      <w:r>
        <w:rPr>
          <w:rFonts w:ascii="AppleSymbols" w:hAnsi="AppleSymbols" w:eastAsia="AppleSymbols"/>
          <w:b w:val="0"/>
          <w:i w:val="0"/>
          <w:color w:val="000000"/>
          <w:sz w:val="18"/>
        </w:rPr>
        <w:t>⚬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In vitro, animal, and phase 1 studies are generally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not included unless the value proposition is based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on relevant pharmacologic, pharmacodynamics, or </w:t>
      </w:r>
      <w:r>
        <w:rPr>
          <w:rFonts w:ascii="Lora" w:hAnsi="Lora" w:eastAsia="Lora"/>
          <w:b w:val="0"/>
          <w:i w:val="0"/>
          <w:color w:val="000000"/>
          <w:sz w:val="18"/>
        </w:rPr>
        <w:t>pharmacokinetic evidence in these earlier studies.</w:t>
      </w:r>
    </w:p>
    <w:p>
      <w:pPr>
        <w:autoSpaceDN w:val="0"/>
        <w:tabs>
          <w:tab w:pos="180" w:val="left"/>
          <w:tab w:pos="1304" w:val="left"/>
          <w:tab w:pos="1716" w:val="left"/>
          <w:tab w:pos="2742" w:val="left"/>
          <w:tab w:pos="3170" w:val="left"/>
          <w:tab w:pos="4088" w:val="left"/>
        </w:tabs>
        <w:autoSpaceDE w:val="0"/>
        <w:widowControl/>
        <w:spacing w:line="245" w:lineRule="auto" w:before="0" w:after="0"/>
        <w:ind w:left="0" w:right="144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• Studies from peer-reviewed published medical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journals are preferred. When publications are not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available, medical congress abstracts, posters, and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scientific podium presentations can be considered.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Publicly available information from manuscripts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submitted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or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accepted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by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medical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journals,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ClinicalTrials.gov, FDA briefing documents, and manu-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facturers’ data on file can also be used, when applicable.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• Comparative evidence is a necessary component of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 comprehensive product dossier. For this reason, it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is strongly recommended that head-to-head clinical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studies between the product and its primary com-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parators be included in Section 3.0B. In the absence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of head-to-head data, other comparative efficacy and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safety analyses may be considered.</w:t>
      </w:r>
    </w:p>
    <w:p>
      <w:pPr>
        <w:autoSpaceDN w:val="0"/>
        <w:autoSpaceDE w:val="0"/>
        <w:widowControl/>
        <w:spacing w:line="245" w:lineRule="auto" w:before="0" w:after="0"/>
        <w:ind w:left="180" w:right="156" w:hanging="180"/>
        <w:jc w:val="both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• If the results of a trial have been reported in more than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one journal article or conference abstract, poster, or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scientific podium presentation, all may be combined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into one summary and one row of an evidence table,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citing all the sources from which data have been drawn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and clearly stating the total number of participants.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Discuss important study findings and comment on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their implications for different patient populations. </w:t>
      </w:r>
    </w:p>
    <w:p>
      <w:pPr>
        <w:autoSpaceDN w:val="0"/>
        <w:autoSpaceDE w:val="0"/>
        <w:widowControl/>
        <w:spacing w:line="245" w:lineRule="auto" w:before="0" w:after="0"/>
        <w:ind w:left="180" w:right="144" w:hanging="18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• Potential off-label uses are of significant interest to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HCDMs. As such, clinical studies involving off-label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uses should be included in dossiers. Manufacturers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should clearly delineate evidence for on- and off-label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uses (i.e., organize and report on-label indications and </w:t>
      </w:r>
      <w:r>
        <w:rPr>
          <w:rFonts w:ascii="Lora" w:hAnsi="Lora" w:eastAsia="Lora"/>
          <w:b w:val="0"/>
          <w:i w:val="0"/>
          <w:color w:val="000000"/>
          <w:sz w:val="18"/>
        </w:rPr>
        <w:t>information first and off-label after). If data regard-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ing off-label use have been submitted to the FDA for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approval but the FDA decision was to deny the approval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of the proposed new indication, then the FDA decision </w:t>
      </w:r>
    </w:p>
    <w:p>
      <w:pPr>
        <w:sectPr>
          <w:type w:val="continuous"/>
          <w:pgSz w:w="11880" w:h="15660"/>
          <w:pgMar w:top="360" w:right="0" w:bottom="266" w:left="900" w:header="720" w:footer="720" w:gutter="0"/>
          <w:cols w:num="2" w:equalWidth="0">
            <w:col w:w="5064" w:space="0"/>
            <w:col w:w="5916" w:space="0"/>
          </w:cols>
          <w:docGrid w:linePitch="360"/>
        </w:sectPr>
      </w:pPr>
    </w:p>
    <w:p>
      <w:pPr>
        <w:autoSpaceDN w:val="0"/>
        <w:autoSpaceDE w:val="0"/>
        <w:widowControl/>
        <w:spacing w:line="223" w:lineRule="auto" w:before="0" w:after="0"/>
        <w:ind w:left="516" w:right="0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>should be briefly summarized.</w:t>
      </w:r>
    </w:p>
    <w:p>
      <w:pPr>
        <w:autoSpaceDN w:val="0"/>
        <w:autoSpaceDE w:val="0"/>
        <w:widowControl/>
        <w:spacing w:line="245" w:lineRule="auto" w:before="0" w:after="0"/>
        <w:ind w:left="516" w:right="672" w:hanging="180"/>
        <w:jc w:val="both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• For products with more than one approved indication,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the pharmaceutical manufacturer should decide how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studies for labeled indications should be presented. If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the manufacturer decides to have separate dossiers for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each approved indication, those requesting dossiers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must be apprised of the existence of more than one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dossier, and that each can only be supplied pursuant to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an unsolicited request. In all cases, however, all studies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for a given indication should be grouped together in </w:t>
      </w:r>
      <w:r>
        <w:rPr>
          <w:rFonts w:ascii="Lora" w:hAnsi="Lora" w:eastAsia="Lora"/>
          <w:b w:val="0"/>
          <w:i w:val="0"/>
          <w:color w:val="000000"/>
          <w:sz w:val="18"/>
        </w:rPr>
        <w:t>the dossier.</w:t>
      </w:r>
    </w:p>
    <w:p>
      <w:pPr>
        <w:autoSpaceDN w:val="0"/>
        <w:autoSpaceDE w:val="0"/>
        <w:widowControl/>
        <w:spacing w:line="245" w:lineRule="auto" w:before="0" w:after="0"/>
        <w:ind w:left="516" w:right="576" w:hanging="18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>• For pharmaceuticals designated by the FDA as “break-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through drugs,” evidentiary reporting requirements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are the same as for other drugs. For biosimilars, basic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evidentiary needs are the same as for “traditional” and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“specialty” pharmaceuticals. While it is recognized that </w:t>
      </w:r>
      <w:r>
        <w:rPr>
          <w:rFonts w:ascii="Lora" w:hAnsi="Lora" w:eastAsia="Lora"/>
          <w:b w:val="0"/>
          <w:i w:val="0"/>
          <w:color w:val="000000"/>
          <w:sz w:val="18"/>
        </w:rPr>
        <w:t>trials dealing with interchangeability, dosing equiva-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lency, and comparison with innovator agents, etc., are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especially important, all relevant trials dealing with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biosimilars should be reported, since there is often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limited data available for such products, and HCDMs </w:t>
      </w:r>
      <w:r>
        <w:rPr>
          <w:rFonts w:ascii="Lora" w:hAnsi="Lora" w:eastAsia="Lora"/>
          <w:b w:val="0"/>
          <w:i w:val="0"/>
          <w:color w:val="000000"/>
          <w:sz w:val="18"/>
        </w:rPr>
        <w:t>need access to all relevant evidence and data.</w:t>
      </w:r>
    </w:p>
    <w:p>
      <w:pPr>
        <w:autoSpaceDN w:val="0"/>
        <w:tabs>
          <w:tab w:pos="516" w:val="left"/>
        </w:tabs>
        <w:autoSpaceDE w:val="0"/>
        <w:widowControl/>
        <w:spacing w:line="245" w:lineRule="auto" w:before="0" w:after="0"/>
        <w:ind w:left="336" w:right="576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• Data summarized in Section 3.0B should not be restated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in Section 5.0B.</w:t>
      </w:r>
    </w:p>
    <w:p>
      <w:pPr>
        <w:autoSpaceDN w:val="0"/>
        <w:tabs>
          <w:tab w:pos="336" w:val="left"/>
          <w:tab w:pos="606" w:val="left"/>
          <w:tab w:pos="876" w:val="left"/>
        </w:tabs>
        <w:autoSpaceDE w:val="0"/>
        <w:widowControl/>
        <w:spacing w:line="242" w:lineRule="exact" w:before="220" w:after="0"/>
        <w:ind w:left="156" w:right="576" w:firstLine="0"/>
        <w:jc w:val="left"/>
      </w:pPr>
      <w:r>
        <w:rPr>
          <w:rFonts w:ascii="Asap" w:hAnsi="Asap" w:eastAsia="Asap"/>
          <w:b/>
          <w:i w:val="0"/>
          <w:color w:val="14377D"/>
          <w:sz w:val="20"/>
        </w:rPr>
        <w:t xml:space="preserve">3.1B </w:t>
      </w:r>
      <w:r>
        <w:tab/>
      </w:r>
      <w:r>
        <w:tab/>
      </w:r>
      <w:r>
        <w:rPr>
          <w:rFonts w:ascii="Asap" w:hAnsi="Asap" w:eastAsia="Asap"/>
          <w:b/>
          <w:i w:val="0"/>
          <w:color w:val="14377D"/>
          <w:sz w:val="20"/>
        </w:rPr>
        <w:t xml:space="preserve">STUDY SUMMARIES 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The recommended length of each study summary is five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pages (maximum ten). Study summaries should include the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following items where available and applicable: </w:t>
      </w:r>
      <w:r>
        <w:br/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1. Publication citations, study name, ClinicalTrials.gov </w:t>
      </w:r>
      <w:r>
        <w:tab/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ID number, sponsor, or funding source.</w:t>
      </w:r>
    </w:p>
    <w:p>
      <w:pPr>
        <w:autoSpaceDN w:val="0"/>
        <w:tabs>
          <w:tab w:pos="606" w:val="left"/>
        </w:tabs>
        <w:autoSpaceDE w:val="0"/>
        <w:widowControl/>
        <w:spacing w:line="245" w:lineRule="auto" w:before="0" w:after="0"/>
        <w:ind w:left="336" w:right="576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2. Objective, location, and study start and completion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dates.</w:t>
      </w:r>
    </w:p>
    <w:p>
      <w:pPr>
        <w:autoSpaceDN w:val="0"/>
        <w:autoSpaceDE w:val="0"/>
        <w:widowControl/>
        <w:spacing w:line="245" w:lineRule="auto" w:before="0" w:after="0"/>
        <w:ind w:left="336" w:right="720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3. Trial design, randomization, and blinding procedures. </w:t>
      </w:r>
      <w:r>
        <w:rPr>
          <w:rFonts w:ascii="Lora" w:hAnsi="Lora" w:eastAsia="Lora"/>
          <w:b w:val="0"/>
          <w:i w:val="0"/>
          <w:color w:val="000000"/>
          <w:sz w:val="18"/>
        </w:rPr>
        <w:t>4. Setting, inclusion, and exclusion criteria.</w:t>
      </w:r>
    </w:p>
    <w:p>
      <w:pPr>
        <w:autoSpaceDN w:val="0"/>
        <w:autoSpaceDE w:val="0"/>
        <w:widowControl/>
        <w:spacing w:line="223" w:lineRule="auto" w:before="0" w:after="0"/>
        <w:ind w:left="336" w:right="0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>5. Baseline patient characteristics and demographics.</w:t>
      </w:r>
    </w:p>
    <w:p>
      <w:pPr>
        <w:autoSpaceDN w:val="0"/>
        <w:tabs>
          <w:tab w:pos="606" w:val="left"/>
        </w:tabs>
        <w:autoSpaceDE w:val="0"/>
        <w:widowControl/>
        <w:spacing w:line="245" w:lineRule="auto" w:before="0" w:after="0"/>
        <w:ind w:left="336" w:right="720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>6. Drop-out rates and procedures for handling drop-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outs (e.g., ITT, per protocol).</w:t>
      </w:r>
    </w:p>
    <w:p>
      <w:pPr>
        <w:autoSpaceDN w:val="0"/>
        <w:autoSpaceDE w:val="0"/>
        <w:widowControl/>
        <w:spacing w:line="245" w:lineRule="auto" w:before="0" w:after="0"/>
        <w:ind w:left="606" w:right="672" w:hanging="270"/>
        <w:jc w:val="both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7. Treatments and interventions, dosage regimens,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washout period, concomitant therapies, and relevant </w:t>
      </w:r>
      <w:r>
        <w:rPr>
          <w:rFonts w:ascii="Lora" w:hAnsi="Lora" w:eastAsia="Lora"/>
          <w:b w:val="0"/>
          <w:i w:val="0"/>
          <w:color w:val="000000"/>
          <w:sz w:val="18"/>
        </w:rPr>
        <w:t>pre/post-protocol care, etc.</w:t>
      </w:r>
    </w:p>
    <w:p>
      <w:pPr>
        <w:autoSpaceDN w:val="0"/>
        <w:tabs>
          <w:tab w:pos="606" w:val="left"/>
          <w:tab w:pos="1406" w:val="left"/>
          <w:tab w:pos="2598" w:val="left"/>
          <w:tab w:pos="3512" w:val="left"/>
          <w:tab w:pos="4280" w:val="left"/>
        </w:tabs>
        <w:autoSpaceDE w:val="0"/>
        <w:widowControl/>
        <w:spacing w:line="245" w:lineRule="auto" w:before="0" w:after="0"/>
        <w:ind w:left="336" w:right="576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>8. Clinical outcome(s) evaluated, measured, and col-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lected,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delineating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primary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versus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secondary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endpoints as well as pre-specified versus post hoc.</w:t>
      </w:r>
    </w:p>
    <w:p>
      <w:pPr>
        <w:autoSpaceDN w:val="0"/>
        <w:autoSpaceDE w:val="0"/>
        <w:widowControl/>
        <w:spacing w:line="245" w:lineRule="auto" w:before="0" w:after="0"/>
        <w:ind w:left="606" w:right="672" w:hanging="270"/>
        <w:jc w:val="both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9. Measures of effect (e.g., risk difference, risk ratio, odds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ratio, number needed to treat), statistical significance </w:t>
      </w:r>
      <w:r>
        <w:rPr>
          <w:rFonts w:ascii="Lora" w:hAnsi="Lora" w:eastAsia="Lora"/>
          <w:b w:val="0"/>
          <w:i w:val="0"/>
          <w:color w:val="000000"/>
          <w:sz w:val="18"/>
        </w:rPr>
        <w:t>of outcomes, and power calculations.</w:t>
      </w:r>
    </w:p>
    <w:p>
      <w:pPr>
        <w:autoSpaceDN w:val="0"/>
        <w:autoSpaceDE w:val="0"/>
        <w:widowControl/>
        <w:spacing w:line="221" w:lineRule="auto" w:before="0" w:after="0"/>
        <w:ind w:left="336" w:right="0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>10. Validation of outcomes instruments, if applicable.</w:t>
      </w:r>
    </w:p>
    <w:p>
      <w:pPr>
        <w:autoSpaceDN w:val="0"/>
        <w:autoSpaceDE w:val="0"/>
        <w:widowControl/>
        <w:spacing w:line="221" w:lineRule="auto" w:before="0" w:after="0"/>
        <w:ind w:left="336" w:right="0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>11. Generalizability of the population treated.</w:t>
      </w:r>
    </w:p>
    <w:p>
      <w:pPr>
        <w:autoSpaceDN w:val="0"/>
        <w:autoSpaceDE w:val="0"/>
        <w:widowControl/>
        <w:spacing w:line="221" w:lineRule="auto" w:before="0" w:after="0"/>
        <w:ind w:left="336" w:right="0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>12. Study limitations, as stated by the authors.</w:t>
      </w:r>
    </w:p>
    <w:p>
      <w:pPr>
        <w:autoSpaceDN w:val="0"/>
        <w:autoSpaceDE w:val="0"/>
        <w:widowControl/>
        <w:spacing w:line="186" w:lineRule="exact" w:before="808" w:after="0"/>
        <w:ind w:left="0" w:right="742" w:firstLine="0"/>
        <w:jc w:val="right"/>
      </w:pPr>
      <w:r>
        <w:rPr>
          <w:rFonts w:ascii="Asap" w:hAnsi="Asap" w:eastAsia="Asap"/>
          <w:b w:val="0"/>
          <w:i w:val="0"/>
          <w:color w:val="474C55"/>
          <w:sz w:val="14"/>
        </w:rPr>
        <w:t>Vol. 30, No. 4-b</w:t>
      </w:r>
      <w:r>
        <w:rPr>
          <w:rFonts w:ascii="Asap" w:hAnsi="Asap" w:eastAsia="Asap"/>
          <w:b w:val="0"/>
          <w:i w:val="0"/>
          <w:color w:val="474C55"/>
          <w:sz w:val="14"/>
        </w:rPr>
        <w:t>|</w:t>
      </w:r>
      <w:r>
        <w:rPr>
          <w:rFonts w:ascii="Asap" w:hAnsi="Asap" w:eastAsia="Asap"/>
          <w:b w:val="0"/>
          <w:i w:val="0"/>
          <w:color w:val="474C55"/>
          <w:sz w:val="14"/>
        </w:rPr>
        <w:t>April 2024</w:t>
      </w:r>
      <w:r>
        <w:rPr>
          <w:rFonts w:ascii="Asap" w:hAnsi="Asap" w:eastAsia="Asap"/>
          <w:b w:val="0"/>
          <w:i w:val="0"/>
          <w:color w:val="474C55"/>
          <w:sz w:val="14"/>
        </w:rPr>
        <w:t>|</w:t>
      </w:r>
      <w:r>
        <w:rPr>
          <w:rFonts w:ascii="Asap" w:hAnsi="Asap" w:eastAsia="Asap"/>
          <w:b/>
          <w:i w:val="0"/>
          <w:color w:val="14377D"/>
          <w:sz w:val="14"/>
        </w:rPr>
        <w:t xml:space="preserve"> JMCP</w:t>
      </w:r>
      <w:r>
        <w:rPr>
          <w:rFonts w:ascii="Asap" w:hAnsi="Asap" w:eastAsia="Asap"/>
          <w:b w:val="0"/>
          <w:i w:val="0"/>
          <w:color w:val="14377D"/>
          <w:sz w:val="14"/>
        </w:rPr>
        <w:t>.org</w:t>
      </w:r>
    </w:p>
    <w:p>
      <w:pPr>
        <w:sectPr>
          <w:type w:val="nextColumn"/>
          <w:pgSz w:w="11880" w:h="15660"/>
          <w:pgMar w:top="360" w:right="0" w:bottom="266" w:left="900" w:header="720" w:footer="720" w:gutter="0"/>
          <w:cols w:num="2" w:equalWidth="0">
            <w:col w:w="5064" w:space="0"/>
            <w:col w:w="5916" w:space="0"/>
          </w:cols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883"/>
        <w:gridCol w:w="4883"/>
      </w:tblGrid>
      <w:tr>
        <w:trPr>
          <w:trHeight w:hRule="exact" w:val="362"/>
        </w:trPr>
        <w:tc>
          <w:tcPr>
            <w:tcW w:type="dxa" w:w="1094"/>
            <w:tcBorders/>
            <w:shd w:fill="6b146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4" w:after="0"/>
              <w:ind w:left="0" w:right="90" w:firstLine="0"/>
              <w:jc w:val="right"/>
            </w:pPr>
            <w:r>
              <w:rPr>
                <w:rFonts w:ascii="Asap" w:hAnsi="Asap" w:eastAsia="Asap"/>
                <w:b/>
                <w:i w:val="0"/>
                <w:color w:val="FFFFFF"/>
                <w:sz w:val="18"/>
              </w:rPr>
              <w:t>34</w:t>
            </w:r>
          </w:p>
        </w:tc>
        <w:tc>
          <w:tcPr>
            <w:tcW w:type="dxa" w:w="584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4" w:after="0"/>
              <w:ind w:left="90" w:right="0" w:firstLine="0"/>
              <w:jc w:val="left"/>
            </w:pPr>
            <w:r>
              <w:rPr>
                <w:rFonts w:ascii="Asap" w:hAnsi="Asap" w:eastAsia="Asap"/>
                <w:b/>
                <w:i w:val="0"/>
                <w:color w:val="474C55"/>
                <w:sz w:val="18"/>
              </w:rPr>
              <w:t>AMCP FORMAT 5.0</w:t>
            </w:r>
          </w:p>
        </w:tc>
      </w:tr>
    </w:tbl>
    <w:p>
      <w:pPr>
        <w:autoSpaceDN w:val="0"/>
        <w:autoSpaceDE w:val="0"/>
        <w:widowControl/>
        <w:spacing w:line="14" w:lineRule="exact" w:before="0" w:after="1032"/>
        <w:ind w:left="0" w:right="0"/>
      </w:pPr>
    </w:p>
    <w:p>
      <w:pPr>
        <w:sectPr>
          <w:pgSz w:w="11880" w:h="15660"/>
          <w:pgMar w:top="360" w:right="674" w:bottom="266" w:left="0" w:header="720" w:footer="720" w:gutter="0"/>
          <w:cols/>
          <w:docGrid w:linePitch="360"/>
        </w:sectPr>
      </w:pPr>
    </w:p>
    <w:p>
      <w:pPr>
        <w:autoSpaceDN w:val="0"/>
        <w:tabs>
          <w:tab w:pos="878" w:val="left"/>
          <w:tab w:pos="1058" w:val="left"/>
          <w:tab w:pos="1418" w:val="left"/>
        </w:tabs>
        <w:autoSpaceDE w:val="0"/>
        <w:widowControl/>
        <w:spacing w:line="240" w:lineRule="exact" w:before="26" w:after="0"/>
        <w:ind w:left="698" w:right="144" w:firstLine="0"/>
        <w:jc w:val="left"/>
      </w:pPr>
      <w:r>
        <w:rPr>
          <w:rFonts w:ascii="Asap" w:hAnsi="Asap" w:eastAsia="Asap"/>
          <w:b/>
          <w:i w:val="0"/>
          <w:color w:val="14377D"/>
          <w:sz w:val="20"/>
        </w:rPr>
        <w:t xml:space="preserve">3.2B </w:t>
      </w:r>
      <w:r>
        <w:tab/>
      </w:r>
      <w:r>
        <w:rPr>
          <w:rFonts w:ascii="Asap" w:hAnsi="Asap" w:eastAsia="Asap"/>
          <w:b/>
          <w:i w:val="0"/>
          <w:color w:val="14377D"/>
          <w:sz w:val="20"/>
        </w:rPr>
        <w:t xml:space="preserve">EVIDENCE TABLES 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The recommended length of a row in the evidence table is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less than one page (maximum two) for each study.  Evidence </w:t>
      </w:r>
      <w:r>
        <w:rPr>
          <w:rFonts w:ascii="Lora" w:hAnsi="Lora" w:eastAsia="Lora"/>
          <w:b w:val="0"/>
          <w:i w:val="0"/>
          <w:color w:val="000000"/>
          <w:sz w:val="18"/>
        </w:rPr>
        <w:t>tables should include the following data elements:</w:t>
      </w:r>
      <w:r>
        <w:br/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• Citation (if unpublished, give abstract information or </w:t>
      </w:r>
      <w:r>
        <w:tab/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indicate “data on file”)</w:t>
      </w:r>
      <w:r>
        <w:br/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• Treatments</w:t>
      </w:r>
      <w:r>
        <w:br/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• Sample size and length of follow-up</w:t>
      </w:r>
      <w:r>
        <w:br/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• Inclusion and exclusion criteria</w:t>
      </w:r>
      <w:r>
        <w:br/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• Design</w:t>
      </w:r>
      <w:r>
        <w:br/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• Primary endpoints</w:t>
      </w:r>
      <w:r>
        <w:br/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• Secondary endpoints</w:t>
      </w:r>
      <w:r>
        <w:br/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• Results (provide an explicit statement of effect size, not </w:t>
      </w:r>
      <w:r>
        <w:tab/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just relative risk reduction and statistical significance. </w:t>
      </w:r>
    </w:p>
    <w:p>
      <w:pPr>
        <w:autoSpaceDN w:val="0"/>
        <w:tabs>
          <w:tab w:pos="878" w:val="left"/>
          <w:tab w:pos="1058" w:val="left"/>
        </w:tabs>
        <w:autoSpaceDE w:val="0"/>
        <w:widowControl/>
        <w:spacing w:line="245" w:lineRule="auto" w:before="0" w:after="0"/>
        <w:ind w:left="698" w:right="144" w:firstLine="0"/>
        <w:jc w:val="left"/>
      </w:pPr>
      <w:r>
        <w:tab/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Within the Results column, include a table of key </w:t>
      </w:r>
      <w:r>
        <w:tab/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results)</w:t>
      </w:r>
      <w:r>
        <w:br/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• Statistical significance (e.g., p-value and confidence </w:t>
      </w:r>
      <w:r>
        <w:tab/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interval) </w:t>
      </w:r>
      <w:r>
        <w:br/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It may be helpful to display evidence tables in landscape </w:t>
      </w:r>
      <w:r>
        <w:rPr>
          <w:rFonts w:ascii="Lora" w:hAnsi="Lora" w:eastAsia="Lora"/>
          <w:b w:val="0"/>
          <w:i w:val="0"/>
          <w:color w:val="000000"/>
          <w:sz w:val="18"/>
        </w:rPr>
        <w:t>rather than portrait formats with appropriate use of abbre-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viations and other acceptable ways to display data in a clear, </w:t>
      </w:r>
      <w:r>
        <w:rPr>
          <w:rFonts w:ascii="Lora" w:hAnsi="Lora" w:eastAsia="Lora"/>
          <w:b w:val="0"/>
          <w:i w:val="0"/>
          <w:color w:val="000000"/>
          <w:sz w:val="18"/>
        </w:rPr>
        <w:t>objective, and concise way.</w:t>
      </w:r>
    </w:p>
    <w:p>
      <w:pPr>
        <w:autoSpaceDN w:val="0"/>
        <w:autoSpaceDE w:val="0"/>
        <w:widowControl/>
        <w:spacing w:line="360" w:lineRule="exact" w:before="218" w:after="0"/>
        <w:ind w:left="698" w:right="1584" w:firstLine="0"/>
        <w:jc w:val="left"/>
      </w:pPr>
      <w:r>
        <w:rPr>
          <w:rFonts w:ascii="Asap" w:hAnsi="Asap" w:eastAsia="Asap"/>
          <w:b/>
          <w:i w:val="0"/>
          <w:color w:val="6C146B"/>
          <w:sz w:val="32"/>
        </w:rPr>
        <w:t xml:space="preserve">4.0B Economic Value and </w:t>
      </w:r>
      <w:r>
        <w:rPr>
          <w:rFonts w:ascii="Asap" w:hAnsi="Asap" w:eastAsia="Asap"/>
          <w:b/>
          <w:i w:val="0"/>
          <w:color w:val="6C146B"/>
          <w:sz w:val="32"/>
        </w:rPr>
        <w:t>Modeling Report</w:t>
      </w:r>
    </w:p>
    <w:p>
      <w:pPr>
        <w:autoSpaceDN w:val="0"/>
        <w:autoSpaceDE w:val="0"/>
        <w:widowControl/>
        <w:spacing w:line="245" w:lineRule="auto" w:before="98" w:after="0"/>
        <w:ind w:left="698" w:right="144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The recommended length of Section 4.0B is 12 pages </w:t>
      </w:r>
      <w:r>
        <w:rPr>
          <w:rFonts w:ascii="Lora" w:hAnsi="Lora" w:eastAsia="Lora"/>
          <w:b w:val="0"/>
          <w:i w:val="0"/>
          <w:color w:val="000000"/>
          <w:sz w:val="18"/>
        </w:rPr>
        <w:t>(maximum 20) for each model.</w:t>
      </w:r>
    </w:p>
    <w:p>
      <w:pPr>
        <w:autoSpaceDN w:val="0"/>
        <w:tabs>
          <w:tab w:pos="1418" w:val="left"/>
        </w:tabs>
        <w:autoSpaceDE w:val="0"/>
        <w:widowControl/>
        <w:spacing w:line="242" w:lineRule="exact" w:before="218" w:after="0"/>
        <w:ind w:left="698" w:right="144" w:firstLine="0"/>
        <w:jc w:val="left"/>
      </w:pPr>
      <w:r>
        <w:rPr>
          <w:rFonts w:ascii="Asap" w:hAnsi="Asap" w:eastAsia="Asap"/>
          <w:b/>
          <w:i w:val="0"/>
          <w:color w:val="14377D"/>
          <w:sz w:val="20"/>
        </w:rPr>
        <w:t xml:space="preserve">4.1B </w:t>
      </w:r>
      <w:r>
        <w:tab/>
      </w:r>
      <w:r>
        <w:rPr>
          <w:rFonts w:ascii="Asap" w:hAnsi="Asap" w:eastAsia="Asap"/>
          <w:b/>
          <w:i w:val="0"/>
          <w:color w:val="14377D"/>
          <w:sz w:val="20"/>
        </w:rPr>
        <w:t xml:space="preserve">MODELING OVERVIEW 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This section presents an overview of the rationale, approach,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and suggested methods for developing economic models.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The intent of the model is to quantify for the HCDM the </w:t>
      </w:r>
      <w:r>
        <w:rPr>
          <w:rFonts w:ascii="Lora" w:hAnsi="Lora" w:eastAsia="Lora"/>
          <w:b w:val="0"/>
          <w:i w:val="0"/>
          <w:color w:val="000000"/>
          <w:sz w:val="18"/>
        </w:rPr>
        <w:t>risk-benefit trade-off of the product and its economic value.</w:t>
      </w:r>
    </w:p>
    <w:p>
      <w:pPr>
        <w:autoSpaceDN w:val="0"/>
        <w:tabs>
          <w:tab w:pos="1058" w:val="left"/>
        </w:tabs>
        <w:autoSpaceDE w:val="0"/>
        <w:widowControl/>
        <w:spacing w:line="240" w:lineRule="exact" w:before="88" w:after="0"/>
        <w:ind w:left="878" w:right="144" w:firstLine="0"/>
        <w:jc w:val="left"/>
      </w:pPr>
      <w:r>
        <w:rPr>
          <w:rFonts w:ascii="Asap" w:hAnsi="Asap" w:eastAsia="Asap"/>
          <w:b/>
          <w:i w:val="0"/>
          <w:color w:val="007EC5"/>
          <w:sz w:val="18"/>
        </w:rPr>
        <w:t xml:space="preserve">4.1.1B USE OF MODELING FOR DECISION-MAKING 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Available data on the clinical benefits and harms and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economic impact of the product under consideration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are provided in Sections 3.0B and 5.0B of the Approved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Product Dossier and are the core of evidence-based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decision-making. Most of the source data for models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are in Section 3.0B, whereas Section 5.0B contains data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from external sources such as clinical practice guidelines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and prior HTAs. Additional data may exist in the form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of real-world evidence which may also provide source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information for economic modeling. These data, however,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may have important limitations for decision-making. For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example: 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1. RCTs may not include all relevant comparator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interventions.</w:t>
      </w:r>
    </w:p>
    <w:p>
      <w:pPr>
        <w:autoSpaceDN w:val="0"/>
        <w:autoSpaceDE w:val="0"/>
        <w:widowControl/>
        <w:spacing w:line="221" w:lineRule="auto" w:before="0" w:after="0"/>
        <w:ind w:left="878" w:right="0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>2. The duration of follow-up in RCTs may be limited.</w:t>
      </w:r>
    </w:p>
    <w:p>
      <w:pPr>
        <w:autoSpaceDN w:val="0"/>
        <w:autoSpaceDE w:val="0"/>
        <w:widowControl/>
        <w:spacing w:line="186" w:lineRule="exact" w:before="608" w:after="0"/>
        <w:ind w:left="740" w:right="0" w:firstLine="0"/>
        <w:jc w:val="left"/>
      </w:pPr>
      <w:r>
        <w:rPr>
          <w:rFonts w:ascii="Asap" w:hAnsi="Asap" w:eastAsia="Asap"/>
          <w:b/>
          <w:i w:val="0"/>
          <w:color w:val="14377D"/>
          <w:sz w:val="14"/>
        </w:rPr>
        <w:t>JMCP</w:t>
      </w:r>
      <w:r>
        <w:rPr>
          <w:rFonts w:ascii="Asap" w:hAnsi="Asap" w:eastAsia="Asap"/>
          <w:b w:val="0"/>
          <w:i w:val="0"/>
          <w:color w:val="14377D"/>
          <w:sz w:val="14"/>
        </w:rPr>
        <w:t>.org</w:t>
      </w:r>
      <w:r>
        <w:rPr>
          <w:rFonts w:ascii="Asap" w:hAnsi="Asap" w:eastAsia="Asap"/>
          <w:b w:val="0"/>
          <w:i w:val="0"/>
          <w:color w:val="474C55"/>
          <w:sz w:val="14"/>
        </w:rPr>
        <w:t>|</w:t>
      </w:r>
      <w:r>
        <w:rPr>
          <w:rFonts w:ascii="Asap" w:hAnsi="Asap" w:eastAsia="Asap"/>
          <w:b w:val="0"/>
          <w:i w:val="0"/>
          <w:color w:val="474C55"/>
          <w:sz w:val="14"/>
        </w:rPr>
        <w:t>April 2024</w:t>
      </w:r>
      <w:r>
        <w:rPr>
          <w:rFonts w:ascii="Asap" w:hAnsi="Asap" w:eastAsia="Asap"/>
          <w:b w:val="0"/>
          <w:i w:val="0"/>
          <w:color w:val="474C55"/>
          <w:sz w:val="14"/>
        </w:rPr>
        <w:t>|</w:t>
      </w:r>
      <w:r>
        <w:rPr>
          <w:rFonts w:ascii="Asap" w:hAnsi="Asap" w:eastAsia="Asap"/>
          <w:b w:val="0"/>
          <w:i w:val="0"/>
          <w:color w:val="474C55"/>
          <w:sz w:val="14"/>
        </w:rPr>
        <w:t>Vol. 30, No. 4-B</w:t>
      </w:r>
    </w:p>
    <w:p>
      <w:pPr>
        <w:sectPr>
          <w:type w:val="continuous"/>
          <w:pgSz w:w="11880" w:h="15660"/>
          <w:pgMar w:top="360" w:right="674" w:bottom="266" w:left="0" w:header="720" w:footer="720" w:gutter="0"/>
          <w:cols w:num="2" w:equalWidth="0">
            <w:col w:w="6032" w:space="0"/>
            <w:col w:w="5173" w:space="0"/>
          </w:cols>
          <w:docGrid w:linePitch="360"/>
        </w:sectPr>
      </w:pPr>
    </w:p>
    <w:p>
      <w:pPr>
        <w:autoSpaceDN w:val="0"/>
        <w:tabs>
          <w:tab w:pos="426" w:val="left"/>
        </w:tabs>
        <w:autoSpaceDE w:val="0"/>
        <w:widowControl/>
        <w:spacing w:line="245" w:lineRule="auto" w:before="0" w:after="0"/>
        <w:ind w:left="246" w:right="0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3. RCTs may not have collected all necessary data for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economic evaluation.</w:t>
      </w:r>
    </w:p>
    <w:p>
      <w:pPr>
        <w:autoSpaceDN w:val="0"/>
        <w:tabs>
          <w:tab w:pos="426" w:val="left"/>
        </w:tabs>
        <w:autoSpaceDE w:val="0"/>
        <w:widowControl/>
        <w:spacing w:line="245" w:lineRule="auto" w:before="0" w:after="0"/>
        <w:ind w:left="246" w:right="0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4. Patient populations in RCTs may not be representative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of plan populations or patient subgroups.</w:t>
      </w:r>
    </w:p>
    <w:p>
      <w:pPr>
        <w:autoSpaceDN w:val="0"/>
        <w:tabs>
          <w:tab w:pos="426" w:val="left"/>
        </w:tabs>
        <w:autoSpaceDE w:val="0"/>
        <w:widowControl/>
        <w:spacing w:line="245" w:lineRule="auto" w:before="0" w:after="0"/>
        <w:ind w:left="246" w:right="0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5. Safety data may be limited or from disparate sources.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6. Health care costs may not be generalizable across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HCDMs.</w:t>
      </w:r>
    </w:p>
    <w:p>
      <w:pPr>
        <w:autoSpaceDN w:val="0"/>
        <w:autoSpaceDE w:val="0"/>
        <w:widowControl/>
        <w:spacing w:line="245" w:lineRule="auto" w:before="0" w:after="0"/>
        <w:ind w:left="426" w:right="20" w:hanging="180"/>
        <w:jc w:val="both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7. Real-world evidence may be less precisely collected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than RCT data, with potential discrepancies in data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based on the data source (medical study registry data </w:t>
      </w:r>
      <w:r>
        <w:rPr>
          <w:rFonts w:ascii="Lora" w:hAnsi="Lora" w:eastAsia="Lora"/>
          <w:b w:val="0"/>
          <w:i w:val="0"/>
          <w:color w:val="000000"/>
          <w:sz w:val="18"/>
        </w:rPr>
        <w:t>vs. pharmacy claims).</w:t>
      </w:r>
    </w:p>
    <w:p>
      <w:pPr>
        <w:autoSpaceDN w:val="0"/>
        <w:autoSpaceDE w:val="0"/>
        <w:widowControl/>
        <w:spacing w:line="245" w:lineRule="auto" w:before="0" w:after="0"/>
        <w:ind w:left="246" w:right="0" w:firstLine="18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These limitations have led to recent efforts in CER to </w:t>
      </w:r>
      <w:r>
        <w:rPr>
          <w:rFonts w:ascii="Lora" w:hAnsi="Lora" w:eastAsia="Lora"/>
          <w:b w:val="0"/>
          <w:i w:val="0"/>
          <w:color w:val="000000"/>
          <w:sz w:val="18"/>
        </w:rPr>
        <w:t>improve the quantity, diversity, and relevance of infor-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mation available to HCDMs. Comparative effectiveness </w:t>
      </w:r>
      <w:r>
        <w:rPr>
          <w:rFonts w:ascii="Lora" w:hAnsi="Lora" w:eastAsia="Lora"/>
          <w:b w:val="0"/>
          <w:i w:val="0"/>
          <w:color w:val="000000"/>
          <w:sz w:val="18"/>
        </w:rPr>
        <w:t>data—derived from studies including relevant popula-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tions, comparators, and outcomes—will prove valuable to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HCDMs and should be reported in Sections 3.0B and 5.0B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of the Approved Product Dossier. These data are more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likely (and should be expected) to be available for more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mature products. In addition, evidence may be generated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through pay for performance or coverage with evidence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development schemes. Synthesis and evaluation of these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data will remain challenging, however, and are unlikely to </w:t>
      </w:r>
      <w:r>
        <w:rPr>
          <w:rFonts w:ascii="Lora" w:hAnsi="Lora" w:eastAsia="Lora"/>
          <w:b w:val="0"/>
          <w:i w:val="0"/>
          <w:color w:val="000000"/>
          <w:sz w:val="18"/>
        </w:rPr>
        <w:t>be available for new products.</w:t>
      </w:r>
    </w:p>
    <w:p>
      <w:pPr>
        <w:autoSpaceDN w:val="0"/>
        <w:autoSpaceDE w:val="0"/>
        <w:widowControl/>
        <w:spacing w:line="245" w:lineRule="auto" w:before="0" w:after="0"/>
        <w:ind w:left="246" w:right="0" w:firstLine="18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Cost-effectiveness models based on decision analytics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are an effective means to assess the overall potential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value of health care technologies. They are disease-based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and consider the effect of the new technology on the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clinical outcomes for the target population. Typically,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they include evidence on the incidence of the disease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or condition in the target population, the medical care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required to diagnose and treat the disease, the relative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and absolute risk reductions offered by the technology,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survival and quality-of-life effects, and the costs of the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interventions. Decision models can provide the following: </w:t>
      </w:r>
      <w:r>
        <w:rPr>
          <w:rFonts w:ascii="Lora" w:hAnsi="Lora" w:eastAsia="Lora"/>
          <w:b w:val="0"/>
          <w:i w:val="0"/>
          <w:color w:val="000000"/>
          <w:sz w:val="18"/>
        </w:rPr>
        <w:t>1. An explicit framework for decision-making.</w:t>
      </w:r>
    </w:p>
    <w:p>
      <w:pPr>
        <w:autoSpaceDN w:val="0"/>
        <w:tabs>
          <w:tab w:pos="426" w:val="left"/>
        </w:tabs>
        <w:autoSpaceDE w:val="0"/>
        <w:widowControl/>
        <w:spacing w:line="245" w:lineRule="auto" w:before="0" w:after="0"/>
        <w:ind w:left="246" w:right="0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2. A synthesis of evidence on health consequences and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costs from different sources.</w:t>
      </w:r>
    </w:p>
    <w:p>
      <w:pPr>
        <w:autoSpaceDN w:val="0"/>
        <w:autoSpaceDE w:val="0"/>
        <w:widowControl/>
        <w:spacing w:line="223" w:lineRule="auto" w:before="0" w:after="0"/>
        <w:ind w:left="246" w:right="0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>3. A formal assessment of uncertainty.</w:t>
      </w:r>
    </w:p>
    <w:p>
      <w:pPr>
        <w:autoSpaceDN w:val="0"/>
        <w:autoSpaceDE w:val="0"/>
        <w:widowControl/>
        <w:spacing w:line="223" w:lineRule="auto" w:before="0" w:after="0"/>
        <w:ind w:left="246" w:right="0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>4. A quantitative measure of clinical risk-benefit.</w:t>
      </w:r>
    </w:p>
    <w:p>
      <w:pPr>
        <w:autoSpaceDN w:val="0"/>
        <w:autoSpaceDE w:val="0"/>
        <w:widowControl/>
        <w:spacing w:line="223" w:lineRule="auto" w:before="0" w:after="0"/>
        <w:ind w:left="246" w:right="0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>5. Explicit and evaluable assumptions.</w:t>
      </w:r>
    </w:p>
    <w:p>
      <w:pPr>
        <w:autoSpaceDN w:val="0"/>
        <w:tabs>
          <w:tab w:pos="426" w:val="left"/>
        </w:tabs>
        <w:autoSpaceDE w:val="0"/>
        <w:widowControl/>
        <w:spacing w:line="245" w:lineRule="auto" w:before="0" w:after="0"/>
        <w:ind w:left="246" w:right="0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6. Specificity for a product’s role or place in therapy. </w:t>
      </w:r>
      <w:r>
        <w:rPr>
          <w:rFonts w:ascii="Lora" w:hAnsi="Lora" w:eastAsia="Lora"/>
          <w:b w:val="0"/>
          <w:i w:val="0"/>
          <w:color w:val="000000"/>
          <w:sz w:val="18"/>
        </w:rPr>
        <w:t>7. Benchmarks against which the product’s future perfor-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mance can be measured.</w:t>
      </w:r>
    </w:p>
    <w:p>
      <w:pPr>
        <w:autoSpaceDN w:val="0"/>
        <w:autoSpaceDE w:val="0"/>
        <w:widowControl/>
        <w:spacing w:line="245" w:lineRule="auto" w:before="0" w:after="0"/>
        <w:ind w:left="246" w:right="0" w:firstLine="18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Models are not without challenges. In particular, </w:t>
      </w:r>
      <w:r>
        <w:rPr>
          <w:rFonts w:ascii="Lora" w:hAnsi="Lora" w:eastAsia="Lora"/>
          <w:b w:val="0"/>
          <w:i w:val="0"/>
          <w:color w:val="000000"/>
          <w:sz w:val="18"/>
        </w:rPr>
        <w:t>because of the complexity and inherent required assump-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tions, models can be perceived as a “black box” approach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or biased. The AMCP Format has been developed to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help address these limitations by providing a consistent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format for conducting and reporting cost-effectiveness </w:t>
      </w:r>
      <w:r>
        <w:rPr>
          <w:rFonts w:ascii="Lora" w:hAnsi="Lora" w:eastAsia="Lora"/>
          <w:b w:val="0"/>
          <w:i w:val="0"/>
          <w:color w:val="000000"/>
          <w:sz w:val="18"/>
        </w:rPr>
        <w:t>models to improve their transparency and acceptability.</w:t>
      </w:r>
    </w:p>
    <w:p>
      <w:pPr>
        <w:sectPr>
          <w:type w:val="nextColumn"/>
          <w:pgSz w:w="11880" w:h="15660"/>
          <w:pgMar w:top="360" w:right="674" w:bottom="266" w:left="0" w:header="720" w:footer="720" w:gutter="0"/>
          <w:cols w:num="2" w:equalWidth="0">
            <w:col w:w="6032" w:space="0"/>
            <w:col w:w="5173" w:space="0"/>
          </w:cols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140.0" w:type="dxa"/>
      </w:tblPr>
      <w:tblGrid>
        <w:gridCol w:w="4770"/>
        <w:gridCol w:w="4770"/>
      </w:tblGrid>
      <w:tr>
        <w:trPr>
          <w:trHeight w:hRule="exact" w:val="362"/>
        </w:trPr>
        <w:tc>
          <w:tcPr>
            <w:tcW w:type="dxa" w:w="574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4" w:after="0"/>
              <w:ind w:left="0" w:right="90" w:firstLine="0"/>
              <w:jc w:val="right"/>
            </w:pPr>
            <w:r>
              <w:rPr>
                <w:rFonts w:ascii="Asap" w:hAnsi="Asap" w:eastAsia="Asap"/>
                <w:b/>
                <w:i w:val="0"/>
                <w:color w:val="474C55"/>
                <w:sz w:val="18"/>
              </w:rPr>
              <w:t>AMCP FORMAT 5.0</w:t>
            </w:r>
          </w:p>
        </w:tc>
        <w:tc>
          <w:tcPr>
            <w:tcW w:type="dxa" w:w="1094"/>
            <w:tcBorders/>
            <w:shd w:fill="6b146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72" w:after="0"/>
              <w:ind w:left="90" w:right="0" w:firstLine="0"/>
              <w:jc w:val="left"/>
            </w:pPr>
            <w:r>
              <w:rPr>
                <w:rFonts w:ascii="Asap" w:hAnsi="Asap" w:eastAsia="Asap"/>
                <w:b/>
                <w:i w:val="0"/>
                <w:color w:val="FFFFFF"/>
                <w:sz w:val="18"/>
              </w:rPr>
              <w:t>35</w:t>
            </w:r>
          </w:p>
        </w:tc>
      </w:tr>
    </w:tbl>
    <w:p>
      <w:pPr>
        <w:autoSpaceDN w:val="0"/>
        <w:autoSpaceDE w:val="0"/>
        <w:widowControl/>
        <w:spacing w:line="14" w:lineRule="exact" w:before="0" w:after="1036"/>
        <w:ind w:left="0" w:right="0"/>
      </w:pPr>
    </w:p>
    <w:p>
      <w:pPr>
        <w:sectPr>
          <w:pgSz w:w="11880" w:h="15660"/>
          <w:pgMar w:top="360" w:right="0" w:bottom="266" w:left="90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45" w:lineRule="auto" w:before="0" w:after="0"/>
        <w:ind w:left="0" w:right="144" w:firstLine="18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Manufacturers should consult with HCDMs, ideally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in the early phases of model development, to identify </w:t>
      </w:r>
      <w:r>
        <w:rPr>
          <w:rFonts w:ascii="Lora" w:hAnsi="Lora" w:eastAsia="Lora"/>
          <w:b w:val="0"/>
          <w:i w:val="0"/>
          <w:color w:val="000000"/>
          <w:sz w:val="18"/>
        </w:rPr>
        <w:t>optimal modeling approaches and ensure the incor-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poration of appropriate comparator products, target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populations, and endpoints to reflect clinical reality and </w:t>
      </w:r>
      <w:r>
        <w:rPr>
          <w:rFonts w:ascii="Lora" w:hAnsi="Lora" w:eastAsia="Lora"/>
          <w:b w:val="0"/>
          <w:i w:val="0"/>
          <w:color w:val="000000"/>
          <w:sz w:val="18"/>
        </w:rPr>
        <w:t>HCDM needs.</w:t>
      </w:r>
    </w:p>
    <w:p>
      <w:pPr>
        <w:autoSpaceDN w:val="0"/>
        <w:autoSpaceDE w:val="0"/>
        <w:widowControl/>
        <w:spacing w:line="244" w:lineRule="exact" w:before="84" w:after="0"/>
        <w:ind w:left="0" w:right="144" w:firstLine="0"/>
        <w:jc w:val="left"/>
      </w:pPr>
      <w:r>
        <w:rPr>
          <w:rFonts w:ascii="Asap" w:hAnsi="Asap" w:eastAsia="Asap"/>
          <w:b/>
          <w:i w:val="0"/>
          <w:color w:val="007EC5"/>
          <w:sz w:val="18"/>
        </w:rPr>
        <w:t xml:space="preserve">4.1.2B TYPES OF MODELS 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There are several types of models that can be helpful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to HCDMs, including cost-effectiveness models, budget </w:t>
      </w:r>
      <w:r>
        <w:rPr>
          <w:rFonts w:ascii="Lora" w:hAnsi="Lora" w:eastAsia="Lora"/>
          <w:b w:val="0"/>
          <w:i w:val="0"/>
          <w:color w:val="000000"/>
          <w:sz w:val="18"/>
        </w:rPr>
        <w:t>impact models, and financial models.</w:t>
      </w:r>
    </w:p>
    <w:p>
      <w:pPr>
        <w:autoSpaceDN w:val="0"/>
        <w:autoSpaceDE w:val="0"/>
        <w:widowControl/>
        <w:spacing w:line="240" w:lineRule="exact" w:before="84" w:after="0"/>
        <w:ind w:left="0" w:right="144" w:firstLine="0"/>
        <w:jc w:val="left"/>
      </w:pPr>
      <w:r>
        <w:rPr>
          <w:rFonts w:ascii="Asap" w:hAnsi="Asap" w:eastAsia="Asap"/>
          <w:b w:val="0"/>
          <w:i w:val="0"/>
          <w:color w:val="007EC5"/>
          <w:sz w:val="18"/>
        </w:rPr>
        <w:t xml:space="preserve">Cost-effectiveness Models 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Cost-effectiveness models address the question “Is the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technology good value for the money?” The focus of the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Approved Product Dossier is the clinical and economic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value of products for plans and their members. Evaluations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that include effects on patients (e.g., morbidity and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mortality) and on health care costs are thus most relevant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and termed in general “cost-effectiveness models.” These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models are primarily useful for assessing the overall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clinical risk-benefit and economic value of a product in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relation to products in its class and other health care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interventions in general and are the primary focus of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this section. Cost-effectiveness models use clinical data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and can be relatively complex and thus should follow the </w:t>
      </w:r>
      <w:r>
        <w:rPr>
          <w:rFonts w:ascii="Lora" w:hAnsi="Lora" w:eastAsia="Lora"/>
          <w:b w:val="0"/>
          <w:i w:val="0"/>
          <w:color w:val="000000"/>
          <w:sz w:val="18"/>
        </w:rPr>
        <w:t>recommendations in this section, as well as best prac-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tices published by ISPOR Society for Medical Decision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Making (SMDM) Modeling Good Research Practices Task </w:t>
      </w:r>
      <w:r>
        <w:rPr>
          <w:rFonts w:ascii="Lora" w:hAnsi="Lora" w:eastAsia="Lora"/>
          <w:b w:val="0"/>
          <w:i w:val="0"/>
          <w:color w:val="000000"/>
          <w:sz w:val="18"/>
        </w:rPr>
        <w:t>Force.</w:t>
      </w:r>
      <w:r>
        <w:rPr>
          <w:w w:val="104.94000434875488"/>
          <w:rFonts w:ascii="Lora" w:hAnsi="Lora" w:eastAsia="Lora"/>
          <w:b w:val="0"/>
          <w:i w:val="0"/>
          <w:color w:val="000000"/>
          <w:sz w:val="10"/>
        </w:rPr>
        <w:t>42,65-70</w:t>
      </w:r>
    </w:p>
    <w:p>
      <w:pPr>
        <w:autoSpaceDN w:val="0"/>
        <w:autoSpaceDE w:val="0"/>
        <w:widowControl/>
        <w:spacing w:line="240" w:lineRule="exact" w:before="88" w:after="0"/>
        <w:ind w:left="0" w:right="144" w:firstLine="0"/>
        <w:jc w:val="left"/>
      </w:pPr>
      <w:r>
        <w:rPr>
          <w:rFonts w:ascii="Asap" w:hAnsi="Asap" w:eastAsia="Asap"/>
          <w:b w:val="0"/>
          <w:i w:val="0"/>
          <w:color w:val="007EC5"/>
          <w:sz w:val="18"/>
        </w:rPr>
        <w:t xml:space="preserve">Budget Impact Models 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>Budget impact analyses address the question “Is the tech-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nology affordable to the health system?” A budget impact </w:t>
      </w:r>
      <w:r>
        <w:rPr>
          <w:rFonts w:ascii="Lora" w:hAnsi="Lora" w:eastAsia="Lora"/>
          <w:b w:val="0"/>
          <w:i w:val="0"/>
          <w:color w:val="000000"/>
          <w:sz w:val="18"/>
        </w:rPr>
        <w:t>model estimates “the expected changes in the expendi-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ture of a health care system after the adoption of a new </w:t>
      </w:r>
      <w:r>
        <w:rPr>
          <w:rFonts w:ascii="Lora" w:hAnsi="Lora" w:eastAsia="Lora"/>
          <w:b w:val="0"/>
          <w:i w:val="0"/>
          <w:color w:val="000000"/>
          <w:sz w:val="18"/>
        </w:rPr>
        <w:t>intervention.”</w:t>
      </w:r>
      <w:r>
        <w:rPr>
          <w:w w:val="104.94000434875488"/>
          <w:rFonts w:ascii="Lora" w:hAnsi="Lora" w:eastAsia="Lora"/>
          <w:b w:val="0"/>
          <w:i w:val="0"/>
          <w:color w:val="000000"/>
          <w:sz w:val="10"/>
        </w:rPr>
        <w:t>71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 Budget impact models are not intended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to establish the overall value of health care technologies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because they do not include the full long-term effects of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the technology on clinical and patient outcomes.  They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can be useful for estimating systemwide (e.g., pharmacy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and medical) budget impacts, however, and are commonly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used by HCDMs. These models, as defined here, estimate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the target population, drug/product costs, health care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cost offsets, and adverse event costs, as well as the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expected utilization in the health care system, to derive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projected PMPM and overall cost impacts. Budget impact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models use clinical data, including real-world evidence,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and can be relatively complex so they should follow the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recommendations in this section and best practices </w:t>
      </w:r>
      <w:r>
        <w:rPr>
          <w:rFonts w:ascii="Lora" w:hAnsi="Lora" w:eastAsia="Lora"/>
          <w:b w:val="0"/>
          <w:i w:val="0"/>
          <w:color w:val="000000"/>
          <w:sz w:val="18"/>
        </w:rPr>
        <w:t>published by ISPOR.</w:t>
      </w:r>
      <w:r>
        <w:rPr>
          <w:w w:val="104.94000434875488"/>
          <w:rFonts w:ascii="Lora" w:hAnsi="Lora" w:eastAsia="Lora"/>
          <w:b w:val="0"/>
          <w:i w:val="0"/>
          <w:color w:val="000000"/>
          <w:sz w:val="10"/>
        </w:rPr>
        <w:t>71,72</w:t>
      </w:r>
    </w:p>
    <w:p>
      <w:pPr>
        <w:sectPr>
          <w:type w:val="continuous"/>
          <w:pgSz w:w="11880" w:h="15660"/>
          <w:pgMar w:top="360" w:right="0" w:bottom="266" w:left="900" w:header="720" w:footer="720" w:gutter="0"/>
          <w:cols w:num="2" w:equalWidth="0">
            <w:col w:w="5154" w:space="0"/>
            <w:col w:w="5826" w:space="0"/>
          </w:cols>
          <w:docGrid w:linePitch="360"/>
        </w:sectPr>
      </w:pPr>
    </w:p>
    <w:p>
      <w:pPr>
        <w:autoSpaceDN w:val="0"/>
        <w:autoSpaceDE w:val="0"/>
        <w:widowControl/>
        <w:spacing w:line="240" w:lineRule="exact" w:before="0" w:after="0"/>
        <w:ind w:left="246" w:right="576" w:firstLine="0"/>
        <w:jc w:val="left"/>
      </w:pPr>
      <w:r>
        <w:rPr>
          <w:rFonts w:ascii="Asap" w:hAnsi="Asap" w:eastAsia="Asap"/>
          <w:b w:val="0"/>
          <w:i w:val="0"/>
          <w:color w:val="007EC5"/>
          <w:sz w:val="18"/>
        </w:rPr>
        <w:t xml:space="preserve">Financial Models 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Financial models provide an estimate of the financial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impact of new technology on the pharmacy budget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only because they typically include drug/product costs,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network or other discounts, rebates, cost-sharing, and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other benefit design effects, but no evaluation of clinical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effects or other economic consequences. HCDMs usually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have the necessary internal resources to develop such </w:t>
      </w:r>
      <w:r>
        <w:rPr>
          <w:rFonts w:ascii="Lora" w:hAnsi="Lora" w:eastAsia="Lora"/>
          <w:b w:val="0"/>
          <w:i w:val="0"/>
          <w:color w:val="000000"/>
          <w:sz w:val="18"/>
        </w:rPr>
        <w:t>models. Although these models may be useful for nego-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tiations between manufacturers and HCDMs, they are </w:t>
      </w:r>
      <w:r>
        <w:rPr>
          <w:rFonts w:ascii="Lora" w:hAnsi="Lora" w:eastAsia="Lora"/>
          <w:b w:val="0"/>
          <w:i w:val="0"/>
          <w:color w:val="000000"/>
          <w:sz w:val="18"/>
        </w:rPr>
        <w:t>not central to the evidence- and value-based decision-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making process and are not addressed further in the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AMCP Format. Financial models are not required but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may be included in the dossier at the discretion of the </w:t>
      </w:r>
      <w:r>
        <w:rPr>
          <w:rFonts w:ascii="Lora" w:hAnsi="Lora" w:eastAsia="Lora"/>
          <w:b w:val="0"/>
          <w:i w:val="0"/>
          <w:color w:val="000000"/>
          <w:sz w:val="18"/>
        </w:rPr>
        <w:t>manufacturer.</w:t>
      </w:r>
    </w:p>
    <w:p>
      <w:pPr>
        <w:autoSpaceDN w:val="0"/>
        <w:tabs>
          <w:tab w:pos="516" w:val="left"/>
        </w:tabs>
        <w:autoSpaceDE w:val="0"/>
        <w:widowControl/>
        <w:spacing w:line="242" w:lineRule="exact" w:before="86" w:after="0"/>
        <w:ind w:left="246" w:right="576" w:firstLine="0"/>
        <w:jc w:val="left"/>
      </w:pPr>
      <w:r>
        <w:rPr>
          <w:rFonts w:ascii="Asap" w:hAnsi="Asap" w:eastAsia="Asap"/>
          <w:b/>
          <w:i w:val="0"/>
          <w:color w:val="007EC5"/>
          <w:sz w:val="18"/>
        </w:rPr>
        <w:t xml:space="preserve">4.1.3B OTHER CONSIDERATIONS 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1. A clear, written statement of the decision problem,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modeling objective, study perspective, and scope of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the model should be developed. This should include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the spectrum of disease considered, target population,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alternative interventions, health and other outcomes,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and time horizon.</w:t>
      </w:r>
    </w:p>
    <w:p>
      <w:pPr>
        <w:autoSpaceDN w:val="0"/>
        <w:autoSpaceDE w:val="0"/>
        <w:widowControl/>
        <w:spacing w:line="245" w:lineRule="auto" w:before="0" w:after="0"/>
        <w:ind w:left="516" w:right="576" w:hanging="27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2. ISPOR and SMDM have produced comprehensive </w:t>
      </w:r>
      <w:r>
        <w:rPr>
          <w:rFonts w:ascii="Lora" w:hAnsi="Lora" w:eastAsia="Lora"/>
          <w:b w:val="0"/>
          <w:i w:val="0"/>
          <w:color w:val="000000"/>
          <w:sz w:val="18"/>
        </w:rPr>
        <w:t>guidance related to various aspects of modeling.</w:t>
      </w:r>
      <w:r>
        <w:rPr>
          <w:w w:val="104.94000434875488"/>
          <w:rFonts w:ascii="Lora" w:hAnsi="Lora" w:eastAsia="Lora"/>
          <w:b w:val="0"/>
          <w:i w:val="0"/>
          <w:color w:val="000000"/>
          <w:sz w:val="10"/>
        </w:rPr>
        <w:t xml:space="preserve">42,65-70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ISPOR-SMDM best practices should be followed when </w:t>
      </w:r>
      <w:r>
        <w:rPr>
          <w:rFonts w:ascii="Lora" w:hAnsi="Lora" w:eastAsia="Lora"/>
          <w:b w:val="0"/>
          <w:i w:val="0"/>
          <w:color w:val="000000"/>
          <w:sz w:val="18"/>
        </w:rPr>
        <w:t>applicable.</w:t>
      </w:r>
    </w:p>
    <w:p>
      <w:pPr>
        <w:autoSpaceDN w:val="0"/>
        <w:autoSpaceDE w:val="0"/>
        <w:widowControl/>
        <w:spacing w:line="245" w:lineRule="auto" w:before="0" w:after="0"/>
        <w:ind w:left="516" w:right="672" w:hanging="270"/>
        <w:jc w:val="both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3. When a product is intended for treatment of more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than one disease or indication, its effect should be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modeled for each, unless a reasonable case can be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made for a single model, such as may be the case for </w:t>
      </w:r>
      <w:r>
        <w:rPr>
          <w:rFonts w:ascii="Lora" w:hAnsi="Lora" w:eastAsia="Lora"/>
          <w:b w:val="0"/>
          <w:i w:val="0"/>
          <w:color w:val="000000"/>
          <w:sz w:val="18"/>
        </w:rPr>
        <w:t>budget impact models.</w:t>
      </w:r>
    </w:p>
    <w:p>
      <w:pPr>
        <w:autoSpaceDN w:val="0"/>
        <w:autoSpaceDE w:val="0"/>
        <w:widowControl/>
        <w:spacing w:line="245" w:lineRule="auto" w:before="0" w:after="0"/>
        <w:ind w:left="516" w:right="576" w:hanging="27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4. Models that have been previously developed may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be adapted for use according to the AMCP Format. </w:t>
      </w:r>
    </w:p>
    <w:p>
      <w:pPr>
        <w:autoSpaceDN w:val="0"/>
        <w:autoSpaceDE w:val="0"/>
        <w:widowControl/>
        <w:spacing w:line="245" w:lineRule="auto" w:before="0" w:after="0"/>
        <w:ind w:left="516" w:right="576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An existing model should be modified to follow the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general framework described in this document and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must be able to demonstrate the systemwide effect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of introducing the product to health care system </w:t>
      </w:r>
      <w:r>
        <w:rPr>
          <w:rFonts w:ascii="Lora" w:hAnsi="Lora" w:eastAsia="Lora"/>
          <w:b w:val="0"/>
          <w:i w:val="0"/>
          <w:color w:val="000000"/>
          <w:sz w:val="18"/>
        </w:rPr>
        <w:t>formularies. Evidence supporting the validity of exist-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ing models should be provided, as well as sufficient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documentation and transparency on their design, </w:t>
      </w:r>
      <w:r>
        <w:rPr>
          <w:rFonts w:ascii="Lora" w:hAnsi="Lora" w:eastAsia="Lora"/>
          <w:b w:val="0"/>
          <w:i w:val="0"/>
          <w:color w:val="000000"/>
          <w:sz w:val="18"/>
        </w:rPr>
        <w:t>functioning, and data inputs.</w:t>
      </w:r>
    </w:p>
    <w:p>
      <w:pPr>
        <w:autoSpaceDN w:val="0"/>
        <w:autoSpaceDE w:val="0"/>
        <w:widowControl/>
        <w:spacing w:line="245" w:lineRule="auto" w:before="0" w:after="0"/>
        <w:ind w:left="516" w:right="672" w:hanging="270"/>
        <w:jc w:val="both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5. Cost-effectiveness analyses conducted alongside RCTs,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particularly when of sufficient size and follow-up, can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provide useful and sometimes substantial evidence of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economic value. Cost-effectiveness models should be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considered complementary to such studies, allowing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for the adjustment of health care resource use, unit </w:t>
      </w:r>
      <w:r>
        <w:rPr>
          <w:rFonts w:ascii="Lora" w:hAnsi="Lora" w:eastAsia="Lora"/>
          <w:b w:val="0"/>
          <w:i w:val="0"/>
          <w:color w:val="000000"/>
          <w:sz w:val="18"/>
        </w:rPr>
        <w:t>costs, effectiveness, and practice patterns.</w:t>
      </w:r>
    </w:p>
    <w:p>
      <w:pPr>
        <w:autoSpaceDN w:val="0"/>
        <w:autoSpaceDE w:val="0"/>
        <w:widowControl/>
        <w:spacing w:line="245" w:lineRule="auto" w:before="0" w:after="0"/>
        <w:ind w:left="516" w:right="576" w:hanging="27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6. Real-world evidence studies can provide additional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insights from larger populations in more realistic </w:t>
      </w:r>
    </w:p>
    <w:p>
      <w:pPr>
        <w:autoSpaceDN w:val="0"/>
        <w:autoSpaceDE w:val="0"/>
        <w:widowControl/>
        <w:spacing w:line="186" w:lineRule="exact" w:before="696" w:after="0"/>
        <w:ind w:left="0" w:right="742" w:firstLine="0"/>
        <w:jc w:val="right"/>
      </w:pPr>
      <w:r>
        <w:rPr>
          <w:rFonts w:ascii="Asap" w:hAnsi="Asap" w:eastAsia="Asap"/>
          <w:b w:val="0"/>
          <w:i w:val="0"/>
          <w:color w:val="474C55"/>
          <w:sz w:val="14"/>
        </w:rPr>
        <w:t>Vol. 30, No. 4-b</w:t>
      </w:r>
      <w:r>
        <w:rPr>
          <w:rFonts w:ascii="Asap" w:hAnsi="Asap" w:eastAsia="Asap"/>
          <w:b w:val="0"/>
          <w:i w:val="0"/>
          <w:color w:val="474C55"/>
          <w:sz w:val="14"/>
        </w:rPr>
        <w:t>|</w:t>
      </w:r>
      <w:r>
        <w:rPr>
          <w:rFonts w:ascii="Asap" w:hAnsi="Asap" w:eastAsia="Asap"/>
          <w:b w:val="0"/>
          <w:i w:val="0"/>
          <w:color w:val="474C55"/>
          <w:sz w:val="14"/>
        </w:rPr>
        <w:t>April 2024</w:t>
      </w:r>
      <w:r>
        <w:rPr>
          <w:rFonts w:ascii="Asap" w:hAnsi="Asap" w:eastAsia="Asap"/>
          <w:b w:val="0"/>
          <w:i w:val="0"/>
          <w:color w:val="474C55"/>
          <w:sz w:val="14"/>
        </w:rPr>
        <w:t>|</w:t>
      </w:r>
      <w:r>
        <w:rPr>
          <w:rFonts w:ascii="Asap" w:hAnsi="Asap" w:eastAsia="Asap"/>
          <w:b/>
          <w:i w:val="0"/>
          <w:color w:val="14377D"/>
          <w:sz w:val="14"/>
        </w:rPr>
        <w:t xml:space="preserve"> JMCP</w:t>
      </w:r>
      <w:r>
        <w:rPr>
          <w:rFonts w:ascii="Asap" w:hAnsi="Asap" w:eastAsia="Asap"/>
          <w:b w:val="0"/>
          <w:i w:val="0"/>
          <w:color w:val="14377D"/>
          <w:sz w:val="14"/>
        </w:rPr>
        <w:t>.org</w:t>
      </w:r>
    </w:p>
    <w:p>
      <w:pPr>
        <w:sectPr>
          <w:type w:val="nextColumn"/>
          <w:pgSz w:w="11880" w:h="15660"/>
          <w:pgMar w:top="360" w:right="0" w:bottom="266" w:left="900" w:header="720" w:footer="720" w:gutter="0"/>
          <w:cols w:num="2" w:equalWidth="0">
            <w:col w:w="5154" w:space="0"/>
            <w:col w:w="5826" w:space="0"/>
          </w:cols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883"/>
        <w:gridCol w:w="4883"/>
      </w:tblGrid>
      <w:tr>
        <w:trPr>
          <w:trHeight w:hRule="exact" w:val="362"/>
        </w:trPr>
        <w:tc>
          <w:tcPr>
            <w:tcW w:type="dxa" w:w="1094"/>
            <w:tcBorders/>
            <w:shd w:fill="6b146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4" w:after="0"/>
              <w:ind w:left="0" w:right="90" w:firstLine="0"/>
              <w:jc w:val="right"/>
            </w:pPr>
            <w:r>
              <w:rPr>
                <w:rFonts w:ascii="Asap" w:hAnsi="Asap" w:eastAsia="Asap"/>
                <w:b/>
                <w:i w:val="0"/>
                <w:color w:val="FFFFFF"/>
                <w:sz w:val="18"/>
              </w:rPr>
              <w:t>36</w:t>
            </w:r>
          </w:p>
        </w:tc>
        <w:tc>
          <w:tcPr>
            <w:tcW w:type="dxa" w:w="584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4" w:after="0"/>
              <w:ind w:left="90" w:right="0" w:firstLine="0"/>
              <w:jc w:val="left"/>
            </w:pPr>
            <w:r>
              <w:rPr>
                <w:rFonts w:ascii="Asap" w:hAnsi="Asap" w:eastAsia="Asap"/>
                <w:b/>
                <w:i w:val="0"/>
                <w:color w:val="474C55"/>
                <w:sz w:val="18"/>
              </w:rPr>
              <w:t>AMCP FORMAT 5.0</w:t>
            </w:r>
          </w:p>
        </w:tc>
      </w:tr>
    </w:tbl>
    <w:p>
      <w:pPr>
        <w:autoSpaceDN w:val="0"/>
        <w:autoSpaceDE w:val="0"/>
        <w:widowControl/>
        <w:spacing w:line="14" w:lineRule="exact" w:before="0" w:after="1036"/>
        <w:ind w:left="0" w:right="0"/>
      </w:pPr>
    </w:p>
    <w:p>
      <w:pPr>
        <w:sectPr>
          <w:pgSz w:w="11880" w:h="15660"/>
          <w:pgMar w:top="360" w:right="674" w:bottom="266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45" w:lineRule="auto" w:before="0" w:after="0"/>
        <w:ind w:left="1148" w:right="248" w:firstLine="0"/>
        <w:jc w:val="both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conditions that may be more generalizable to practical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use but should be supplemental to efficacy/safety data </w:t>
      </w:r>
      <w:r>
        <w:rPr>
          <w:rFonts w:ascii="Lora" w:hAnsi="Lora" w:eastAsia="Lora"/>
          <w:b w:val="0"/>
          <w:i w:val="0"/>
          <w:color w:val="000000"/>
          <w:sz w:val="18"/>
        </w:rPr>
        <w:t>gathered from well-designed RCTs.</w:t>
      </w:r>
    </w:p>
    <w:p>
      <w:pPr>
        <w:autoSpaceDN w:val="0"/>
        <w:autoSpaceDE w:val="0"/>
        <w:widowControl/>
        <w:spacing w:line="223" w:lineRule="auto" w:before="0" w:after="0"/>
        <w:ind w:left="878" w:right="0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>7. All assumptions should be clearly presented.</w:t>
      </w:r>
    </w:p>
    <w:p>
      <w:pPr>
        <w:autoSpaceDN w:val="0"/>
        <w:tabs>
          <w:tab w:pos="1148" w:val="left"/>
        </w:tabs>
        <w:autoSpaceDE w:val="0"/>
        <w:widowControl/>
        <w:spacing w:line="245" w:lineRule="auto" w:before="0" w:after="0"/>
        <w:ind w:left="878" w:right="144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8. Drugs administered by health care providers should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generally be considered in a similar manner to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traditional pharmaceutical products. Additional con-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siderations may be required for site of care (e.g.,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inpatient, home infusion, outpatient infusion center).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9. Because of similarity to their reference product,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biosimilars generally do not require the development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of specific cost-effectiveness models. Budget impact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models or cost-minimization analyses may be more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relevant.</w:t>
      </w:r>
    </w:p>
    <w:p>
      <w:pPr>
        <w:autoSpaceDN w:val="0"/>
        <w:autoSpaceDE w:val="0"/>
        <w:widowControl/>
        <w:spacing w:line="245" w:lineRule="auto" w:before="0" w:after="0"/>
        <w:ind w:left="1148" w:right="144" w:hanging="27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10. When possible, a stand-alone, electronic, unlocked,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modifiable model should be provided to HCDMs. The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use of commonly available software (e.g., Microsoft </w:t>
      </w:r>
      <w:r>
        <w:rPr>
          <w:rFonts w:ascii="Lora" w:hAnsi="Lora" w:eastAsia="Lora"/>
          <w:b w:val="0"/>
          <w:i w:val="0"/>
          <w:color w:val="000000"/>
          <w:sz w:val="18"/>
        </w:rPr>
        <w:t>Excel) is recommended. The model should be interac-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tive and flexible, allowing the user to choose which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inputs to include in the model and tailor inputs to the </w:t>
      </w:r>
      <w:r>
        <w:rPr>
          <w:rFonts w:ascii="Lora" w:hAnsi="Lora" w:eastAsia="Lora"/>
          <w:b w:val="0"/>
          <w:i w:val="0"/>
          <w:color w:val="000000"/>
          <w:sz w:val="18"/>
        </w:rPr>
        <w:t>health system or health plan.</w:t>
      </w:r>
    </w:p>
    <w:p>
      <w:pPr>
        <w:autoSpaceDN w:val="0"/>
        <w:autoSpaceDE w:val="0"/>
        <w:widowControl/>
        <w:spacing w:line="245" w:lineRule="auto" w:before="0" w:after="0"/>
        <w:ind w:left="1148" w:right="248" w:hanging="270"/>
        <w:jc w:val="both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11. Key limitations of the model should be disclosed,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particularly those involving the representation of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important patient subgroups, and generalizability to </w:t>
      </w:r>
      <w:r>
        <w:rPr>
          <w:rFonts w:ascii="Lora" w:hAnsi="Lora" w:eastAsia="Lora"/>
          <w:b w:val="0"/>
          <w:i w:val="0"/>
          <w:color w:val="000000"/>
          <w:sz w:val="18"/>
        </w:rPr>
        <w:t>real-world populations.</w:t>
      </w:r>
    </w:p>
    <w:p>
      <w:pPr>
        <w:autoSpaceDN w:val="0"/>
        <w:autoSpaceDE w:val="0"/>
        <w:widowControl/>
        <w:spacing w:line="245" w:lineRule="auto" w:before="0" w:after="0"/>
        <w:ind w:left="1148" w:right="246" w:hanging="270"/>
        <w:jc w:val="both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12. Users of this document should recognize that the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AMCP Format is a set of recommendations for the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types of evidence and reporting formats that are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likely to be useful for HCDM. The need for flexibility is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recognized by AMCP, however. Specific requirements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are determined by individual HCDMs and may consist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of data requests or methods beyond those outlined in </w:t>
      </w:r>
      <w:r>
        <w:rPr>
          <w:rFonts w:ascii="Lora" w:hAnsi="Lora" w:eastAsia="Lora"/>
          <w:b w:val="0"/>
          <w:i w:val="0"/>
          <w:color w:val="000000"/>
          <w:sz w:val="18"/>
        </w:rPr>
        <w:t>this document.</w:t>
      </w:r>
    </w:p>
    <w:p>
      <w:pPr>
        <w:autoSpaceDN w:val="0"/>
        <w:tabs>
          <w:tab w:pos="1418" w:val="left"/>
        </w:tabs>
        <w:autoSpaceDE w:val="0"/>
        <w:widowControl/>
        <w:spacing w:line="266" w:lineRule="exact" w:before="198" w:after="0"/>
        <w:ind w:left="698" w:right="0" w:firstLine="0"/>
        <w:jc w:val="left"/>
      </w:pPr>
      <w:r>
        <w:rPr>
          <w:rFonts w:ascii="Asap" w:hAnsi="Asap" w:eastAsia="Asap"/>
          <w:b/>
          <w:i w:val="0"/>
          <w:color w:val="14377D"/>
          <w:sz w:val="20"/>
        </w:rPr>
        <w:t xml:space="preserve">4.2B </w:t>
      </w:r>
      <w:r>
        <w:tab/>
      </w:r>
      <w:r>
        <w:rPr>
          <w:rFonts w:ascii="Asap" w:hAnsi="Asap" w:eastAsia="Asap"/>
          <w:b/>
          <w:i w:val="0"/>
          <w:color w:val="14377D"/>
          <w:sz w:val="20"/>
        </w:rPr>
        <w:t>COST-EFFECTIVENESS ANALYSIS</w:t>
      </w:r>
    </w:p>
    <w:p>
      <w:pPr>
        <w:autoSpaceDN w:val="0"/>
        <w:autoSpaceDE w:val="0"/>
        <w:widowControl/>
        <w:spacing w:line="238" w:lineRule="exact" w:before="96" w:after="0"/>
        <w:ind w:left="878" w:right="0" w:firstLine="0"/>
        <w:jc w:val="left"/>
      </w:pPr>
      <w:r>
        <w:rPr>
          <w:rFonts w:ascii="Asap" w:hAnsi="Asap" w:eastAsia="Asap"/>
          <w:b/>
          <w:i w:val="0"/>
          <w:color w:val="007EC5"/>
          <w:sz w:val="18"/>
        </w:rPr>
        <w:t>4.2.1B APPROACH AND FRAMEWORK</w:t>
      </w:r>
    </w:p>
    <w:p>
      <w:pPr>
        <w:autoSpaceDN w:val="0"/>
        <w:tabs>
          <w:tab w:pos="1058" w:val="left"/>
        </w:tabs>
        <w:autoSpaceDE w:val="0"/>
        <w:widowControl/>
        <w:spacing w:line="242" w:lineRule="exact" w:before="94" w:after="0"/>
        <w:ind w:left="878" w:right="144" w:firstLine="0"/>
        <w:jc w:val="left"/>
      </w:pPr>
      <w:r>
        <w:rPr>
          <w:rFonts w:ascii="Asap" w:hAnsi="Asap" w:eastAsia="Asap"/>
          <w:b w:val="0"/>
          <w:i w:val="0"/>
          <w:color w:val="007EC5"/>
          <w:sz w:val="18"/>
        </w:rPr>
        <w:t xml:space="preserve">Guidelines 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>In general, the cost-effectiveness framework should con-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sider recommendations published by ISPOR and SMDM </w:t>
      </w:r>
      <w:r>
        <w:rPr>
          <w:rFonts w:ascii="Lora" w:hAnsi="Lora" w:eastAsia="Lora"/>
          <w:b w:val="0"/>
          <w:i w:val="0"/>
          <w:color w:val="000000"/>
          <w:sz w:val="18"/>
        </w:rPr>
        <w:t>Modeling Good Research Practices Task Force.</w:t>
      </w:r>
      <w:r>
        <w:rPr>
          <w:w w:val="104.94000434875488"/>
          <w:rFonts w:ascii="Lora" w:hAnsi="Lora" w:eastAsia="Lora"/>
          <w:b w:val="0"/>
          <w:i w:val="0"/>
          <w:color w:val="000000"/>
          <w:sz w:val="10"/>
        </w:rPr>
        <w:t xml:space="preserve">42,65-70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The model should be disease-based and depict the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following: 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1. Disease or condition, patient population, natural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history, clinical course, and outcomes.</w:t>
      </w:r>
    </w:p>
    <w:p>
      <w:pPr>
        <w:autoSpaceDN w:val="0"/>
        <w:autoSpaceDE w:val="0"/>
        <w:widowControl/>
        <w:spacing w:line="245" w:lineRule="auto" w:before="0" w:after="0"/>
        <w:ind w:left="1058" w:right="144" w:hanging="18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2. Relevant treatment options and the treatment process </w:t>
      </w:r>
      <w:r>
        <w:rPr>
          <w:rFonts w:ascii="Lora" w:hAnsi="Lora" w:eastAsia="Lora"/>
          <w:b w:val="0"/>
          <w:i w:val="0"/>
          <w:color w:val="000000"/>
          <w:sz w:val="18"/>
        </w:rPr>
        <w:t>for each option—preferably based on treatment guide-</w:t>
      </w:r>
      <w:r>
        <w:rPr>
          <w:rFonts w:ascii="Lora" w:hAnsi="Lora" w:eastAsia="Lora"/>
          <w:b w:val="0"/>
          <w:i w:val="0"/>
          <w:color w:val="000000"/>
          <w:sz w:val="18"/>
        </w:rPr>
        <w:t>lines or actual practice.</w:t>
      </w:r>
    </w:p>
    <w:p>
      <w:pPr>
        <w:autoSpaceDN w:val="0"/>
        <w:tabs>
          <w:tab w:pos="1058" w:val="left"/>
        </w:tabs>
        <w:autoSpaceDE w:val="0"/>
        <w:widowControl/>
        <w:spacing w:line="245" w:lineRule="auto" w:before="0" w:after="0"/>
        <w:ind w:left="878" w:right="144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3. Costs of the product and other medical resources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consumed within each clinical pathway. </w:t>
      </w:r>
    </w:p>
    <w:p>
      <w:pPr>
        <w:autoSpaceDN w:val="0"/>
        <w:autoSpaceDE w:val="0"/>
        <w:widowControl/>
        <w:spacing w:line="223" w:lineRule="auto" w:before="0" w:after="0"/>
        <w:ind w:left="878" w:right="0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4. Economic impact of adverse events and costs of </w:t>
      </w:r>
    </w:p>
    <w:p>
      <w:pPr>
        <w:autoSpaceDN w:val="0"/>
        <w:autoSpaceDE w:val="0"/>
        <w:widowControl/>
        <w:spacing w:line="186" w:lineRule="exact" w:before="606" w:after="0"/>
        <w:ind w:left="740" w:right="0" w:firstLine="0"/>
        <w:jc w:val="left"/>
      </w:pPr>
      <w:r>
        <w:rPr>
          <w:rFonts w:ascii="Asap" w:hAnsi="Asap" w:eastAsia="Asap"/>
          <w:b/>
          <w:i w:val="0"/>
          <w:color w:val="14377D"/>
          <w:sz w:val="14"/>
        </w:rPr>
        <w:t>JMCP</w:t>
      </w:r>
      <w:r>
        <w:rPr>
          <w:rFonts w:ascii="Asap" w:hAnsi="Asap" w:eastAsia="Asap"/>
          <w:b w:val="0"/>
          <w:i w:val="0"/>
          <w:color w:val="14377D"/>
          <w:sz w:val="14"/>
        </w:rPr>
        <w:t>.org</w:t>
      </w:r>
      <w:r>
        <w:rPr>
          <w:rFonts w:ascii="Asap" w:hAnsi="Asap" w:eastAsia="Asap"/>
          <w:b w:val="0"/>
          <w:i w:val="0"/>
          <w:color w:val="474C55"/>
          <w:sz w:val="14"/>
        </w:rPr>
        <w:t>|</w:t>
      </w:r>
      <w:r>
        <w:rPr>
          <w:rFonts w:ascii="Asap" w:hAnsi="Asap" w:eastAsia="Asap"/>
          <w:b w:val="0"/>
          <w:i w:val="0"/>
          <w:color w:val="474C55"/>
          <w:sz w:val="14"/>
        </w:rPr>
        <w:t>April 2024</w:t>
      </w:r>
      <w:r>
        <w:rPr>
          <w:rFonts w:ascii="Asap" w:hAnsi="Asap" w:eastAsia="Asap"/>
          <w:b w:val="0"/>
          <w:i w:val="0"/>
          <w:color w:val="474C55"/>
          <w:sz w:val="14"/>
        </w:rPr>
        <w:t>|</w:t>
      </w:r>
      <w:r>
        <w:rPr>
          <w:rFonts w:ascii="Asap" w:hAnsi="Asap" w:eastAsia="Asap"/>
          <w:b w:val="0"/>
          <w:i w:val="0"/>
          <w:color w:val="474C55"/>
          <w:sz w:val="14"/>
        </w:rPr>
        <w:t>Vol. 30, No. 4-B</w:t>
      </w:r>
    </w:p>
    <w:p>
      <w:pPr>
        <w:sectPr>
          <w:type w:val="continuous"/>
          <w:pgSz w:w="11880" w:h="15660"/>
          <w:pgMar w:top="360" w:right="674" w:bottom="266" w:left="0" w:header="720" w:footer="720" w:gutter="0"/>
          <w:cols w:num="2" w:equalWidth="0">
            <w:col w:w="6032" w:space="0"/>
            <w:col w:w="5173" w:space="0"/>
          </w:cols>
          <w:docGrid w:linePitch="360"/>
        </w:sectPr>
      </w:pPr>
    </w:p>
    <w:p>
      <w:pPr>
        <w:autoSpaceDN w:val="0"/>
        <w:autoSpaceDE w:val="0"/>
        <w:widowControl/>
        <w:spacing w:line="223" w:lineRule="auto" w:before="0" w:after="0"/>
        <w:ind w:left="426" w:right="0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>monitoring for both therapeutic effect and safety.</w:t>
      </w:r>
    </w:p>
    <w:p>
      <w:pPr>
        <w:autoSpaceDN w:val="0"/>
        <w:autoSpaceDE w:val="0"/>
        <w:widowControl/>
        <w:spacing w:line="223" w:lineRule="auto" w:before="0" w:after="0"/>
        <w:ind w:left="246" w:right="0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>5. Outcomes of therapy for each clinical pathway.</w:t>
      </w:r>
    </w:p>
    <w:p>
      <w:pPr>
        <w:autoSpaceDN w:val="0"/>
        <w:autoSpaceDE w:val="0"/>
        <w:widowControl/>
        <w:spacing w:line="245" w:lineRule="auto" w:before="0" w:after="0"/>
        <w:ind w:left="426" w:right="0" w:hanging="18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>6. Cost and outcomes analysis presented in cost/conse-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quences tables and as incremental cost-effectiveness </w:t>
      </w:r>
      <w:r>
        <w:rPr>
          <w:rFonts w:ascii="Lora" w:hAnsi="Lora" w:eastAsia="Lora"/>
          <w:b w:val="0"/>
          <w:i w:val="0"/>
          <w:color w:val="000000"/>
          <w:sz w:val="18"/>
        </w:rPr>
        <w:t>ratios.</w:t>
      </w:r>
    </w:p>
    <w:p>
      <w:pPr>
        <w:autoSpaceDN w:val="0"/>
        <w:autoSpaceDE w:val="0"/>
        <w:widowControl/>
        <w:spacing w:line="240" w:lineRule="exact" w:before="84" w:after="0"/>
        <w:ind w:left="246" w:right="0" w:firstLine="0"/>
        <w:jc w:val="left"/>
      </w:pPr>
      <w:r>
        <w:rPr>
          <w:rFonts w:ascii="Asap" w:hAnsi="Asap" w:eastAsia="Asap"/>
          <w:b w:val="0"/>
          <w:i w:val="0"/>
          <w:color w:val="009EC4"/>
          <w:sz w:val="18"/>
        </w:rPr>
        <w:t xml:space="preserve">Analytic Framework 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The general category of cost-effectiveness models </w:t>
      </w:r>
      <w:r>
        <w:rPr>
          <w:rFonts w:ascii="Lora" w:hAnsi="Lora" w:eastAsia="Lora"/>
          <w:b w:val="0"/>
          <w:i w:val="0"/>
          <w:color w:val="000000"/>
          <w:sz w:val="18"/>
        </w:rPr>
        <w:t>includes analyses that value outcomes by assessing clini-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cal events, life expectancy, and QALYs. Clinical events are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more readily interpretable by clinicians and allow for </w:t>
      </w:r>
      <w:r>
        <w:rPr>
          <w:rFonts w:ascii="Lora" w:hAnsi="Lora" w:eastAsia="Lora"/>
          <w:b w:val="0"/>
          <w:i w:val="0"/>
          <w:color w:val="000000"/>
          <w:sz w:val="18"/>
        </w:rPr>
        <w:t>direct assessment of the effect of clinical data, but cost-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per-event-avoided calculations are not comparable across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disease areas. In contrast, QALYs allow for assessment of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overall health care value but may be more difficult to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interpret from a health care system perspective. It is thus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recommended that clinical events, life expectancy, and </w:t>
      </w:r>
      <w:r>
        <w:rPr>
          <w:rFonts w:ascii="Lora" w:hAnsi="Lora" w:eastAsia="Lora"/>
          <w:b w:val="0"/>
          <w:i w:val="0"/>
          <w:color w:val="000000"/>
          <w:sz w:val="18"/>
        </w:rPr>
        <w:t>QALYs be assessed, with the latter two outcomes primar-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ily relevant for lifetime time frame analyses. Clinical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events can serve as a supplemental analysis. The results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should be reported separately, as outlined subsequently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in this section. Exclusion of any of these endpoints should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be justified. If possible, use of surrogate endpoints should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be avoided, since they are not as useful as final endpoints </w:t>
      </w:r>
      <w:r>
        <w:rPr>
          <w:rFonts w:ascii="Lora" w:hAnsi="Lora" w:eastAsia="Lora"/>
          <w:b w:val="0"/>
          <w:i w:val="0"/>
          <w:color w:val="000000"/>
          <w:sz w:val="18"/>
        </w:rPr>
        <w:t>in decision-making.</w:t>
      </w:r>
    </w:p>
    <w:p>
      <w:pPr>
        <w:autoSpaceDN w:val="0"/>
        <w:autoSpaceDE w:val="0"/>
        <w:widowControl/>
        <w:spacing w:line="242" w:lineRule="exact" w:before="82" w:after="0"/>
        <w:ind w:left="246" w:right="0" w:firstLine="0"/>
        <w:jc w:val="left"/>
      </w:pPr>
      <w:r>
        <w:rPr>
          <w:rFonts w:ascii="Asap" w:hAnsi="Asap" w:eastAsia="Asap"/>
          <w:b w:val="0"/>
          <w:i w:val="0"/>
          <w:color w:val="007EC5"/>
          <w:sz w:val="18"/>
        </w:rPr>
        <w:t xml:space="preserve">Modeling Technique 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There are several decision-analytic-based approaches to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constructing disease-based cost-effectiveness models,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primarily: (1) decision trees, (2) Markov (cohort) models, </w:t>
      </w:r>
      <w:r>
        <w:rPr>
          <w:rFonts w:ascii="Lora" w:hAnsi="Lora" w:eastAsia="Lora"/>
          <w:b w:val="0"/>
          <w:i w:val="0"/>
          <w:color w:val="000000"/>
          <w:sz w:val="18"/>
        </w:rPr>
        <w:t>and (3) patient-level simulation (discrete event simula-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tion). There are advantages and disadvantages to each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technique, mainly related to the conflicting factors of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transparency and data availability versus the complexity </w:t>
      </w:r>
      <w:r>
        <w:rPr>
          <w:rFonts w:ascii="Lora" w:hAnsi="Lora" w:eastAsia="Lora"/>
          <w:b w:val="0"/>
          <w:i w:val="0"/>
          <w:color w:val="000000"/>
          <w:sz w:val="18"/>
        </w:rPr>
        <w:t>of many diseases and their treatments.</w:t>
      </w:r>
    </w:p>
    <w:p>
      <w:pPr>
        <w:autoSpaceDN w:val="0"/>
        <w:autoSpaceDE w:val="0"/>
        <w:widowControl/>
        <w:spacing w:line="245" w:lineRule="auto" w:before="0" w:after="0"/>
        <w:ind w:left="246" w:right="0" w:firstLine="18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It is recommended that the simplest feasible modeling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approach be used. In other words, the model should be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sophisticated enough to capture the key aspects of the </w:t>
      </w:r>
      <w:r>
        <w:rPr>
          <w:rFonts w:ascii="Lora" w:hAnsi="Lora" w:eastAsia="Lora"/>
          <w:b w:val="0"/>
          <w:i w:val="0"/>
          <w:color w:val="000000"/>
          <w:sz w:val="18"/>
        </w:rPr>
        <w:t>disease and treatments yet be well supported by high-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quality data that are available to and interpretable by the </w:t>
      </w:r>
      <w:r>
        <w:rPr>
          <w:rFonts w:ascii="Lora" w:hAnsi="Lora" w:eastAsia="Lora"/>
          <w:b w:val="0"/>
          <w:i w:val="0"/>
          <w:color w:val="000000"/>
          <w:sz w:val="18"/>
        </w:rPr>
        <w:t>user.</w:t>
      </w:r>
    </w:p>
    <w:p>
      <w:pPr>
        <w:autoSpaceDN w:val="0"/>
        <w:autoSpaceDE w:val="0"/>
        <w:widowControl/>
        <w:spacing w:line="242" w:lineRule="exact" w:before="82" w:after="0"/>
        <w:ind w:left="246" w:right="0" w:firstLine="0"/>
        <w:jc w:val="left"/>
      </w:pPr>
      <w:r>
        <w:rPr>
          <w:rFonts w:ascii="Asap" w:hAnsi="Asap" w:eastAsia="Asap"/>
          <w:b w:val="0"/>
          <w:i w:val="0"/>
          <w:color w:val="009EC4"/>
          <w:sz w:val="18"/>
        </w:rPr>
        <w:t xml:space="preserve">Perspective and Time Frame 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The HCDM perspective is recommended for the primary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analysis, with optional perspectives (e.g., societal,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employer) conducted as secondary evaluations. The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model should consider a time horizon that is appropriate </w:t>
      </w:r>
      <w:r>
        <w:rPr>
          <w:rFonts w:ascii="Lora" w:hAnsi="Lora" w:eastAsia="Lora"/>
          <w:b w:val="0"/>
          <w:i w:val="0"/>
          <w:color w:val="000000"/>
          <w:sz w:val="18"/>
        </w:rPr>
        <w:t>to the disease being studied and reflect the decision-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making, financial, and budget constraints consistent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with the perspective. The time horizon should be long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enough to reflect all important differences in costs and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outcomes between the technologies being compared.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Adjustment for time preference should be incorporated </w:t>
      </w:r>
    </w:p>
    <w:p>
      <w:pPr>
        <w:sectPr>
          <w:type w:val="nextColumn"/>
          <w:pgSz w:w="11880" w:h="15660"/>
          <w:pgMar w:top="360" w:right="674" w:bottom="266" w:left="0" w:header="720" w:footer="720" w:gutter="0"/>
          <w:cols w:num="2" w:equalWidth="0">
            <w:col w:w="6032" w:space="0"/>
            <w:col w:w="5173" w:space="0"/>
          </w:cols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140.0" w:type="dxa"/>
      </w:tblPr>
      <w:tblGrid>
        <w:gridCol w:w="4770"/>
        <w:gridCol w:w="4770"/>
      </w:tblGrid>
      <w:tr>
        <w:trPr>
          <w:trHeight w:hRule="exact" w:val="362"/>
        </w:trPr>
        <w:tc>
          <w:tcPr>
            <w:tcW w:type="dxa" w:w="574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4" w:after="0"/>
              <w:ind w:left="0" w:right="90" w:firstLine="0"/>
              <w:jc w:val="right"/>
            </w:pPr>
            <w:r>
              <w:rPr>
                <w:rFonts w:ascii="Asap" w:hAnsi="Asap" w:eastAsia="Asap"/>
                <w:b/>
                <w:i w:val="0"/>
                <w:color w:val="474C55"/>
                <w:sz w:val="18"/>
              </w:rPr>
              <w:t>AMCP FORMAT 5.0</w:t>
            </w:r>
          </w:p>
        </w:tc>
        <w:tc>
          <w:tcPr>
            <w:tcW w:type="dxa" w:w="1094"/>
            <w:tcBorders/>
            <w:shd w:fill="6b146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72" w:after="0"/>
              <w:ind w:left="90" w:right="0" w:firstLine="0"/>
              <w:jc w:val="left"/>
            </w:pPr>
            <w:r>
              <w:rPr>
                <w:rFonts w:ascii="Asap" w:hAnsi="Asap" w:eastAsia="Asap"/>
                <w:b/>
                <w:i w:val="0"/>
                <w:color w:val="FFFFFF"/>
                <w:sz w:val="18"/>
              </w:rPr>
              <w:t>37</w:t>
            </w:r>
          </w:p>
        </w:tc>
      </w:tr>
    </w:tbl>
    <w:p>
      <w:pPr>
        <w:autoSpaceDN w:val="0"/>
        <w:autoSpaceDE w:val="0"/>
        <w:widowControl/>
        <w:spacing w:line="14" w:lineRule="exact" w:before="0" w:after="1038"/>
        <w:ind w:left="0" w:right="0"/>
      </w:pPr>
    </w:p>
    <w:p>
      <w:pPr>
        <w:sectPr>
          <w:pgSz w:w="11880" w:h="15660"/>
          <w:pgMar w:top="360" w:right="0" w:bottom="266" w:left="90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45" w:lineRule="auto" w:before="0" w:after="0"/>
        <w:ind w:left="0" w:right="246" w:firstLine="0"/>
        <w:jc w:val="both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as appropriate and follow U.S. Public Health Service Panel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recommendations (discounting both future costs and </w:t>
      </w:r>
      <w:r>
        <w:rPr>
          <w:rFonts w:ascii="Lora" w:hAnsi="Lora" w:eastAsia="Lora"/>
          <w:b w:val="0"/>
          <w:i w:val="0"/>
          <w:color w:val="000000"/>
          <w:sz w:val="18"/>
        </w:rPr>
        <w:t>health effects).</w:t>
      </w:r>
      <w:r>
        <w:rPr>
          <w:w w:val="104.94000434875488"/>
          <w:rFonts w:ascii="Lora" w:hAnsi="Lora" w:eastAsia="Lora"/>
          <w:b w:val="0"/>
          <w:i w:val="0"/>
          <w:color w:val="000000"/>
          <w:sz w:val="10"/>
        </w:rPr>
        <w:t>73</w:t>
      </w:r>
    </w:p>
    <w:p>
      <w:pPr>
        <w:autoSpaceDN w:val="0"/>
        <w:autoSpaceDE w:val="0"/>
        <w:widowControl/>
        <w:spacing w:line="242" w:lineRule="exact" w:before="88" w:after="0"/>
        <w:ind w:left="0" w:right="144" w:firstLine="0"/>
        <w:jc w:val="left"/>
      </w:pPr>
      <w:r>
        <w:rPr>
          <w:rFonts w:ascii="Asap" w:hAnsi="Asap" w:eastAsia="Asap"/>
          <w:b/>
          <w:i w:val="0"/>
          <w:color w:val="007EC5"/>
          <w:sz w:val="18"/>
        </w:rPr>
        <w:t xml:space="preserve">4.2.2B DATA SOURCES 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The identification, selection, interpretation, and use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of data to inform the model are key to the modeling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process and should receive ample attention from model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developers and users. The analysis should be based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on the highest-quality and most up-to-date clinical,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epidemiologic, patient, and economic data available from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the sources most relevant to the model. The process for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identifying, evaluating, and selecting all the data in the </w:t>
      </w:r>
      <w:r>
        <w:rPr>
          <w:rFonts w:ascii="Lora" w:hAnsi="Lora" w:eastAsia="Lora"/>
          <w:b w:val="0"/>
          <w:i w:val="0"/>
          <w:color w:val="000000"/>
          <w:sz w:val="18"/>
        </w:rPr>
        <w:t>model should be clear and systematic.</w:t>
      </w:r>
    </w:p>
    <w:p>
      <w:pPr>
        <w:autoSpaceDN w:val="0"/>
        <w:tabs>
          <w:tab w:pos="180" w:val="left"/>
        </w:tabs>
        <w:autoSpaceDE w:val="0"/>
        <w:widowControl/>
        <w:spacing w:line="245" w:lineRule="auto" w:before="0" w:after="0"/>
        <w:ind w:left="0" w:right="144" w:firstLine="0"/>
        <w:jc w:val="left"/>
      </w:pP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It is important that modeled claims for cost-effective-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ness derive from well-conducted trials for the treatments </w:t>
      </w:r>
      <w:r>
        <w:rPr>
          <w:rFonts w:ascii="Lora" w:hAnsi="Lora" w:eastAsia="Lora"/>
          <w:b w:val="0"/>
          <w:i w:val="0"/>
          <w:color w:val="000000"/>
          <w:sz w:val="18"/>
        </w:rPr>
        <w:t>of interest. Ideally, comparative trials that evaluate treat-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ments directly should be used. In the absence of such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studies, indirect comparisons should be considered. In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general, relevant studies should: 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1. Directly or indirectly compare and quantify treatment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effects and other relevant patient-reported outcomes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(including quality of life).</w:t>
      </w:r>
    </w:p>
    <w:p>
      <w:pPr>
        <w:autoSpaceDN w:val="0"/>
        <w:tabs>
          <w:tab w:pos="180" w:val="left"/>
        </w:tabs>
        <w:autoSpaceDE w:val="0"/>
        <w:widowControl/>
        <w:spacing w:line="245" w:lineRule="auto" w:before="0" w:after="0"/>
        <w:ind w:left="0" w:right="288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>2. Assess patient and community preferences for alterna-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tive therapies.</w:t>
      </w:r>
    </w:p>
    <w:p>
      <w:pPr>
        <w:autoSpaceDN w:val="0"/>
        <w:tabs>
          <w:tab w:pos="180" w:val="left"/>
        </w:tabs>
        <w:autoSpaceDE w:val="0"/>
        <w:widowControl/>
        <w:spacing w:line="245" w:lineRule="auto" w:before="0" w:after="0"/>
        <w:ind w:left="0" w:right="144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3. Quantify costs and benefits over the natural course of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the disease.</w:t>
      </w:r>
    </w:p>
    <w:p>
      <w:pPr>
        <w:autoSpaceDN w:val="0"/>
        <w:tabs>
          <w:tab w:pos="180" w:val="left"/>
        </w:tabs>
        <w:autoSpaceDE w:val="0"/>
        <w:widowControl/>
        <w:spacing w:line="245" w:lineRule="auto" w:before="0" w:after="0"/>
        <w:ind w:left="0" w:right="144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4. Assess resources used to support alternative therapies.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5. Evaluate the effect of uncertainty on the claims made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for alternative therapies.</w:t>
      </w:r>
    </w:p>
    <w:p>
      <w:pPr>
        <w:autoSpaceDN w:val="0"/>
        <w:autoSpaceDE w:val="0"/>
        <w:widowControl/>
        <w:spacing w:line="245" w:lineRule="auto" w:before="82" w:after="0"/>
        <w:ind w:left="0" w:right="246" w:firstLine="180"/>
        <w:jc w:val="both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Parameter estimates used in the model for the product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under consideration should be closely linked with the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evidence provided in all sections of the Approved Product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Dossier. All necessary assumptions should be clearly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stated. In addition to the identification of base-case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estimates for the model, ranges for parameters should be </w:t>
      </w:r>
      <w:r>
        <w:rPr>
          <w:rFonts w:ascii="Lora" w:hAnsi="Lora" w:eastAsia="Lora"/>
          <w:b w:val="0"/>
          <w:i w:val="0"/>
          <w:color w:val="000000"/>
          <w:sz w:val="18"/>
        </w:rPr>
        <w:t>determined and well-referenced.</w:t>
      </w:r>
    </w:p>
    <w:p>
      <w:pPr>
        <w:autoSpaceDN w:val="0"/>
        <w:autoSpaceDE w:val="0"/>
        <w:widowControl/>
        <w:spacing w:line="242" w:lineRule="exact" w:before="82" w:after="0"/>
        <w:ind w:left="0" w:right="144" w:firstLine="0"/>
        <w:jc w:val="left"/>
      </w:pPr>
      <w:r>
        <w:rPr>
          <w:rFonts w:ascii="Asap" w:hAnsi="Asap" w:eastAsia="Asap"/>
          <w:b w:val="0"/>
          <w:i w:val="0"/>
          <w:color w:val="009EC4"/>
          <w:sz w:val="18"/>
        </w:rPr>
        <w:t xml:space="preserve">Drug Effectiveness 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>When available, RCT data should be assessed and con-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sidered as the basis of all efficacy or effectiveness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estimates. Justification should be provided for inclusion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and exclusion of any RCTs potentially relevant to the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analysis. When available, real-world evidence, including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prospective and retrospective observational trials, and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direct and indirect comparisons should be assessed for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relevance and validity, particularly when such evidence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further informs outcomes for populations that were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underrepresented in RCTs. If appropriate, these data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should also be incorporated into the model or addressed </w:t>
      </w:r>
      <w:r>
        <w:rPr>
          <w:rFonts w:ascii="Lora" w:hAnsi="Lora" w:eastAsia="Lora"/>
          <w:b w:val="0"/>
          <w:i w:val="0"/>
          <w:color w:val="000000"/>
          <w:sz w:val="18"/>
        </w:rPr>
        <w:t>in sensitivity analyses.</w:t>
      </w:r>
    </w:p>
    <w:p>
      <w:pPr>
        <w:sectPr>
          <w:type w:val="continuous"/>
          <w:pgSz w:w="11880" w:h="15660"/>
          <w:pgMar w:top="360" w:right="0" w:bottom="266" w:left="900" w:header="720" w:footer="720" w:gutter="0"/>
          <w:cols w:num="2" w:equalWidth="0">
            <w:col w:w="5154" w:space="0"/>
            <w:col w:w="5826" w:space="0"/>
          </w:cols>
          <w:docGrid w:linePitch="360"/>
        </w:sectPr>
      </w:pPr>
    </w:p>
    <w:p>
      <w:pPr>
        <w:autoSpaceDN w:val="0"/>
        <w:autoSpaceDE w:val="0"/>
        <w:widowControl/>
        <w:spacing w:line="240" w:lineRule="exact" w:before="0" w:after="0"/>
        <w:ind w:left="246" w:right="576" w:firstLine="0"/>
        <w:jc w:val="left"/>
      </w:pPr>
      <w:r>
        <w:rPr>
          <w:rFonts w:ascii="Asap" w:hAnsi="Asap" w:eastAsia="Asap"/>
          <w:b w:val="0"/>
          <w:i w:val="0"/>
          <w:color w:val="009EC4"/>
          <w:sz w:val="18"/>
        </w:rPr>
        <w:t xml:space="preserve">Drug Safety Data 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Clinically relevant adverse events observed in RCTs </w:t>
      </w:r>
      <w:r>
        <w:rPr>
          <w:rFonts w:ascii="Lora" w:hAnsi="Lora" w:eastAsia="Lora"/>
          <w:b w:val="0"/>
          <w:i w:val="0"/>
          <w:color w:val="000000"/>
          <w:sz w:val="18"/>
        </w:rPr>
        <w:t>should be included in the model, as well as signifi-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cant safety signals derived from other study types (e.g.,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observational studies and/or real-world evidence). The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economic impact of treatment-related adverse events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should be incorporated into cost-effectiveness analyses.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 wide range of estimates should be explored given the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challenge of accurately ascertaining the likelihood of </w:t>
      </w:r>
      <w:r>
        <w:rPr>
          <w:rFonts w:ascii="Lora" w:hAnsi="Lora" w:eastAsia="Lora"/>
          <w:b w:val="0"/>
          <w:i w:val="0"/>
          <w:color w:val="000000"/>
          <w:sz w:val="18"/>
        </w:rPr>
        <w:t>low-probability events.</w:t>
      </w:r>
    </w:p>
    <w:p>
      <w:pPr>
        <w:autoSpaceDN w:val="0"/>
        <w:autoSpaceDE w:val="0"/>
        <w:widowControl/>
        <w:spacing w:line="242" w:lineRule="exact" w:before="82" w:after="0"/>
        <w:ind w:left="246" w:right="576" w:firstLine="0"/>
        <w:jc w:val="left"/>
      </w:pPr>
      <w:r>
        <w:rPr>
          <w:rFonts w:ascii="Asap" w:hAnsi="Asap" w:eastAsia="Asap"/>
          <w:b w:val="0"/>
          <w:i w:val="0"/>
          <w:color w:val="007EC5"/>
          <w:sz w:val="18"/>
        </w:rPr>
        <w:t xml:space="preserve">Economic Data 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Unit cost data ideally would be relevant to HCDMs,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based on health care system data. If specific health care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system data are not available, costs from representative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U.S. private payers, Medicare, and others may be used.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Because the costs of infused and injected drugs may also </w:t>
      </w:r>
      <w:r>
        <w:rPr>
          <w:rFonts w:ascii="Lora" w:hAnsi="Lora" w:eastAsia="Lora"/>
          <w:b w:val="0"/>
          <w:i w:val="0"/>
          <w:color w:val="000000"/>
          <w:sz w:val="18"/>
        </w:rPr>
        <w:t>depend on the site of care, models should take these attri-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butes into consideration. Real-world evidence may also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inform estimates of related medical costs and utilization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patterns. Decision-analytic models should be sufficiently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flexible to adapt the input assumptions to conform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to local practice and billing patterns.  Additionally,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the methodology should clearly explain how the model </w:t>
      </w:r>
      <w:r>
        <w:rPr>
          <w:rFonts w:ascii="Lora" w:hAnsi="Lora" w:eastAsia="Lora"/>
          <w:b w:val="0"/>
          <w:i w:val="0"/>
          <w:color w:val="000000"/>
          <w:sz w:val="18"/>
        </w:rPr>
        <w:t>addresses patient cost-sharing for the treatment(s) evalu-</w:t>
      </w:r>
      <w:r>
        <w:rPr>
          <w:rFonts w:ascii="Lora" w:hAnsi="Lora" w:eastAsia="Lora"/>
          <w:b w:val="0"/>
          <w:i w:val="0"/>
          <w:color w:val="000000"/>
          <w:sz w:val="18"/>
        </w:rPr>
        <w:t>ated and assumptions about patient adherence.</w:t>
      </w:r>
      <w:r>
        <w:rPr>
          <w:w w:val="104.94000434875488"/>
          <w:rFonts w:ascii="Lora" w:hAnsi="Lora" w:eastAsia="Lora"/>
          <w:b w:val="0"/>
          <w:i w:val="0"/>
          <w:color w:val="000000"/>
          <w:sz w:val="10"/>
        </w:rPr>
        <w:t>70</w:t>
      </w:r>
    </w:p>
    <w:p>
      <w:pPr>
        <w:autoSpaceDN w:val="0"/>
        <w:autoSpaceDE w:val="0"/>
        <w:widowControl/>
        <w:spacing w:line="242" w:lineRule="exact" w:before="82" w:after="0"/>
        <w:ind w:left="246" w:right="576" w:firstLine="0"/>
        <w:jc w:val="left"/>
      </w:pPr>
      <w:r>
        <w:rPr>
          <w:rFonts w:ascii="Asap" w:hAnsi="Asap" w:eastAsia="Asap"/>
          <w:b w:val="0"/>
          <w:i w:val="0"/>
          <w:color w:val="007EC5"/>
          <w:sz w:val="18"/>
        </w:rPr>
        <w:t xml:space="preserve">Utilities 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Preference estimates should be derived from studies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surveying either patients or the general population, using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 direct elicitation method, such as time trade-off or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standard gamble, or an instrument, such as the EuroQol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(EQ-5D), Health Utilities Index (HUI), Short Form-Six </w:t>
      </w:r>
      <w:r>
        <w:rPr>
          <w:rFonts w:ascii="Lora" w:hAnsi="Lora" w:eastAsia="Lora"/>
          <w:b w:val="0"/>
          <w:i w:val="0"/>
          <w:color w:val="000000"/>
          <w:sz w:val="18"/>
        </w:rPr>
        <w:t>Dimension (SF-6D), or Quality of Well-Being (QWB).</w:t>
      </w:r>
    </w:p>
    <w:p>
      <w:pPr>
        <w:autoSpaceDN w:val="0"/>
        <w:autoSpaceDE w:val="0"/>
        <w:widowControl/>
        <w:spacing w:line="245" w:lineRule="auto" w:before="0" w:after="0"/>
        <w:ind w:left="246" w:right="672" w:firstLine="180"/>
        <w:jc w:val="both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Because cost-effectiveness analysis is conducted at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the population level, the ideal source of utility values is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the general population. This may be impractical in some </w:t>
      </w:r>
      <w:r>
        <w:rPr>
          <w:rFonts w:ascii="Lora" w:hAnsi="Lora" w:eastAsia="Lora"/>
          <w:b w:val="0"/>
          <w:i w:val="0"/>
          <w:color w:val="000000"/>
          <w:sz w:val="18"/>
        </w:rPr>
        <w:t>situations and trial-derived utilities may be used.</w:t>
      </w:r>
    </w:p>
    <w:p>
      <w:pPr>
        <w:autoSpaceDN w:val="0"/>
        <w:autoSpaceDE w:val="0"/>
        <w:widowControl/>
        <w:spacing w:line="246" w:lineRule="exact" w:before="78" w:after="0"/>
        <w:ind w:left="246" w:right="576" w:firstLine="0"/>
        <w:jc w:val="left"/>
      </w:pPr>
      <w:r>
        <w:rPr>
          <w:rFonts w:ascii="Asap" w:hAnsi="Asap" w:eastAsia="Asap"/>
          <w:b w:val="0"/>
          <w:i w:val="0"/>
          <w:color w:val="007EC5"/>
          <w:sz w:val="18"/>
        </w:rPr>
        <w:t xml:space="preserve">Demographic and Practice Pattern Data 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Ideally, the model would be interactive, allowing HCDMs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to incorporate demographic and practice pattern data, </w:t>
      </w:r>
      <w:r>
        <w:rPr>
          <w:rFonts w:ascii="Lora" w:hAnsi="Lora" w:eastAsia="Lora"/>
          <w:b w:val="0"/>
          <w:i w:val="0"/>
          <w:color w:val="000000"/>
          <w:sz w:val="18"/>
        </w:rPr>
        <w:t>improving the relevance of the model.</w:t>
      </w:r>
    </w:p>
    <w:p>
      <w:pPr>
        <w:autoSpaceDN w:val="0"/>
        <w:autoSpaceDE w:val="0"/>
        <w:widowControl/>
        <w:spacing w:line="246" w:lineRule="exact" w:before="78" w:after="0"/>
        <w:ind w:left="246" w:right="576" w:firstLine="0"/>
        <w:jc w:val="left"/>
      </w:pPr>
      <w:r>
        <w:rPr>
          <w:rFonts w:ascii="Asap" w:hAnsi="Asap" w:eastAsia="Asap"/>
          <w:b w:val="0"/>
          <w:i w:val="0"/>
          <w:color w:val="009EC4"/>
          <w:sz w:val="18"/>
        </w:rPr>
        <w:t xml:space="preserve">Surrogate Markers 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When surrogate markers are used to model longer-term </w:t>
      </w:r>
      <w:r>
        <w:rPr>
          <w:rFonts w:ascii="Lora" w:hAnsi="Lora" w:eastAsia="Lora"/>
          <w:b w:val="0"/>
          <w:i w:val="0"/>
          <w:color w:val="000000"/>
          <w:sz w:val="18"/>
        </w:rPr>
        <w:t>outcomes, specific evidence should be provided support-</w:t>
      </w:r>
      <w:r>
        <w:rPr>
          <w:rFonts w:ascii="Lora" w:hAnsi="Lora" w:eastAsia="Lora"/>
          <w:b w:val="0"/>
          <w:i w:val="0"/>
          <w:color w:val="000000"/>
          <w:sz w:val="18"/>
        </w:rPr>
        <w:t>ing their validity.</w:t>
      </w:r>
    </w:p>
    <w:p>
      <w:pPr>
        <w:autoSpaceDN w:val="0"/>
        <w:autoSpaceDE w:val="0"/>
        <w:widowControl/>
        <w:spacing w:line="244" w:lineRule="exact" w:before="80" w:after="0"/>
        <w:ind w:left="246" w:right="576" w:firstLine="0"/>
        <w:jc w:val="left"/>
      </w:pPr>
      <w:r>
        <w:rPr>
          <w:rFonts w:ascii="Asap" w:hAnsi="Asap" w:eastAsia="Asap"/>
          <w:b w:val="0"/>
          <w:i w:val="0"/>
          <w:color w:val="007EC5"/>
          <w:sz w:val="18"/>
        </w:rPr>
        <w:t xml:space="preserve">Expert Opinion 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>Data derived from expert panels are not generally accept-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able, especially for key effectiveness or safety variables.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However, this approach may be reasonable for other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variables where estimates are not available through </w:t>
      </w:r>
    </w:p>
    <w:p>
      <w:pPr>
        <w:autoSpaceDN w:val="0"/>
        <w:autoSpaceDE w:val="0"/>
        <w:widowControl/>
        <w:spacing w:line="186" w:lineRule="exact" w:before="536" w:after="0"/>
        <w:ind w:left="0" w:right="742" w:firstLine="0"/>
        <w:jc w:val="right"/>
      </w:pPr>
      <w:r>
        <w:rPr>
          <w:rFonts w:ascii="Asap" w:hAnsi="Asap" w:eastAsia="Asap"/>
          <w:b w:val="0"/>
          <w:i w:val="0"/>
          <w:color w:val="474C55"/>
          <w:sz w:val="14"/>
        </w:rPr>
        <w:t>Vol. 30, No. 4-b</w:t>
      </w:r>
      <w:r>
        <w:rPr>
          <w:rFonts w:ascii="Asap" w:hAnsi="Asap" w:eastAsia="Asap"/>
          <w:b w:val="0"/>
          <w:i w:val="0"/>
          <w:color w:val="474C55"/>
          <w:sz w:val="14"/>
        </w:rPr>
        <w:t>|</w:t>
      </w:r>
      <w:r>
        <w:rPr>
          <w:rFonts w:ascii="Asap" w:hAnsi="Asap" w:eastAsia="Asap"/>
          <w:b w:val="0"/>
          <w:i w:val="0"/>
          <w:color w:val="474C55"/>
          <w:sz w:val="14"/>
        </w:rPr>
        <w:t>April 2024</w:t>
      </w:r>
      <w:r>
        <w:rPr>
          <w:rFonts w:ascii="Asap" w:hAnsi="Asap" w:eastAsia="Asap"/>
          <w:b w:val="0"/>
          <w:i w:val="0"/>
          <w:color w:val="474C55"/>
          <w:sz w:val="14"/>
        </w:rPr>
        <w:t>|</w:t>
      </w:r>
      <w:r>
        <w:rPr>
          <w:rFonts w:ascii="Asap" w:hAnsi="Asap" w:eastAsia="Asap"/>
          <w:b/>
          <w:i w:val="0"/>
          <w:color w:val="14377D"/>
          <w:sz w:val="14"/>
        </w:rPr>
        <w:t xml:space="preserve"> JMCP</w:t>
      </w:r>
      <w:r>
        <w:rPr>
          <w:rFonts w:ascii="Asap" w:hAnsi="Asap" w:eastAsia="Asap"/>
          <w:b w:val="0"/>
          <w:i w:val="0"/>
          <w:color w:val="14377D"/>
          <w:sz w:val="14"/>
        </w:rPr>
        <w:t>.org</w:t>
      </w:r>
    </w:p>
    <w:p>
      <w:pPr>
        <w:sectPr>
          <w:type w:val="nextColumn"/>
          <w:pgSz w:w="11880" w:h="15660"/>
          <w:pgMar w:top="360" w:right="0" w:bottom="266" w:left="900" w:header="720" w:footer="720" w:gutter="0"/>
          <w:cols w:num="2" w:equalWidth="0">
            <w:col w:w="5154" w:space="0"/>
            <w:col w:w="5826" w:space="0"/>
          </w:cols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883"/>
        <w:gridCol w:w="4883"/>
      </w:tblGrid>
      <w:tr>
        <w:trPr>
          <w:trHeight w:hRule="exact" w:val="362"/>
        </w:trPr>
        <w:tc>
          <w:tcPr>
            <w:tcW w:type="dxa" w:w="1094"/>
            <w:tcBorders/>
            <w:shd w:fill="6b146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4" w:after="0"/>
              <w:ind w:left="0" w:right="90" w:firstLine="0"/>
              <w:jc w:val="right"/>
            </w:pPr>
            <w:r>
              <w:rPr>
                <w:rFonts w:ascii="Asap" w:hAnsi="Asap" w:eastAsia="Asap"/>
                <w:b/>
                <w:i w:val="0"/>
                <w:color w:val="FFFFFF"/>
                <w:sz w:val="18"/>
              </w:rPr>
              <w:t>38</w:t>
            </w:r>
          </w:p>
        </w:tc>
        <w:tc>
          <w:tcPr>
            <w:tcW w:type="dxa" w:w="584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4" w:after="0"/>
              <w:ind w:left="90" w:right="0" w:firstLine="0"/>
              <w:jc w:val="left"/>
            </w:pPr>
            <w:r>
              <w:rPr>
                <w:rFonts w:ascii="Asap" w:hAnsi="Asap" w:eastAsia="Asap"/>
                <w:b/>
                <w:i w:val="0"/>
                <w:color w:val="474C55"/>
                <w:sz w:val="18"/>
              </w:rPr>
              <w:t>AMCP FORMAT 5.0</w:t>
            </w:r>
          </w:p>
        </w:tc>
      </w:tr>
    </w:tbl>
    <w:p>
      <w:pPr>
        <w:autoSpaceDN w:val="0"/>
        <w:autoSpaceDE w:val="0"/>
        <w:widowControl/>
        <w:spacing w:line="14" w:lineRule="exact" w:before="0" w:after="1038"/>
        <w:ind w:left="0" w:right="0"/>
      </w:pPr>
    </w:p>
    <w:p>
      <w:pPr>
        <w:sectPr>
          <w:pgSz w:w="11880" w:h="15660"/>
          <w:pgMar w:top="360" w:right="674" w:bottom="266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45" w:lineRule="auto" w:before="0" w:after="0"/>
        <w:ind w:left="878" w:right="144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literature, databases, trials, or other typical sources. In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such cases, the expert assumptions should be clearly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stated and thoroughly tested in sensitivity analyses. </w:t>
      </w:r>
      <w:r>
        <w:rPr>
          <w:rFonts w:ascii="Lora" w:hAnsi="Lora" w:eastAsia="Lora"/>
          <w:b w:val="0"/>
          <w:i w:val="0"/>
          <w:color w:val="000000"/>
          <w:sz w:val="18"/>
        </w:rPr>
        <w:t>Inputs obtained from an expert panel should be modifi-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able in case local opinion leaders disagree with the panel </w:t>
      </w:r>
      <w:r>
        <w:rPr>
          <w:rFonts w:ascii="Lora" w:hAnsi="Lora" w:eastAsia="Lora"/>
          <w:b w:val="0"/>
          <w:i w:val="0"/>
          <w:color w:val="000000"/>
          <w:sz w:val="18"/>
        </w:rPr>
        <w:t>members.</w:t>
      </w:r>
    </w:p>
    <w:p>
      <w:pPr>
        <w:autoSpaceDN w:val="0"/>
        <w:autoSpaceDE w:val="0"/>
        <w:widowControl/>
        <w:spacing w:line="242" w:lineRule="exact" w:before="82" w:after="0"/>
        <w:ind w:left="878" w:right="144" w:firstLine="0"/>
        <w:jc w:val="left"/>
      </w:pPr>
      <w:r>
        <w:rPr>
          <w:rFonts w:ascii="Asap" w:hAnsi="Asap" w:eastAsia="Asap"/>
          <w:b w:val="0"/>
          <w:i w:val="0"/>
          <w:color w:val="007EC5"/>
          <w:sz w:val="18"/>
        </w:rPr>
        <w:t xml:space="preserve">Efficacy Versus Effectiveness 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When feasible and scientifically plausible, efficacy results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from RCTs should be transformed into effectiveness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parameters. For example, this may involve inclusion of an </w:t>
      </w:r>
      <w:r>
        <w:rPr>
          <w:rFonts w:ascii="Lora" w:hAnsi="Lora" w:eastAsia="Lora"/>
          <w:b w:val="0"/>
          <w:i w:val="0"/>
          <w:color w:val="000000"/>
          <w:sz w:val="18"/>
        </w:rPr>
        <w:t>adherence parameter into the model based on observa-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tional data. Documentation and a clear description of the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methodology will be necessary for health care system </w:t>
      </w:r>
      <w:r>
        <w:rPr>
          <w:rFonts w:ascii="Lora" w:hAnsi="Lora" w:eastAsia="Lora"/>
          <w:b w:val="0"/>
          <w:i w:val="0"/>
          <w:color w:val="000000"/>
          <w:sz w:val="18"/>
        </w:rPr>
        <w:t>staff to evaluate the validity of this approach.</w:t>
      </w:r>
    </w:p>
    <w:p>
      <w:pPr>
        <w:autoSpaceDN w:val="0"/>
        <w:autoSpaceDE w:val="0"/>
        <w:widowControl/>
        <w:spacing w:line="242" w:lineRule="exact" w:before="82" w:after="0"/>
        <w:ind w:left="878" w:right="144" w:firstLine="0"/>
        <w:jc w:val="left"/>
      </w:pPr>
      <w:r>
        <w:rPr>
          <w:rFonts w:ascii="Asap" w:hAnsi="Asap" w:eastAsia="Asap"/>
          <w:b w:val="0"/>
          <w:i w:val="0"/>
          <w:color w:val="007EC5"/>
          <w:sz w:val="18"/>
        </w:rPr>
        <w:t xml:space="preserve">Real-World Evidence 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While RCTs provide fundamental efficacy and safety data,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real-world evidence can provide valuable supplemental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insight. Prospective or retrospective observational data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may include larger populations than RCTs and more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accurately reflect real-world conditions and practical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utilization, which may enhance a model’s robustness and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applicability. Real-world evidence may be more limited in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quality due to the observational nature of data, greater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risk of confounding in an uncontrolled environment, and </w:t>
      </w:r>
      <w:r>
        <w:rPr>
          <w:rFonts w:ascii="Lora" w:hAnsi="Lora" w:eastAsia="Lora"/>
          <w:b w:val="0"/>
          <w:i w:val="0"/>
          <w:color w:val="000000"/>
          <w:sz w:val="18"/>
        </w:rPr>
        <w:t>limitations of current data sources.</w:t>
      </w:r>
    </w:p>
    <w:p>
      <w:pPr>
        <w:autoSpaceDN w:val="0"/>
        <w:autoSpaceDE w:val="0"/>
        <w:widowControl/>
        <w:spacing w:line="238" w:lineRule="exact" w:before="90" w:after="0"/>
        <w:ind w:left="878" w:right="0" w:firstLine="0"/>
        <w:jc w:val="left"/>
      </w:pPr>
      <w:r>
        <w:rPr>
          <w:rFonts w:ascii="Asap" w:hAnsi="Asap" w:eastAsia="Asap"/>
          <w:b/>
          <w:i w:val="0"/>
          <w:color w:val="007EC5"/>
          <w:sz w:val="18"/>
        </w:rPr>
        <w:t>4.2.3B CONDUCT</w:t>
      </w:r>
    </w:p>
    <w:p>
      <w:pPr>
        <w:autoSpaceDN w:val="0"/>
        <w:autoSpaceDE w:val="0"/>
        <w:widowControl/>
        <w:spacing w:line="242" w:lineRule="exact" w:before="94" w:after="0"/>
        <w:ind w:left="878" w:right="144" w:firstLine="0"/>
        <w:jc w:val="left"/>
      </w:pPr>
      <w:r>
        <w:rPr>
          <w:rFonts w:ascii="Asap" w:hAnsi="Asap" w:eastAsia="Asap"/>
          <w:b w:val="0"/>
          <w:i w:val="0"/>
          <w:color w:val="007EC5"/>
          <w:sz w:val="18"/>
        </w:rPr>
        <w:t xml:space="preserve">Base-case Estimates 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The expected (average) clinical and economic outcomes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should be calculated for each strategy evaluated, as well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as incremental costs and effectiveness. Differences in the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absolute risk of events should be determined, and health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care cost offsets versus drug costs should be displayed </w:t>
      </w:r>
      <w:r>
        <w:rPr>
          <w:rFonts w:ascii="Lora" w:hAnsi="Lora" w:eastAsia="Lora"/>
          <w:b w:val="0"/>
          <w:i w:val="0"/>
          <w:color w:val="000000"/>
          <w:sz w:val="18"/>
        </w:rPr>
        <w:t>independently and combined. Clinical risk-benefit trade-</w:t>
      </w:r>
      <w:r>
        <w:rPr>
          <w:rFonts w:ascii="Lora" w:hAnsi="Lora" w:eastAsia="Lora"/>
          <w:b w:val="0"/>
          <w:i w:val="0"/>
          <w:color w:val="000000"/>
          <w:sz w:val="18"/>
        </w:rPr>
        <w:t>offs should be explicitly presented and discussed.</w:t>
      </w:r>
    </w:p>
    <w:p>
      <w:pPr>
        <w:autoSpaceDN w:val="0"/>
        <w:autoSpaceDE w:val="0"/>
        <w:widowControl/>
        <w:spacing w:line="242" w:lineRule="exact" w:before="80" w:after="0"/>
        <w:ind w:left="878" w:right="144" w:firstLine="0"/>
        <w:jc w:val="left"/>
      </w:pPr>
      <w:r>
        <w:rPr>
          <w:rFonts w:ascii="Asap" w:hAnsi="Asap" w:eastAsia="Asap"/>
          <w:b w:val="0"/>
          <w:i w:val="0"/>
          <w:color w:val="007EC5"/>
          <w:sz w:val="18"/>
        </w:rPr>
        <w:t xml:space="preserve">Sensitivity Analysis 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Because cost-effectiveness models are simplified views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of disease processes, specifying the model structure is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important. Developers of such analyses should employ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established model frameworks, if available, and seek input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from clinicians to ensure that models have good face </w:t>
      </w:r>
      <w:r>
        <w:rPr>
          <w:rFonts w:ascii="Lora" w:hAnsi="Lora" w:eastAsia="Lora"/>
          <w:b w:val="0"/>
          <w:i w:val="0"/>
          <w:color w:val="000000"/>
          <w:sz w:val="18"/>
        </w:rPr>
        <w:t>validity for the disease or condition being evaluated.</w:t>
      </w:r>
    </w:p>
    <w:p>
      <w:pPr>
        <w:autoSpaceDN w:val="0"/>
        <w:autoSpaceDE w:val="0"/>
        <w:widowControl/>
        <w:spacing w:line="245" w:lineRule="auto" w:before="0" w:after="0"/>
        <w:ind w:left="878" w:right="144" w:firstLine="18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>Both deterministic and probabilistic sensitivity analy-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ses should be conducted to assess the robustness of the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results. Analysts should identify the distribution used for </w:t>
      </w:r>
      <w:r>
        <w:rPr>
          <w:rFonts w:ascii="Lora" w:hAnsi="Lora" w:eastAsia="Lora"/>
          <w:b w:val="0"/>
          <w:i w:val="0"/>
          <w:color w:val="000000"/>
          <w:sz w:val="18"/>
        </w:rPr>
        <w:t>each parameter that is included in a probabilistic sen-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sitivity analysis. One-way sensitivity analyses of all key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parameters in the model are also strongly recommended,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including assessment of effects on both incremental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effectiveness (e.g., QALYs) and cost-effectiveness. Use </w:t>
      </w:r>
    </w:p>
    <w:p>
      <w:pPr>
        <w:autoSpaceDN w:val="0"/>
        <w:autoSpaceDE w:val="0"/>
        <w:widowControl/>
        <w:spacing w:line="186" w:lineRule="exact" w:before="536" w:after="0"/>
        <w:ind w:left="740" w:right="0" w:firstLine="0"/>
        <w:jc w:val="left"/>
      </w:pPr>
      <w:r>
        <w:rPr>
          <w:rFonts w:ascii="Asap" w:hAnsi="Asap" w:eastAsia="Asap"/>
          <w:b/>
          <w:i w:val="0"/>
          <w:color w:val="14377D"/>
          <w:sz w:val="14"/>
        </w:rPr>
        <w:t>JMCP</w:t>
      </w:r>
      <w:r>
        <w:rPr>
          <w:rFonts w:ascii="Asap" w:hAnsi="Asap" w:eastAsia="Asap"/>
          <w:b w:val="0"/>
          <w:i w:val="0"/>
          <w:color w:val="14377D"/>
          <w:sz w:val="14"/>
        </w:rPr>
        <w:t>.org</w:t>
      </w:r>
      <w:r>
        <w:rPr>
          <w:rFonts w:ascii="Asap" w:hAnsi="Asap" w:eastAsia="Asap"/>
          <w:b w:val="0"/>
          <w:i w:val="0"/>
          <w:color w:val="474C55"/>
          <w:sz w:val="14"/>
        </w:rPr>
        <w:t>|</w:t>
      </w:r>
      <w:r>
        <w:rPr>
          <w:rFonts w:ascii="Asap" w:hAnsi="Asap" w:eastAsia="Asap"/>
          <w:b w:val="0"/>
          <w:i w:val="0"/>
          <w:color w:val="474C55"/>
          <w:sz w:val="14"/>
        </w:rPr>
        <w:t>April 2024</w:t>
      </w:r>
      <w:r>
        <w:rPr>
          <w:rFonts w:ascii="Asap" w:hAnsi="Asap" w:eastAsia="Asap"/>
          <w:b w:val="0"/>
          <w:i w:val="0"/>
          <w:color w:val="474C55"/>
          <w:sz w:val="14"/>
        </w:rPr>
        <w:t>|</w:t>
      </w:r>
      <w:r>
        <w:rPr>
          <w:rFonts w:ascii="Asap" w:hAnsi="Asap" w:eastAsia="Asap"/>
          <w:b w:val="0"/>
          <w:i w:val="0"/>
          <w:color w:val="474C55"/>
          <w:sz w:val="14"/>
        </w:rPr>
        <w:t>Vol. 30, No. 4-B</w:t>
      </w:r>
    </w:p>
    <w:p>
      <w:pPr>
        <w:sectPr>
          <w:type w:val="continuous"/>
          <w:pgSz w:w="11880" w:h="15660"/>
          <w:pgMar w:top="360" w:right="674" w:bottom="266" w:left="0" w:header="720" w:footer="720" w:gutter="0"/>
          <w:cols w:num="2" w:equalWidth="0">
            <w:col w:w="5942" w:space="0"/>
            <w:col w:w="5263" w:space="0"/>
          </w:cols>
          <w:docGrid w:linePitch="360"/>
        </w:sectPr>
      </w:pPr>
    </w:p>
    <w:p>
      <w:pPr>
        <w:autoSpaceDN w:val="0"/>
        <w:autoSpaceDE w:val="0"/>
        <w:widowControl/>
        <w:spacing w:line="245" w:lineRule="auto" w:before="0" w:after="0"/>
        <w:ind w:left="336" w:right="0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of generally accepted confidence levels (95%) should be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employed if parameter uncertainty is, at least largely,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characterized by random error. The use of tornado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diagrams is encouraged to identify the most influential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parameters. The parameters and assumptions that have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the greatest effect on the results should be identified.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Scenario analyses testing the assumptions used in the </w:t>
      </w:r>
      <w:r>
        <w:rPr>
          <w:rFonts w:ascii="Lora" w:hAnsi="Lora" w:eastAsia="Lora"/>
          <w:b w:val="0"/>
          <w:i w:val="0"/>
          <w:color w:val="000000"/>
          <w:sz w:val="18"/>
        </w:rPr>
        <w:t>model are also highly recommended. Generation of cost-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effectiveness scatter plots and acceptability curves are </w:t>
      </w:r>
      <w:r>
        <w:rPr>
          <w:rFonts w:ascii="Lora" w:hAnsi="Lora" w:eastAsia="Lora"/>
          <w:b w:val="0"/>
          <w:i w:val="0"/>
          <w:color w:val="000000"/>
          <w:sz w:val="18"/>
        </w:rPr>
        <w:t>recommended to display the results of the analysis.</w:t>
      </w:r>
    </w:p>
    <w:p>
      <w:pPr>
        <w:autoSpaceDN w:val="0"/>
        <w:tabs>
          <w:tab w:pos="876" w:val="left"/>
        </w:tabs>
        <w:autoSpaceDE w:val="0"/>
        <w:widowControl/>
        <w:spacing w:line="266" w:lineRule="exact" w:before="194" w:after="0"/>
        <w:ind w:left="156" w:right="0" w:firstLine="0"/>
        <w:jc w:val="left"/>
      </w:pPr>
      <w:r>
        <w:rPr>
          <w:rFonts w:ascii="Asap" w:hAnsi="Asap" w:eastAsia="Asap"/>
          <w:b/>
          <w:i w:val="0"/>
          <w:color w:val="14377D"/>
          <w:sz w:val="20"/>
        </w:rPr>
        <w:t xml:space="preserve">4.3B </w:t>
      </w:r>
      <w:r>
        <w:tab/>
      </w:r>
      <w:r>
        <w:rPr>
          <w:rFonts w:ascii="Asap" w:hAnsi="Asap" w:eastAsia="Asap"/>
          <w:b/>
          <w:i w:val="0"/>
          <w:color w:val="14377D"/>
          <w:sz w:val="20"/>
        </w:rPr>
        <w:t>BUDGET IMPACT MODEL</w:t>
      </w:r>
    </w:p>
    <w:p>
      <w:pPr>
        <w:autoSpaceDN w:val="0"/>
        <w:autoSpaceDE w:val="0"/>
        <w:widowControl/>
        <w:spacing w:line="238" w:lineRule="exact" w:before="96" w:after="0"/>
        <w:ind w:left="336" w:right="0" w:firstLine="0"/>
        <w:jc w:val="left"/>
      </w:pPr>
      <w:r>
        <w:rPr>
          <w:rFonts w:ascii="Asap" w:hAnsi="Asap" w:eastAsia="Asap"/>
          <w:b/>
          <w:i w:val="0"/>
          <w:color w:val="007EC5"/>
          <w:sz w:val="18"/>
        </w:rPr>
        <w:t>4.3.1B APPROACH AND FRAMEWORK</w:t>
      </w:r>
    </w:p>
    <w:p>
      <w:pPr>
        <w:autoSpaceDN w:val="0"/>
        <w:tabs>
          <w:tab w:pos="516" w:val="left"/>
        </w:tabs>
        <w:autoSpaceDE w:val="0"/>
        <w:widowControl/>
        <w:spacing w:line="242" w:lineRule="exact" w:before="94" w:after="0"/>
        <w:ind w:left="336" w:right="0" w:firstLine="0"/>
        <w:jc w:val="left"/>
      </w:pPr>
      <w:r>
        <w:rPr>
          <w:rFonts w:ascii="Asap" w:hAnsi="Asap" w:eastAsia="Asap"/>
          <w:b w:val="0"/>
          <w:i w:val="0"/>
          <w:color w:val="007EC5"/>
          <w:sz w:val="18"/>
        </w:rPr>
        <w:t xml:space="preserve">Guidelines 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The modeling approach and analytic framework of the </w:t>
      </w:r>
      <w:r>
        <w:rPr>
          <w:rFonts w:ascii="Lora" w:hAnsi="Lora" w:eastAsia="Lora"/>
          <w:b w:val="0"/>
          <w:i w:val="0"/>
          <w:color w:val="000000"/>
          <w:sz w:val="18"/>
        </w:rPr>
        <w:t>budget impact model should generally follow the guid-</w:t>
      </w:r>
      <w:r>
        <w:rPr>
          <w:rFonts w:ascii="Lora" w:hAnsi="Lora" w:eastAsia="Lora"/>
          <w:b w:val="0"/>
          <w:i w:val="0"/>
          <w:color w:val="000000"/>
          <w:sz w:val="18"/>
        </w:rPr>
        <w:t>ance provided by ISPOR.</w:t>
      </w:r>
      <w:r>
        <w:rPr>
          <w:w w:val="104.94000434875488"/>
          <w:rFonts w:ascii="Lora" w:hAnsi="Lora" w:eastAsia="Lora"/>
          <w:b w:val="0"/>
          <w:i w:val="0"/>
          <w:color w:val="000000"/>
          <w:sz w:val="10"/>
        </w:rPr>
        <w:t xml:space="preserve">71,72 </w:t>
      </w:r>
      <w:r>
        <w:br/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The model should be based on a health care system and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take the following into consideration: 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1. Characteristics of a health system, such as prevalence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and incidence of disease among the population and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restrictions to access.</w:t>
      </w:r>
    </w:p>
    <w:p>
      <w:pPr>
        <w:autoSpaceDN w:val="0"/>
        <w:tabs>
          <w:tab w:pos="516" w:val="left"/>
        </w:tabs>
        <w:autoSpaceDE w:val="0"/>
        <w:widowControl/>
        <w:spacing w:line="245" w:lineRule="auto" w:before="0" w:after="0"/>
        <w:ind w:left="336" w:right="0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2. Use and cost of current mix of therapies used to treat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the condition.</w:t>
      </w:r>
    </w:p>
    <w:p>
      <w:pPr>
        <w:autoSpaceDN w:val="0"/>
        <w:tabs>
          <w:tab w:pos="516" w:val="left"/>
        </w:tabs>
        <w:autoSpaceDE w:val="0"/>
        <w:widowControl/>
        <w:spacing w:line="245" w:lineRule="auto" w:before="0" w:after="0"/>
        <w:ind w:left="336" w:right="0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3. Projected use and costs of the new mix of therapies to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treat the condition.</w:t>
      </w:r>
    </w:p>
    <w:p>
      <w:pPr>
        <w:autoSpaceDN w:val="0"/>
        <w:tabs>
          <w:tab w:pos="516" w:val="left"/>
        </w:tabs>
        <w:autoSpaceDE w:val="0"/>
        <w:widowControl/>
        <w:spacing w:line="245" w:lineRule="auto" w:before="0" w:after="0"/>
        <w:ind w:left="336" w:right="0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4. Costs and cost offsets associated with change in use of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condition-specific health services.</w:t>
      </w:r>
    </w:p>
    <w:p>
      <w:pPr>
        <w:autoSpaceDN w:val="0"/>
        <w:autoSpaceDE w:val="0"/>
        <w:widowControl/>
        <w:spacing w:line="246" w:lineRule="exact" w:before="76" w:after="0"/>
        <w:ind w:left="336" w:right="0" w:firstLine="0"/>
        <w:jc w:val="left"/>
      </w:pPr>
      <w:r>
        <w:rPr>
          <w:rFonts w:ascii="Asap" w:hAnsi="Asap" w:eastAsia="Asap"/>
          <w:b w:val="0"/>
          <w:i w:val="0"/>
          <w:color w:val="007EC5"/>
          <w:sz w:val="18"/>
        </w:rPr>
        <w:t xml:space="preserve">Perspective and Time Frame 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>The perspective of the HCDM organization is recom-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mended. The time horizon of the model should be of </w:t>
      </w:r>
      <w:r>
        <w:rPr>
          <w:rFonts w:ascii="Lora" w:hAnsi="Lora" w:eastAsia="Lora"/>
          <w:b w:val="0"/>
          <w:i w:val="0"/>
          <w:color w:val="000000"/>
          <w:sz w:val="18"/>
        </w:rPr>
        <w:t>relevance to the HCDM, typically one to five years.</w:t>
      </w:r>
    </w:p>
    <w:p>
      <w:pPr>
        <w:autoSpaceDN w:val="0"/>
        <w:autoSpaceDE w:val="0"/>
        <w:widowControl/>
        <w:spacing w:line="246" w:lineRule="exact" w:before="78" w:after="0"/>
        <w:ind w:left="336" w:right="0" w:firstLine="0"/>
        <w:jc w:val="left"/>
      </w:pPr>
      <w:r>
        <w:rPr>
          <w:rFonts w:ascii="Asap" w:hAnsi="Asap" w:eastAsia="Asap"/>
          <w:b w:val="0"/>
          <w:i w:val="0"/>
          <w:color w:val="007EC5"/>
          <w:sz w:val="18"/>
        </w:rPr>
        <w:t xml:space="preserve">Population 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The target population for a budget impact model should </w:t>
      </w:r>
      <w:r>
        <w:rPr>
          <w:rFonts w:ascii="Lora" w:hAnsi="Lora" w:eastAsia="Lora"/>
          <w:b w:val="0"/>
          <w:i w:val="0"/>
          <w:color w:val="000000"/>
          <w:sz w:val="18"/>
        </w:rPr>
        <w:t>include all patients eligible to receive the new interven-</w:t>
      </w:r>
      <w:r>
        <w:rPr>
          <w:rFonts w:ascii="Lora" w:hAnsi="Lora" w:eastAsia="Lora"/>
          <w:b w:val="0"/>
          <w:i w:val="0"/>
          <w:color w:val="000000"/>
          <w:sz w:val="18"/>
        </w:rPr>
        <w:t>tion during the modeled time horizon.</w:t>
      </w:r>
    </w:p>
    <w:p>
      <w:pPr>
        <w:autoSpaceDN w:val="0"/>
        <w:autoSpaceDE w:val="0"/>
        <w:widowControl/>
        <w:spacing w:line="242" w:lineRule="exact" w:before="88" w:after="0"/>
        <w:ind w:left="336" w:right="0" w:firstLine="0"/>
        <w:jc w:val="left"/>
      </w:pPr>
      <w:r>
        <w:rPr>
          <w:rFonts w:ascii="Asap" w:hAnsi="Asap" w:eastAsia="Asap"/>
          <w:b/>
          <w:i w:val="0"/>
          <w:color w:val="007EC5"/>
          <w:sz w:val="18"/>
        </w:rPr>
        <w:t xml:space="preserve">4.3.2B DATA SOURCES 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The base-case model (as presented in the written dossier)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should be representative of the U.S. population or a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general commercial, Medicare, or Medicaid population.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However, the model should be sufficiently flexible to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allow users to input data specific to their setting, such as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size of the population, prevalence of the condition, and </w:t>
      </w:r>
      <w:r>
        <w:rPr>
          <w:rFonts w:ascii="Lora" w:hAnsi="Lora" w:eastAsia="Lora"/>
          <w:b w:val="0"/>
          <w:i w:val="0"/>
          <w:color w:val="000000"/>
          <w:sz w:val="18"/>
        </w:rPr>
        <w:t>estimated and projected costs and cost offsets.</w:t>
      </w:r>
    </w:p>
    <w:p>
      <w:pPr>
        <w:autoSpaceDN w:val="0"/>
        <w:autoSpaceDE w:val="0"/>
        <w:widowControl/>
        <w:spacing w:line="240" w:lineRule="exact" w:before="90" w:after="0"/>
        <w:ind w:left="336" w:right="0" w:firstLine="0"/>
        <w:jc w:val="left"/>
      </w:pPr>
      <w:r>
        <w:rPr>
          <w:rFonts w:ascii="Asap" w:hAnsi="Asap" w:eastAsia="Asap"/>
          <w:b/>
          <w:i w:val="0"/>
          <w:color w:val="007EC5"/>
          <w:sz w:val="18"/>
        </w:rPr>
        <w:t>4.3.3B CONDUCT</w:t>
      </w:r>
    </w:p>
    <w:p>
      <w:pPr>
        <w:autoSpaceDN w:val="0"/>
        <w:autoSpaceDE w:val="0"/>
        <w:widowControl/>
        <w:spacing w:line="248" w:lineRule="exact" w:before="86" w:after="0"/>
        <w:ind w:left="336" w:right="0" w:firstLine="0"/>
        <w:jc w:val="left"/>
      </w:pPr>
      <w:r>
        <w:rPr>
          <w:rFonts w:ascii="Asap" w:hAnsi="Asap" w:eastAsia="Asap"/>
          <w:b w:val="0"/>
          <w:i w:val="0"/>
          <w:color w:val="007EC5"/>
          <w:sz w:val="18"/>
        </w:rPr>
        <w:t xml:space="preserve">Results 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When reporting the economic impact of the intervention,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it is recommended to present the findings as both the </w:t>
      </w:r>
    </w:p>
    <w:p>
      <w:pPr>
        <w:sectPr>
          <w:type w:val="nextColumn"/>
          <w:pgSz w:w="11880" w:h="15660"/>
          <w:pgMar w:top="360" w:right="674" w:bottom="266" w:left="0" w:header="720" w:footer="720" w:gutter="0"/>
          <w:cols w:num="2" w:equalWidth="0">
            <w:col w:w="5942" w:space="0"/>
            <w:col w:w="5263" w:space="0"/>
          </w:cols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220.0" w:type="dxa"/>
      </w:tblPr>
      <w:tblGrid>
        <w:gridCol w:w="4860"/>
        <w:gridCol w:w="4860"/>
      </w:tblGrid>
      <w:tr>
        <w:trPr>
          <w:trHeight w:hRule="exact" w:val="362"/>
        </w:trPr>
        <w:tc>
          <w:tcPr>
            <w:tcW w:type="dxa" w:w="584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4" w:after="0"/>
              <w:ind w:left="0" w:right="90" w:firstLine="0"/>
              <w:jc w:val="right"/>
            </w:pPr>
            <w:r>
              <w:rPr>
                <w:rFonts w:ascii="Asap" w:hAnsi="Asap" w:eastAsia="Asap"/>
                <w:b/>
                <w:i w:val="0"/>
                <w:color w:val="474C55"/>
                <w:sz w:val="18"/>
              </w:rPr>
              <w:t>AMCP FORMAT 5.0</w:t>
            </w:r>
          </w:p>
        </w:tc>
        <w:tc>
          <w:tcPr>
            <w:tcW w:type="dxa" w:w="1094"/>
            <w:tcBorders/>
            <w:shd w:fill="6b146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72" w:after="0"/>
              <w:ind w:left="90" w:right="0" w:firstLine="0"/>
              <w:jc w:val="left"/>
            </w:pPr>
            <w:r>
              <w:rPr>
                <w:rFonts w:ascii="Asap" w:hAnsi="Asap" w:eastAsia="Asap"/>
                <w:b/>
                <w:i w:val="0"/>
                <w:color w:val="FFFFFF"/>
                <w:sz w:val="18"/>
              </w:rPr>
              <w:t>39</w:t>
            </w:r>
          </w:p>
        </w:tc>
      </w:tr>
    </w:tbl>
    <w:p>
      <w:pPr>
        <w:autoSpaceDN w:val="0"/>
        <w:autoSpaceDE w:val="0"/>
        <w:widowControl/>
        <w:spacing w:line="14" w:lineRule="exact" w:before="0" w:after="1038"/>
        <w:ind w:left="0" w:right="0"/>
      </w:pPr>
    </w:p>
    <w:p>
      <w:pPr>
        <w:sectPr>
          <w:pgSz w:w="11880" w:h="15660"/>
          <w:pgMar w:top="360" w:right="0" w:bottom="266" w:left="72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45" w:lineRule="auto" w:before="0" w:after="0"/>
        <w:ind w:left="180" w:right="144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PMPM cost difference and the overall budget impact on </w:t>
      </w:r>
      <w:r>
        <w:rPr>
          <w:rFonts w:ascii="Lora" w:hAnsi="Lora" w:eastAsia="Lora"/>
          <w:b w:val="0"/>
          <w:i w:val="0"/>
          <w:color w:val="000000"/>
          <w:sz w:val="18"/>
        </w:rPr>
        <w:t>the health system. Results may also include cost per-</w:t>
      </w:r>
      <w:r>
        <w:rPr>
          <w:rFonts w:ascii="Lora" w:hAnsi="Lora" w:eastAsia="Lora"/>
          <w:b w:val="0"/>
          <w:i w:val="0"/>
          <w:color w:val="000000"/>
          <w:sz w:val="18"/>
        </w:rPr>
        <w:t>treated member per-month (PTMPM).</w:t>
      </w:r>
    </w:p>
    <w:p>
      <w:pPr>
        <w:autoSpaceDN w:val="0"/>
        <w:autoSpaceDE w:val="0"/>
        <w:widowControl/>
        <w:spacing w:line="244" w:lineRule="exact" w:before="80" w:after="0"/>
        <w:ind w:left="180" w:right="144" w:firstLine="0"/>
        <w:jc w:val="left"/>
      </w:pPr>
      <w:r>
        <w:rPr>
          <w:rFonts w:ascii="Asap" w:hAnsi="Asap" w:eastAsia="Asap"/>
          <w:b w:val="0"/>
          <w:i w:val="0"/>
          <w:color w:val="007EC5"/>
          <w:sz w:val="18"/>
        </w:rPr>
        <w:t xml:space="preserve">Sensitivity Analysis 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Sensitivity analyses are recommended for assessing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parameter uncertainty within the budget impact model.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Scenario analyses are recommended to assess structural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uncertainty in model design and assumptions. </w:t>
      </w:r>
    </w:p>
    <w:p>
      <w:pPr>
        <w:autoSpaceDN w:val="0"/>
        <w:autoSpaceDE w:val="0"/>
        <w:widowControl/>
        <w:spacing w:line="245" w:lineRule="auto" w:before="0" w:after="134"/>
        <w:ind w:left="180" w:right="144" w:firstLine="18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>Any expected off-label use of the new health technol-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ogy should not be included in the main budget impact </w:t>
      </w:r>
      <w:r>
        <w:rPr>
          <w:rFonts w:ascii="Lora" w:hAnsi="Lora" w:eastAsia="Lora"/>
          <w:b w:val="0"/>
          <w:i w:val="0"/>
          <w:color w:val="000000"/>
          <w:sz w:val="18"/>
        </w:rPr>
        <w:t>analysis but may be considered in scenario analyses.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860"/>
        <w:gridCol w:w="4860"/>
      </w:tblGrid>
      <w:tr>
        <w:trPr>
          <w:trHeight w:hRule="exact" w:val="614"/>
        </w:trPr>
        <w:tc>
          <w:tcPr>
            <w:tcW w:type="dxa" w:w="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0" w:after="0"/>
              <w:ind w:left="0" w:right="0" w:firstLine="0"/>
              <w:jc w:val="left"/>
            </w:pPr>
            <w:r>
              <w:rPr>
                <w:rFonts w:ascii="Asap" w:hAnsi="Asap" w:eastAsia="Asap"/>
                <w:b/>
                <w:i w:val="0"/>
                <w:color w:val="14377D"/>
                <w:sz w:val="20"/>
              </w:rPr>
              <w:t xml:space="preserve">4.4B </w:t>
            </w:r>
          </w:p>
        </w:tc>
        <w:tc>
          <w:tcPr>
            <w:tcW w:type="dxa" w:w="4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86" w:after="0"/>
              <w:ind w:left="142" w:right="432" w:hanging="2"/>
              <w:jc w:val="left"/>
            </w:pPr>
            <w:r>
              <w:rPr>
                <w:rFonts w:ascii="Asap" w:hAnsi="Asap" w:eastAsia="Asap"/>
                <w:b/>
                <w:i w:val="0"/>
                <w:color w:val="14377D"/>
                <w:sz w:val="20"/>
              </w:rPr>
              <w:t xml:space="preserve">MODELING REPORT AND INTERACTIVE </w:t>
            </w:r>
            <w:r>
              <w:rPr>
                <w:rFonts w:ascii="Asap" w:hAnsi="Asap" w:eastAsia="Asap"/>
                <w:b/>
                <w:i w:val="0"/>
                <w:color w:val="14377D"/>
                <w:sz w:val="20"/>
              </w:rPr>
              <w:t>MODEL</w:t>
            </w:r>
          </w:p>
        </w:tc>
      </w:tr>
    </w:tbl>
    <w:p>
      <w:pPr>
        <w:autoSpaceDN w:val="0"/>
        <w:autoSpaceDE w:val="0"/>
        <w:widowControl/>
        <w:spacing w:line="240" w:lineRule="exact" w:before="46" w:after="0"/>
        <w:ind w:left="180" w:right="144" w:firstLine="0"/>
        <w:jc w:val="left"/>
      </w:pPr>
      <w:r>
        <w:rPr>
          <w:rFonts w:ascii="Asap" w:hAnsi="Asap" w:eastAsia="Asap"/>
          <w:b/>
          <w:i w:val="0"/>
          <w:color w:val="007EC5"/>
          <w:sz w:val="18"/>
        </w:rPr>
        <w:t xml:space="preserve">4.4.1B TRANSPARENCY 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>Transparency and clarity of presentation are a neces-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sity. The need for and value of transparency is widely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recognized and can provide some protection against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bias and error. Model transparency serves the important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purpose of providing both a high-level overview of the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model structure, components, and outputs, as well as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detailed documentation for users interested in evaluating </w:t>
      </w:r>
      <w:r>
        <w:rPr>
          <w:rFonts w:ascii="Lora" w:hAnsi="Lora" w:eastAsia="Lora"/>
          <w:b w:val="0"/>
          <w:i w:val="0"/>
          <w:color w:val="000000"/>
          <w:sz w:val="18"/>
        </w:rPr>
        <w:t>the technical elements of the model.</w:t>
      </w:r>
      <w:r>
        <w:rPr>
          <w:w w:val="104.94000434875488"/>
          <w:rFonts w:ascii="Lora" w:hAnsi="Lora" w:eastAsia="Lora"/>
          <w:b w:val="0"/>
          <w:i w:val="0"/>
          <w:color w:val="000000"/>
          <w:sz w:val="10"/>
        </w:rPr>
        <w:t>66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 Therefore, manu-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facturers are encouraged to focus efforts on the clarity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and transparency of results. Detailed descriptions that </w:t>
      </w:r>
      <w:r>
        <w:rPr>
          <w:rFonts w:ascii="Lora" w:hAnsi="Lora" w:eastAsia="Lora"/>
          <w:b w:val="0"/>
          <w:i w:val="0"/>
          <w:color w:val="000000"/>
          <w:sz w:val="18"/>
        </w:rPr>
        <w:t>explain the flow of data through the model are recom-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mended. All calculations should be explained in a simple,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straightforward manner to allow a non-health economist </w:t>
      </w:r>
      <w:r>
        <w:rPr>
          <w:rFonts w:ascii="Lora" w:hAnsi="Lora" w:eastAsia="Lora"/>
          <w:b w:val="0"/>
          <w:i w:val="0"/>
          <w:color w:val="000000"/>
          <w:sz w:val="18"/>
        </w:rPr>
        <w:t>to comprehend the analysis. The information and refer-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ences should be accessible in the report format, as well as </w:t>
      </w:r>
      <w:r>
        <w:rPr>
          <w:rFonts w:ascii="Lora" w:hAnsi="Lora" w:eastAsia="Lora"/>
          <w:b w:val="0"/>
          <w:i w:val="0"/>
          <w:color w:val="000000"/>
          <w:sz w:val="18"/>
        </w:rPr>
        <w:t>shown directly in the model to optimize ease of review.</w:t>
      </w:r>
    </w:p>
    <w:p>
      <w:pPr>
        <w:autoSpaceDN w:val="0"/>
        <w:autoSpaceDE w:val="0"/>
        <w:widowControl/>
        <w:spacing w:line="242" w:lineRule="exact" w:before="86" w:after="0"/>
        <w:ind w:left="180" w:right="144" w:firstLine="0"/>
        <w:jc w:val="left"/>
      </w:pPr>
      <w:r>
        <w:rPr>
          <w:rFonts w:ascii="Asap" w:hAnsi="Asap" w:eastAsia="Asap"/>
          <w:b/>
          <w:i w:val="0"/>
          <w:color w:val="007EC5"/>
          <w:sz w:val="18"/>
        </w:rPr>
        <w:t xml:space="preserve">4.4.2B MODELING REPORT FORMAT 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The modeling report should follow this format: (1)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Introduction/Background, (2) Methods, (3) Results, (4)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Limitations, and (5) Discussion. A 500-word abstract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following this same format should be provided on the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first page of the modeling report and include an explicit </w:t>
      </w:r>
      <w:r>
        <w:rPr>
          <w:rFonts w:ascii="Lora" w:hAnsi="Lora" w:eastAsia="Lora"/>
          <w:b w:val="0"/>
          <w:i w:val="0"/>
          <w:color w:val="000000"/>
          <w:sz w:val="18"/>
        </w:rPr>
        <w:t>description of the key drivers of the model results identi-</w:t>
      </w:r>
      <w:r>
        <w:rPr>
          <w:rFonts w:ascii="Lora" w:hAnsi="Lora" w:eastAsia="Lora"/>
          <w:b w:val="0"/>
          <w:i w:val="0"/>
          <w:color w:val="000000"/>
          <w:sz w:val="18"/>
        </w:rPr>
        <w:t>fied in sensitivity and scenario analyses.</w:t>
      </w:r>
    </w:p>
    <w:p>
      <w:pPr>
        <w:autoSpaceDN w:val="0"/>
        <w:autoSpaceDE w:val="0"/>
        <w:widowControl/>
        <w:spacing w:line="245" w:lineRule="auto" w:before="0" w:after="0"/>
        <w:ind w:left="180" w:right="246" w:firstLine="180"/>
        <w:jc w:val="both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Below are the minimum recommended figures and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tables for economic models. Multiple tables in each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category (e.g., Table 1a, 1b) may be used, if needed, based </w:t>
      </w:r>
      <w:r>
        <w:rPr>
          <w:rFonts w:ascii="Lora" w:hAnsi="Lora" w:eastAsia="Lora"/>
          <w:b w:val="0"/>
          <w:i w:val="0"/>
          <w:color w:val="000000"/>
          <w:sz w:val="18"/>
        </w:rPr>
        <w:t>on the modeling approach being presented.</w:t>
      </w:r>
    </w:p>
    <w:p>
      <w:pPr>
        <w:autoSpaceDN w:val="0"/>
        <w:autoSpaceDE w:val="0"/>
        <w:widowControl/>
        <w:spacing w:line="245" w:lineRule="auto" w:before="0" w:after="0"/>
        <w:ind w:left="180" w:right="246" w:firstLine="180"/>
        <w:jc w:val="both"/>
      </w:pPr>
      <w:r>
        <w:rPr>
          <w:rFonts w:ascii="Lora" w:hAnsi="Lora" w:eastAsia="Lora"/>
          <w:b/>
          <w:i w:val="0"/>
          <w:color w:val="000000"/>
          <w:sz w:val="18"/>
        </w:rPr>
        <w:t>Figure 1.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 Provide a figure displaying the structure of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the model (e.g., a decision tree, Markov model, budget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impact model). A simplified schematic diagram may be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used for ease of presentation, but a detailed figure should </w:t>
      </w:r>
      <w:r>
        <w:rPr>
          <w:rFonts w:ascii="Lora" w:hAnsi="Lora" w:eastAsia="Lora"/>
          <w:b w:val="0"/>
          <w:i w:val="0"/>
          <w:color w:val="000000"/>
          <w:sz w:val="18"/>
        </w:rPr>
        <w:t>also be included.</w:t>
      </w:r>
    </w:p>
    <w:p>
      <w:pPr>
        <w:autoSpaceDN w:val="0"/>
        <w:autoSpaceDE w:val="0"/>
        <w:widowControl/>
        <w:spacing w:line="245" w:lineRule="auto" w:before="0" w:after="0"/>
        <w:ind w:left="180" w:right="144" w:firstLine="180"/>
        <w:jc w:val="left"/>
      </w:pPr>
      <w:r>
        <w:rPr>
          <w:rFonts w:ascii="Lora" w:hAnsi="Lora" w:eastAsia="Lora"/>
          <w:b/>
          <w:i w:val="0"/>
          <w:color w:val="000000"/>
          <w:sz w:val="18"/>
        </w:rPr>
        <w:t>Table 1.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 Provide a table listing all the model inputs,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including probabilities, costs, and utility estimates if </w:t>
      </w:r>
    </w:p>
    <w:p>
      <w:pPr>
        <w:sectPr>
          <w:type w:val="continuous"/>
          <w:pgSz w:w="11880" w:h="15660"/>
          <w:pgMar w:top="360" w:right="0" w:bottom="266" w:left="720" w:header="720" w:footer="720" w:gutter="0"/>
          <w:cols w:num="2" w:equalWidth="0">
            <w:col w:w="5334" w:space="0"/>
            <w:col w:w="5826" w:space="0"/>
          </w:cols>
          <w:docGrid w:linePitch="360"/>
        </w:sectPr>
      </w:pPr>
    </w:p>
    <w:p>
      <w:pPr>
        <w:autoSpaceDN w:val="0"/>
        <w:autoSpaceDE w:val="0"/>
        <w:widowControl/>
        <w:spacing w:line="245" w:lineRule="auto" w:before="0" w:after="0"/>
        <w:ind w:left="246" w:right="720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>appropriate. Provide a range of values on which sensitiv-</w:t>
      </w:r>
      <w:r>
        <w:rPr>
          <w:rFonts w:ascii="Lora" w:hAnsi="Lora" w:eastAsia="Lora"/>
          <w:b w:val="0"/>
          <w:i w:val="0"/>
          <w:color w:val="000000"/>
          <w:sz w:val="18"/>
        </w:rPr>
        <w:t>ity analyses are based for each input.</w:t>
      </w:r>
    </w:p>
    <w:p>
      <w:pPr>
        <w:autoSpaceDN w:val="0"/>
        <w:tabs>
          <w:tab w:pos="426" w:val="left"/>
        </w:tabs>
        <w:autoSpaceDE w:val="0"/>
        <w:widowControl/>
        <w:spacing w:line="245" w:lineRule="auto" w:before="0" w:after="0"/>
        <w:ind w:left="246" w:right="576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1. Include references in the table for all inputs, including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ranges.</w:t>
      </w:r>
    </w:p>
    <w:p>
      <w:pPr>
        <w:autoSpaceDN w:val="0"/>
        <w:tabs>
          <w:tab w:pos="426" w:val="left"/>
        </w:tabs>
        <w:autoSpaceDE w:val="0"/>
        <w:widowControl/>
        <w:spacing w:line="245" w:lineRule="auto" w:before="0" w:after="0"/>
        <w:ind w:left="246" w:right="576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2. Note in the table any estimates that lack supporting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evidence.</w:t>
      </w:r>
    </w:p>
    <w:p>
      <w:pPr>
        <w:autoSpaceDN w:val="0"/>
        <w:autoSpaceDE w:val="0"/>
        <w:widowControl/>
        <w:spacing w:line="245" w:lineRule="auto" w:before="0" w:after="0"/>
        <w:ind w:left="246" w:right="576" w:firstLine="180"/>
        <w:jc w:val="left"/>
      </w:pPr>
      <w:r>
        <w:rPr>
          <w:rFonts w:ascii="Lora" w:hAnsi="Lora" w:eastAsia="Lora"/>
          <w:b/>
          <w:i w:val="0"/>
          <w:color w:val="000000"/>
          <w:sz w:val="18"/>
        </w:rPr>
        <w:t>Table 2.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 Provide an explicit list of model assumptions,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including assumptions about comparator interventions, </w:t>
      </w:r>
      <w:r>
        <w:rPr>
          <w:rFonts w:ascii="Lora" w:hAnsi="Lora" w:eastAsia="Lora"/>
          <w:b w:val="0"/>
          <w:i w:val="0"/>
          <w:color w:val="000000"/>
          <w:sz w:val="18"/>
        </w:rPr>
        <w:t>clinical events, patient management, delivery, adminis-</w:t>
      </w:r>
      <w:r>
        <w:rPr>
          <w:rFonts w:ascii="Lora" w:hAnsi="Lora" w:eastAsia="Lora"/>
          <w:b w:val="0"/>
          <w:i w:val="0"/>
          <w:color w:val="000000"/>
          <w:sz w:val="18"/>
        </w:rPr>
        <w:t>tration, setting of care, and costs.</w:t>
      </w:r>
    </w:p>
    <w:p>
      <w:pPr>
        <w:autoSpaceDN w:val="0"/>
        <w:tabs>
          <w:tab w:pos="426" w:val="left"/>
        </w:tabs>
        <w:autoSpaceDE w:val="0"/>
        <w:widowControl/>
        <w:spacing w:line="245" w:lineRule="auto" w:before="0" w:after="0"/>
        <w:ind w:left="246" w:right="576" w:firstLine="0"/>
        <w:jc w:val="left"/>
      </w:pPr>
      <w:r>
        <w:tab/>
      </w:r>
      <w:r>
        <w:rPr>
          <w:rFonts w:ascii="Lora" w:hAnsi="Lora" w:eastAsia="Lora"/>
          <w:b/>
          <w:i w:val="0"/>
          <w:color w:val="000000"/>
          <w:sz w:val="18"/>
        </w:rPr>
        <w:t>Table 3.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 Present the disaggregated results in a table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(e.g., cost-consequence style, with costs presented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separately from health outcomes). Data presented in this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format are more easily understood and interpreted by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health care system formulary committees. The following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specific data should be presented for each strategy as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appropriate for the analysis type: 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>1. The projected clinical events (e.g., heart attacks, cir-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rhosis, recurrence).</w:t>
      </w:r>
    </w:p>
    <w:p>
      <w:pPr>
        <w:autoSpaceDN w:val="0"/>
        <w:tabs>
          <w:tab w:pos="426" w:val="left"/>
        </w:tabs>
        <w:autoSpaceDE w:val="0"/>
        <w:widowControl/>
        <w:spacing w:line="245" w:lineRule="auto" w:before="0" w:after="0"/>
        <w:ind w:left="246" w:right="720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>2. The life expectancy, QALY estimates, or other mea-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sured outcomes.</w:t>
      </w:r>
    </w:p>
    <w:p>
      <w:pPr>
        <w:autoSpaceDN w:val="0"/>
        <w:autoSpaceDE w:val="0"/>
        <w:widowControl/>
        <w:spacing w:line="221" w:lineRule="auto" w:before="0" w:after="0"/>
        <w:ind w:left="246" w:right="0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>3. Total health care costs.</w:t>
      </w:r>
    </w:p>
    <w:p>
      <w:pPr>
        <w:autoSpaceDN w:val="0"/>
        <w:autoSpaceDE w:val="0"/>
        <w:widowControl/>
        <w:spacing w:line="245" w:lineRule="auto" w:before="0" w:after="0"/>
        <w:ind w:left="426" w:right="576" w:hanging="18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4. The cost of implementing therapy, including all </w:t>
      </w:r>
      <w:r>
        <w:rPr>
          <w:rFonts w:ascii="Lora" w:hAnsi="Lora" w:eastAsia="Lora"/>
          <w:b w:val="0"/>
          <w:i w:val="0"/>
          <w:color w:val="000000"/>
          <w:sz w:val="18"/>
        </w:rPr>
        <w:t>anticipated costs of care management, delivery, admin-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istration, and setting of care, and the resulting cost </w:t>
      </w:r>
      <w:r>
        <w:rPr>
          <w:rFonts w:ascii="Lora" w:hAnsi="Lora" w:eastAsia="Lora"/>
          <w:b w:val="0"/>
          <w:i w:val="0"/>
          <w:color w:val="000000"/>
          <w:sz w:val="18"/>
        </w:rPr>
        <w:t>offsets.</w:t>
      </w:r>
    </w:p>
    <w:p>
      <w:pPr>
        <w:autoSpaceDN w:val="0"/>
        <w:autoSpaceDE w:val="0"/>
        <w:widowControl/>
        <w:spacing w:line="245" w:lineRule="auto" w:before="0" w:after="0"/>
        <w:ind w:left="426" w:right="672" w:hanging="180"/>
        <w:jc w:val="both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5. Model results as appropriate for the model type (e.g.,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incremental cost-effectiveness ratios, PMPM estimates </w:t>
      </w:r>
      <w:r>
        <w:rPr>
          <w:rFonts w:ascii="Lora" w:hAnsi="Lora" w:eastAsia="Lora"/>
          <w:b w:val="0"/>
          <w:i w:val="0"/>
          <w:color w:val="000000"/>
          <w:sz w:val="18"/>
        </w:rPr>
        <w:t>of budget impact).</w:t>
      </w:r>
    </w:p>
    <w:p>
      <w:pPr>
        <w:autoSpaceDN w:val="0"/>
        <w:tabs>
          <w:tab w:pos="426" w:val="left"/>
        </w:tabs>
        <w:autoSpaceDE w:val="0"/>
        <w:widowControl/>
        <w:spacing w:line="245" w:lineRule="auto" w:before="0" w:after="0"/>
        <w:ind w:left="246" w:right="576" w:firstLine="0"/>
        <w:jc w:val="left"/>
      </w:pPr>
      <w:r>
        <w:tab/>
      </w:r>
      <w:r>
        <w:rPr>
          <w:rFonts w:ascii="Lora" w:hAnsi="Lora" w:eastAsia="Lora"/>
          <w:b/>
          <w:i w:val="0"/>
          <w:color w:val="000000"/>
          <w:sz w:val="18"/>
        </w:rPr>
        <w:t>Figure 2.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 Present one-way sensitivity analyses on all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model inputs in a figure (e.g., tornado diagram) or a table.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1. Clearly present the model inputs or assumptions that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drive the difference in (1) costs, (2) effects, and (3)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incremental cost-effectiveness.</w:t>
      </w:r>
    </w:p>
    <w:p>
      <w:pPr>
        <w:autoSpaceDN w:val="0"/>
        <w:autoSpaceDE w:val="0"/>
        <w:widowControl/>
        <w:spacing w:line="245" w:lineRule="auto" w:before="0" w:after="0"/>
        <w:ind w:left="426" w:right="672" w:hanging="180"/>
        <w:jc w:val="both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2. When appropriate, present multiway (e.g., two-way,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best- and worst-case scenario, probabilistic) sensitivity </w:t>
      </w:r>
      <w:r>
        <w:rPr>
          <w:rFonts w:ascii="Lora" w:hAnsi="Lora" w:eastAsia="Lora"/>
          <w:b w:val="0"/>
          <w:i w:val="0"/>
          <w:color w:val="000000"/>
          <w:sz w:val="18"/>
        </w:rPr>
        <w:t>analyses.</w:t>
      </w:r>
    </w:p>
    <w:p>
      <w:pPr>
        <w:autoSpaceDN w:val="0"/>
        <w:autoSpaceDE w:val="0"/>
        <w:widowControl/>
        <w:spacing w:line="242" w:lineRule="exact" w:before="82" w:after="0"/>
        <w:ind w:left="246" w:right="576" w:firstLine="0"/>
        <w:jc w:val="left"/>
      </w:pPr>
      <w:r>
        <w:rPr>
          <w:rFonts w:ascii="Asap" w:hAnsi="Asap" w:eastAsia="Asap"/>
          <w:b w:val="0"/>
          <w:i w:val="0"/>
          <w:color w:val="007EC5"/>
          <w:sz w:val="18"/>
        </w:rPr>
        <w:t xml:space="preserve">CHEERS Guidance 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In addition to the general guidance provided above, a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notable addition to the scientific literature related to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reporting standards for economic evaluations published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since our last AMCP Format revision is the Consolidated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Health Economic Evaluation Reporting Standards </w:t>
      </w:r>
      <w:r>
        <w:rPr>
          <w:rFonts w:ascii="Lora" w:hAnsi="Lora" w:eastAsia="Lora"/>
          <w:b w:val="0"/>
          <w:i w:val="0"/>
          <w:color w:val="000000"/>
          <w:sz w:val="18"/>
        </w:rPr>
        <w:t>(CHEERS) statement.</w:t>
      </w:r>
      <w:r>
        <w:rPr>
          <w:w w:val="104.94000434875488"/>
          <w:rFonts w:ascii="Lora" w:hAnsi="Lora" w:eastAsia="Lora"/>
          <w:b w:val="0"/>
          <w:i w:val="0"/>
          <w:color w:val="000000"/>
          <w:sz w:val="10"/>
        </w:rPr>
        <w:t>74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 This statement provides additional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guidance regarding preferred reporting standards for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economic evaluations and may serve as an additional </w:t>
      </w:r>
      <w:r>
        <w:rPr>
          <w:rFonts w:ascii="Lora" w:hAnsi="Lora" w:eastAsia="Lora"/>
          <w:b w:val="0"/>
          <w:i w:val="0"/>
          <w:color w:val="000000"/>
          <w:sz w:val="18"/>
        </w:rPr>
        <w:t>resource to model developers.</w:t>
      </w:r>
    </w:p>
    <w:p>
      <w:pPr>
        <w:autoSpaceDN w:val="0"/>
        <w:autoSpaceDE w:val="0"/>
        <w:widowControl/>
        <w:spacing w:line="238" w:lineRule="exact" w:before="90" w:after="0"/>
        <w:ind w:left="246" w:right="0" w:firstLine="0"/>
        <w:jc w:val="left"/>
      </w:pPr>
      <w:r>
        <w:rPr>
          <w:rFonts w:ascii="Asap" w:hAnsi="Asap" w:eastAsia="Asap"/>
          <w:b/>
          <w:i w:val="0"/>
          <w:color w:val="007EC5"/>
          <w:sz w:val="18"/>
        </w:rPr>
        <w:t>4.4.3B INTERACTIVE MODEL</w:t>
      </w:r>
    </w:p>
    <w:p>
      <w:pPr>
        <w:autoSpaceDN w:val="0"/>
        <w:autoSpaceDE w:val="0"/>
        <w:widowControl/>
        <w:spacing w:line="256" w:lineRule="exact" w:before="80" w:after="0"/>
        <w:ind w:left="246" w:right="576" w:firstLine="0"/>
        <w:jc w:val="left"/>
      </w:pPr>
      <w:r>
        <w:rPr>
          <w:rFonts w:ascii="Asap" w:hAnsi="Asap" w:eastAsia="Asap"/>
          <w:b w:val="0"/>
          <w:i w:val="0"/>
          <w:color w:val="007EC5"/>
          <w:sz w:val="18"/>
        </w:rPr>
        <w:t xml:space="preserve">Model Characteristics 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To improve transparency and ease of use, it is </w:t>
      </w:r>
    </w:p>
    <w:p>
      <w:pPr>
        <w:autoSpaceDN w:val="0"/>
        <w:autoSpaceDE w:val="0"/>
        <w:widowControl/>
        <w:spacing w:line="186" w:lineRule="exact" w:before="492" w:after="0"/>
        <w:ind w:left="0" w:right="742" w:firstLine="0"/>
        <w:jc w:val="right"/>
      </w:pPr>
      <w:r>
        <w:rPr>
          <w:rFonts w:ascii="Asap" w:hAnsi="Asap" w:eastAsia="Asap"/>
          <w:b w:val="0"/>
          <w:i w:val="0"/>
          <w:color w:val="474C55"/>
          <w:sz w:val="14"/>
        </w:rPr>
        <w:t>Vol. 30, No. 4-b</w:t>
      </w:r>
      <w:r>
        <w:rPr>
          <w:rFonts w:ascii="Asap" w:hAnsi="Asap" w:eastAsia="Asap"/>
          <w:b w:val="0"/>
          <w:i w:val="0"/>
          <w:color w:val="474C55"/>
          <w:sz w:val="14"/>
        </w:rPr>
        <w:t>|</w:t>
      </w:r>
      <w:r>
        <w:rPr>
          <w:rFonts w:ascii="Asap" w:hAnsi="Asap" w:eastAsia="Asap"/>
          <w:b w:val="0"/>
          <w:i w:val="0"/>
          <w:color w:val="474C55"/>
          <w:sz w:val="14"/>
        </w:rPr>
        <w:t>April 2024</w:t>
      </w:r>
      <w:r>
        <w:rPr>
          <w:rFonts w:ascii="Asap" w:hAnsi="Asap" w:eastAsia="Asap"/>
          <w:b w:val="0"/>
          <w:i w:val="0"/>
          <w:color w:val="474C55"/>
          <w:sz w:val="14"/>
        </w:rPr>
        <w:t>|</w:t>
      </w:r>
      <w:r>
        <w:rPr>
          <w:rFonts w:ascii="Asap" w:hAnsi="Asap" w:eastAsia="Asap"/>
          <w:b/>
          <w:i w:val="0"/>
          <w:color w:val="14377D"/>
          <w:sz w:val="14"/>
        </w:rPr>
        <w:t xml:space="preserve"> JMCP</w:t>
      </w:r>
      <w:r>
        <w:rPr>
          <w:rFonts w:ascii="Asap" w:hAnsi="Asap" w:eastAsia="Asap"/>
          <w:b w:val="0"/>
          <w:i w:val="0"/>
          <w:color w:val="14377D"/>
          <w:sz w:val="14"/>
        </w:rPr>
        <w:t>.org</w:t>
      </w:r>
    </w:p>
    <w:p>
      <w:pPr>
        <w:sectPr>
          <w:type w:val="nextColumn"/>
          <w:pgSz w:w="11880" w:h="15660"/>
          <w:pgMar w:top="360" w:right="0" w:bottom="266" w:left="720" w:header="720" w:footer="720" w:gutter="0"/>
          <w:cols w:num="2" w:equalWidth="0">
            <w:col w:w="5334" w:space="0"/>
            <w:col w:w="5826" w:space="0"/>
          </w:cols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883"/>
        <w:gridCol w:w="4883"/>
      </w:tblGrid>
      <w:tr>
        <w:trPr>
          <w:trHeight w:hRule="exact" w:val="362"/>
        </w:trPr>
        <w:tc>
          <w:tcPr>
            <w:tcW w:type="dxa" w:w="1094"/>
            <w:tcBorders/>
            <w:shd w:fill="6b146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4" w:after="0"/>
              <w:ind w:left="0" w:right="90" w:firstLine="0"/>
              <w:jc w:val="right"/>
            </w:pPr>
            <w:r>
              <w:rPr>
                <w:rFonts w:ascii="Asap" w:hAnsi="Asap" w:eastAsia="Asap"/>
                <w:b/>
                <w:i w:val="0"/>
                <w:color w:val="FFFFFF"/>
                <w:sz w:val="18"/>
              </w:rPr>
              <w:t>40</w:t>
            </w:r>
          </w:p>
        </w:tc>
        <w:tc>
          <w:tcPr>
            <w:tcW w:type="dxa" w:w="584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4" w:after="0"/>
              <w:ind w:left="90" w:right="0" w:firstLine="0"/>
              <w:jc w:val="left"/>
            </w:pPr>
            <w:r>
              <w:rPr>
                <w:rFonts w:ascii="Asap" w:hAnsi="Asap" w:eastAsia="Asap"/>
                <w:b/>
                <w:i w:val="0"/>
                <w:color w:val="474C55"/>
                <w:sz w:val="18"/>
              </w:rPr>
              <w:t>AMCP FORMAT 5.0</w:t>
            </w:r>
          </w:p>
        </w:tc>
      </w:tr>
    </w:tbl>
    <w:p>
      <w:pPr>
        <w:autoSpaceDN w:val="0"/>
        <w:autoSpaceDE w:val="0"/>
        <w:widowControl/>
        <w:spacing w:line="14" w:lineRule="exact" w:before="0" w:after="1038"/>
        <w:ind w:left="0" w:right="0"/>
      </w:pPr>
    </w:p>
    <w:p>
      <w:pPr>
        <w:sectPr>
          <w:pgSz w:w="11880" w:h="15660"/>
          <w:pgMar w:top="360" w:right="674" w:bottom="266" w:left="0" w:header="720" w:footer="720" w:gutter="0"/>
          <w:cols/>
          <w:docGrid w:linePitch="360"/>
        </w:sectPr>
      </w:pPr>
    </w:p>
    <w:p>
      <w:pPr>
        <w:autoSpaceDN w:val="0"/>
        <w:tabs>
          <w:tab w:pos="1058" w:val="left"/>
        </w:tabs>
        <w:autoSpaceDE w:val="0"/>
        <w:widowControl/>
        <w:spacing w:line="245" w:lineRule="auto" w:before="0" w:after="0"/>
        <w:ind w:left="878" w:right="144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>recommended that models be implemented in spread-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sheet software. Other software packages should only be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used if the user (1) is familiar with them, and (2) agrees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with the manufacturer about their use. Custom software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models are generally discouraged but may be suitable if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clearly documented in peer-reviewed publications and a </w:t>
      </w:r>
      <w:r>
        <w:rPr>
          <w:rFonts w:ascii="Lora" w:hAnsi="Lora" w:eastAsia="Lora"/>
          <w:b w:val="0"/>
          <w:i w:val="0"/>
          <w:color w:val="000000"/>
          <w:sz w:val="18"/>
        </w:rPr>
        <w:t>user’s manual. Interactive models should have the follow-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ing characteristics: 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1. All data and calculations relevant to the economic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model should be contained in the spreadsheet and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visible to the user.</w:t>
      </w:r>
    </w:p>
    <w:p>
      <w:pPr>
        <w:autoSpaceDN w:val="0"/>
        <w:autoSpaceDE w:val="0"/>
        <w:widowControl/>
        <w:spacing w:line="223" w:lineRule="auto" w:before="0" w:after="0"/>
        <w:ind w:left="0" w:right="0" w:firstLine="0"/>
        <w:jc w:val="center"/>
      </w:pPr>
      <w:r>
        <w:rPr>
          <w:rFonts w:ascii="Lora" w:hAnsi="Lora" w:eastAsia="Lora"/>
          <w:b w:val="0"/>
          <w:i w:val="0"/>
          <w:color w:val="000000"/>
          <w:sz w:val="18"/>
        </w:rPr>
        <w:t>2. All key inputs should be modifiable by the user.</w:t>
      </w:r>
    </w:p>
    <w:p>
      <w:pPr>
        <w:autoSpaceDN w:val="0"/>
        <w:autoSpaceDE w:val="0"/>
        <w:widowControl/>
        <w:spacing w:line="245" w:lineRule="auto" w:before="0" w:after="0"/>
        <w:ind w:left="1058" w:right="154" w:hanging="180"/>
        <w:jc w:val="both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3. To the extent feasible, the model, its logic, and its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calculations should be clear and self-documenting,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using best practices for formatting, comments, and </w:t>
      </w:r>
      <w:r>
        <w:rPr>
          <w:rFonts w:ascii="Lora" w:hAnsi="Lora" w:eastAsia="Lora"/>
          <w:b w:val="0"/>
          <w:i w:val="0"/>
          <w:color w:val="000000"/>
          <w:sz w:val="18"/>
        </w:rPr>
        <w:t>explanatory guides such as text boxes.</w:t>
      </w:r>
    </w:p>
    <w:p>
      <w:pPr>
        <w:autoSpaceDN w:val="0"/>
        <w:tabs>
          <w:tab w:pos="1058" w:val="left"/>
        </w:tabs>
        <w:autoSpaceDE w:val="0"/>
        <w:widowControl/>
        <w:spacing w:line="245" w:lineRule="auto" w:before="0" w:after="0"/>
        <w:ind w:left="878" w:right="144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>4. The model allows for analysis of relevant subpopula-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tions (age, sex, comorbidities) where applicable.</w:t>
      </w:r>
    </w:p>
    <w:p>
      <w:pPr>
        <w:autoSpaceDN w:val="0"/>
        <w:autoSpaceDE w:val="0"/>
        <w:widowControl/>
        <w:spacing w:line="245" w:lineRule="auto" w:before="0" w:after="0"/>
        <w:ind w:left="1058" w:right="154" w:hanging="180"/>
        <w:jc w:val="both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5. The model allows the health care system to incorporate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its own data (e.g., membership size, prevalence rates,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cost estimates) in place of default data, such as national </w:t>
      </w:r>
      <w:r>
        <w:rPr>
          <w:rFonts w:ascii="Lora" w:hAnsi="Lora" w:eastAsia="Lora"/>
          <w:b w:val="0"/>
          <w:i w:val="0"/>
          <w:color w:val="000000"/>
          <w:sz w:val="18"/>
        </w:rPr>
        <w:t>norms.</w:t>
      </w:r>
    </w:p>
    <w:p>
      <w:pPr>
        <w:autoSpaceDN w:val="0"/>
        <w:tabs>
          <w:tab w:pos="1058" w:val="left"/>
        </w:tabs>
        <w:autoSpaceDE w:val="0"/>
        <w:widowControl/>
        <w:spacing w:line="245" w:lineRule="auto" w:before="0" w:after="0"/>
        <w:ind w:left="878" w:right="144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6. The model provides automated one-way sensitivity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analysis.</w:t>
      </w:r>
    </w:p>
    <w:p>
      <w:pPr>
        <w:autoSpaceDN w:val="0"/>
        <w:autoSpaceDE w:val="0"/>
        <w:widowControl/>
        <w:spacing w:line="240" w:lineRule="exact" w:before="84" w:after="0"/>
        <w:ind w:left="878" w:right="144" w:firstLine="0"/>
        <w:jc w:val="left"/>
      </w:pPr>
      <w:r>
        <w:rPr>
          <w:rFonts w:ascii="Asap" w:hAnsi="Asap" w:eastAsia="Asap"/>
          <w:b w:val="0"/>
          <w:i w:val="0"/>
          <w:color w:val="007EC5"/>
          <w:sz w:val="18"/>
        </w:rPr>
        <w:t xml:space="preserve">Model Accessibility 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It is recommended that the health care system require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that an interactive model be made available electronically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(e.g., Microsoft Excel), preferably after meeting with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the manufacturer to review and discuss its design, key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assumptions, base-case results, sensitivity analyses, and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practical application. If the manufacturer will not provide </w:t>
      </w:r>
      <w:r>
        <w:rPr>
          <w:rFonts w:ascii="Lora" w:hAnsi="Lora" w:eastAsia="Lora"/>
          <w:b w:val="0"/>
          <w:i w:val="0"/>
          <w:color w:val="000000"/>
          <w:sz w:val="18"/>
        </w:rPr>
        <w:t>an interactive model for the HCDM’s use, a clear state-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ment to this effect and standing policy should be provided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in the modeling report. Alternative approaches include </w:t>
      </w:r>
      <w:r>
        <w:rPr>
          <w:rFonts w:ascii="Lora" w:hAnsi="Lora" w:eastAsia="Lora"/>
          <w:b w:val="0"/>
          <w:i w:val="0"/>
          <w:color w:val="000000"/>
          <w:sz w:val="18"/>
        </w:rPr>
        <w:t>interactive modification of the model with a representa-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tive of the manufacturer without providing a leave-behind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version of the model, although such arrangements are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less desirable. Manufacturers are also encouraged to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publish economic models in the peer-reviewed literature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and update the models and publications with real-world </w:t>
      </w:r>
      <w:r>
        <w:rPr>
          <w:rFonts w:ascii="Lora" w:hAnsi="Lora" w:eastAsia="Lora"/>
          <w:b w:val="0"/>
          <w:i w:val="0"/>
          <w:color w:val="000000"/>
          <w:sz w:val="18"/>
        </w:rPr>
        <w:t>evidence as available.</w:t>
      </w:r>
    </w:p>
    <w:p>
      <w:pPr>
        <w:autoSpaceDN w:val="0"/>
        <w:autoSpaceDE w:val="0"/>
        <w:widowControl/>
        <w:spacing w:line="245" w:lineRule="auto" w:before="0" w:after="0"/>
        <w:ind w:left="878" w:right="154" w:firstLine="180"/>
        <w:jc w:val="both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Model users should recognize that input parameters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must be plausible, and many combinations of inputs in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complex models will not be self-consistent. Thus, users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should modify model inputs based on available data and </w:t>
      </w:r>
      <w:r>
        <w:rPr>
          <w:rFonts w:ascii="Lora" w:hAnsi="Lora" w:eastAsia="Lora"/>
          <w:b w:val="0"/>
          <w:i w:val="0"/>
          <w:color w:val="000000"/>
          <w:sz w:val="18"/>
        </w:rPr>
        <w:t>reasonable assumptions.</w:t>
      </w:r>
    </w:p>
    <w:p>
      <w:pPr>
        <w:autoSpaceDN w:val="0"/>
        <w:autoSpaceDE w:val="0"/>
        <w:widowControl/>
        <w:spacing w:line="186" w:lineRule="exact" w:before="1654" w:after="0"/>
        <w:ind w:left="740" w:right="0" w:firstLine="0"/>
        <w:jc w:val="left"/>
      </w:pPr>
      <w:r>
        <w:rPr>
          <w:rFonts w:ascii="Asap" w:hAnsi="Asap" w:eastAsia="Asap"/>
          <w:b/>
          <w:i w:val="0"/>
          <w:color w:val="14377D"/>
          <w:sz w:val="14"/>
        </w:rPr>
        <w:t>JMCP</w:t>
      </w:r>
      <w:r>
        <w:rPr>
          <w:rFonts w:ascii="Asap" w:hAnsi="Asap" w:eastAsia="Asap"/>
          <w:b w:val="0"/>
          <w:i w:val="0"/>
          <w:color w:val="14377D"/>
          <w:sz w:val="14"/>
        </w:rPr>
        <w:t>.org</w:t>
      </w:r>
      <w:r>
        <w:rPr>
          <w:rFonts w:ascii="Asap" w:hAnsi="Asap" w:eastAsia="Asap"/>
          <w:b w:val="0"/>
          <w:i w:val="0"/>
          <w:color w:val="474C55"/>
          <w:sz w:val="14"/>
        </w:rPr>
        <w:t>|</w:t>
      </w:r>
      <w:r>
        <w:rPr>
          <w:rFonts w:ascii="Asap" w:hAnsi="Asap" w:eastAsia="Asap"/>
          <w:b w:val="0"/>
          <w:i w:val="0"/>
          <w:color w:val="474C55"/>
          <w:sz w:val="14"/>
        </w:rPr>
        <w:t>April 2024</w:t>
      </w:r>
      <w:r>
        <w:rPr>
          <w:rFonts w:ascii="Asap" w:hAnsi="Asap" w:eastAsia="Asap"/>
          <w:b w:val="0"/>
          <w:i w:val="0"/>
          <w:color w:val="474C55"/>
          <w:sz w:val="14"/>
        </w:rPr>
        <w:t>|</w:t>
      </w:r>
      <w:r>
        <w:rPr>
          <w:rFonts w:ascii="Asap" w:hAnsi="Asap" w:eastAsia="Asap"/>
          <w:b w:val="0"/>
          <w:i w:val="0"/>
          <w:color w:val="474C55"/>
          <w:sz w:val="14"/>
        </w:rPr>
        <w:t>Vol. 30, No. 4-B</w:t>
      </w:r>
    </w:p>
    <w:p>
      <w:pPr>
        <w:sectPr>
          <w:type w:val="continuous"/>
          <w:pgSz w:w="11880" w:h="15660"/>
          <w:pgMar w:top="360" w:right="674" w:bottom="266" w:left="0" w:header="720" w:footer="720" w:gutter="0"/>
          <w:cols w:num="2" w:equalWidth="0">
            <w:col w:w="5940" w:space="0"/>
            <w:col w:w="5265" w:space="0"/>
          </w:cols>
          <w:docGrid w:linePitch="360"/>
        </w:sectPr>
      </w:pPr>
    </w:p>
    <w:p>
      <w:pPr>
        <w:autoSpaceDN w:val="0"/>
        <w:autoSpaceDE w:val="0"/>
        <w:widowControl/>
        <w:spacing w:line="360" w:lineRule="exact" w:before="64" w:after="0"/>
        <w:ind w:left="158" w:right="1152" w:firstLine="0"/>
        <w:jc w:val="left"/>
      </w:pPr>
      <w:r>
        <w:rPr>
          <w:rFonts w:ascii="Asap" w:hAnsi="Asap" w:eastAsia="Asap"/>
          <w:b/>
          <w:i w:val="0"/>
          <w:color w:val="6C146B"/>
          <w:sz w:val="32"/>
        </w:rPr>
        <w:t xml:space="preserve">5.0B Additional Supporting </w:t>
      </w:r>
      <w:r>
        <w:rPr>
          <w:rFonts w:ascii="Asap" w:hAnsi="Asap" w:eastAsia="Asap"/>
          <w:b/>
          <w:i w:val="0"/>
          <w:color w:val="6C146B"/>
          <w:sz w:val="32"/>
        </w:rPr>
        <w:t>Evidence</w:t>
      </w:r>
    </w:p>
    <w:p>
      <w:pPr>
        <w:autoSpaceDN w:val="0"/>
        <w:autoSpaceDE w:val="0"/>
        <w:widowControl/>
        <w:spacing w:line="245" w:lineRule="auto" w:before="98" w:after="0"/>
        <w:ind w:left="158" w:right="0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The recommended length of Section 5.0B is two pages </w:t>
      </w:r>
      <w:r>
        <w:rPr>
          <w:rFonts w:ascii="Lora" w:hAnsi="Lora" w:eastAsia="Lora"/>
          <w:b w:val="0"/>
          <w:i w:val="0"/>
          <w:color w:val="000000"/>
          <w:sz w:val="18"/>
        </w:rPr>
        <w:t>(maximum five) for each study or source.</w:t>
      </w:r>
    </w:p>
    <w:p>
      <w:pPr>
        <w:autoSpaceDN w:val="0"/>
        <w:autoSpaceDE w:val="0"/>
        <w:widowControl/>
        <w:spacing w:line="245" w:lineRule="auto" w:before="0" w:after="0"/>
        <w:ind w:left="158" w:right="0" w:firstLine="18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Section 5.0B should consist of all other types of evidence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and studies that do not fit in Section 3.0B that support the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use and value of the product reported in a clear and concise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format. Examples include clinical practice guidelines, HTAs </w:t>
      </w:r>
      <w:r>
        <w:rPr>
          <w:rFonts w:ascii="Lora" w:hAnsi="Lora" w:eastAsia="Lora"/>
          <w:b w:val="0"/>
          <w:i w:val="0"/>
          <w:color w:val="000000"/>
          <w:sz w:val="18"/>
        </w:rPr>
        <w:t>and systematic reviews, compendia, modeling, and phar-</w:t>
      </w:r>
      <w:r>
        <w:rPr>
          <w:rFonts w:ascii="Lora" w:hAnsi="Lora" w:eastAsia="Lora"/>
          <w:b w:val="0"/>
          <w:i w:val="0"/>
          <w:color w:val="000000"/>
          <w:sz w:val="18"/>
        </w:rPr>
        <w:t>macoeconomic and pharmacoequity studies.</w:t>
      </w:r>
    </w:p>
    <w:p>
      <w:pPr>
        <w:autoSpaceDN w:val="0"/>
        <w:autoSpaceDE w:val="0"/>
        <w:widowControl/>
        <w:spacing w:line="245" w:lineRule="auto" w:before="0" w:after="0"/>
        <w:ind w:left="158" w:right="0" w:firstLine="18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Similar to Section 3.0B, evidence reported in this section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includes the following relevancy criteria: FDA-approved </w:t>
      </w:r>
      <w:r>
        <w:rPr>
          <w:rFonts w:ascii="Lora" w:hAnsi="Lora" w:eastAsia="Lora"/>
          <w:b w:val="0"/>
          <w:i w:val="0"/>
          <w:color w:val="000000"/>
          <w:sz w:val="18"/>
        </w:rPr>
        <w:t>indications and unapproved uses; published and unpub-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lished studies and data; any study regardless of study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design; study results regardless of positive, negative, or null </w:t>
      </w:r>
      <w:r>
        <w:rPr>
          <w:rFonts w:ascii="Lora" w:hAnsi="Lora" w:eastAsia="Lora"/>
          <w:b w:val="0"/>
          <w:i w:val="0"/>
          <w:color w:val="000000"/>
          <w:sz w:val="18"/>
        </w:rPr>
        <w:t>findings; and studies inside and outside of the U.S.</w:t>
      </w:r>
    </w:p>
    <w:p>
      <w:pPr>
        <w:autoSpaceDN w:val="0"/>
        <w:tabs>
          <w:tab w:pos="878" w:val="left"/>
        </w:tabs>
        <w:autoSpaceDE w:val="0"/>
        <w:widowControl/>
        <w:spacing w:line="240" w:lineRule="exact" w:before="222" w:after="0"/>
        <w:ind w:left="158" w:right="0" w:firstLine="0"/>
        <w:jc w:val="left"/>
      </w:pPr>
      <w:r>
        <w:rPr>
          <w:rFonts w:ascii="Asap" w:hAnsi="Asap" w:eastAsia="Asap"/>
          <w:b/>
          <w:i w:val="0"/>
          <w:color w:val="14377D"/>
          <w:sz w:val="20"/>
        </w:rPr>
        <w:t xml:space="preserve">5.1B </w:t>
      </w:r>
      <w:r>
        <w:tab/>
      </w:r>
      <w:r>
        <w:rPr>
          <w:rFonts w:ascii="Asap" w:hAnsi="Asap" w:eastAsia="Asap"/>
          <w:b/>
          <w:i w:val="0"/>
          <w:color w:val="14377D"/>
          <w:sz w:val="20"/>
        </w:rPr>
        <w:t xml:space="preserve">CLINICAL PRACTICE GUIDELINES 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Identify important clinical practice guidelines that have </w:t>
      </w:r>
      <w:r>
        <w:rPr>
          <w:rFonts w:ascii="Lora" w:hAnsi="Lora" w:eastAsia="Lora"/>
          <w:b w:val="0"/>
          <w:i w:val="0"/>
          <w:color w:val="000000"/>
          <w:sz w:val="18"/>
        </w:rPr>
        <w:t>been developed and published by medical societies, gov-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ernment agencies, and other national or international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organizations that are relevant to the product. This may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also include position statements, consensus statements,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clinical pathways, and other similarly termed guidance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that are evidence-based and provide specific clinical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recommendations. </w:t>
      </w:r>
    </w:p>
    <w:p>
      <w:pPr>
        <w:autoSpaceDN w:val="0"/>
        <w:autoSpaceDE w:val="0"/>
        <w:widowControl/>
        <w:spacing w:line="245" w:lineRule="auto" w:before="0" w:after="0"/>
        <w:ind w:left="158" w:right="22" w:firstLine="180"/>
        <w:jc w:val="both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Focus on guideline recommendations from the U.S. that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are specific to the product, its comparators, the disease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state, and how the new product is anticipated to be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included in or influenced by the guidelines. </w:t>
      </w:r>
    </w:p>
    <w:p>
      <w:pPr>
        <w:autoSpaceDN w:val="0"/>
        <w:autoSpaceDE w:val="0"/>
        <w:widowControl/>
        <w:spacing w:line="245" w:lineRule="auto" w:before="0" w:after="0"/>
        <w:ind w:left="158" w:right="20" w:firstLine="180"/>
        <w:jc w:val="both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Summarize information from clinical practice guidelines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briefly and, if feasible, provide a copy of the full guidelines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on request or provide links to the original guidelines. The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manufacturer should describe how it included or excluded </w:t>
      </w:r>
      <w:r>
        <w:rPr>
          <w:rFonts w:ascii="Lora" w:hAnsi="Lora" w:eastAsia="Lora"/>
          <w:b w:val="0"/>
          <w:i w:val="0"/>
          <w:color w:val="000000"/>
          <w:sz w:val="18"/>
        </w:rPr>
        <w:t>clinical practice guidelines in this section.</w:t>
      </w:r>
    </w:p>
    <w:p>
      <w:pPr>
        <w:autoSpaceDN w:val="0"/>
        <w:tabs>
          <w:tab w:pos="878" w:val="left"/>
        </w:tabs>
        <w:autoSpaceDE w:val="0"/>
        <w:widowControl/>
        <w:spacing w:line="240" w:lineRule="exact" w:before="222" w:after="0"/>
        <w:ind w:left="158" w:right="0" w:firstLine="0"/>
        <w:jc w:val="left"/>
      </w:pPr>
      <w:r>
        <w:rPr>
          <w:rFonts w:ascii="Asap" w:hAnsi="Asap" w:eastAsia="Asap"/>
          <w:b/>
          <w:i w:val="0"/>
          <w:color w:val="14377D"/>
          <w:sz w:val="20"/>
        </w:rPr>
        <w:t xml:space="preserve">5.2B </w:t>
      </w:r>
      <w:r>
        <w:tab/>
      </w:r>
      <w:r>
        <w:rPr>
          <w:rFonts w:ascii="Asap" w:hAnsi="Asap" w:eastAsia="Asap"/>
          <w:b/>
          <w:i w:val="0"/>
          <w:color w:val="14377D"/>
          <w:sz w:val="20"/>
        </w:rPr>
        <w:t xml:space="preserve">HTAS AND SYSTEMATIC REVIEWS 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>Summarize relevant HTAs, systematic reviews, and evi-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dence frameworks (also known as value frameworks) that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are available. Examples include Cochrane Collaboration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systematic reviews, formal systematic reviews published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in peer-reviewed journals, evidence reviews by AHRQ and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PCORI, reports from ICER, and HTAs from recognized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public or private organizations, including international </w:t>
      </w:r>
      <w:r>
        <w:rPr>
          <w:rFonts w:ascii="Lora" w:hAnsi="Lora" w:eastAsia="Lora"/>
          <w:b w:val="0"/>
          <w:i w:val="0"/>
          <w:color w:val="000000"/>
          <w:sz w:val="18"/>
        </w:rPr>
        <w:t>bodies such as NICE and CADTH. Summarize the informa-</w:t>
      </w:r>
      <w:r>
        <w:rPr>
          <w:rFonts w:ascii="Lora" w:hAnsi="Lora" w:eastAsia="Lora"/>
          <w:b w:val="0"/>
          <w:i w:val="0"/>
          <w:color w:val="000000"/>
          <w:sz w:val="18"/>
        </w:rPr>
        <w:t>tion that is relevant to the product.</w:t>
      </w:r>
    </w:p>
    <w:p>
      <w:pPr>
        <w:autoSpaceDN w:val="0"/>
        <w:tabs>
          <w:tab w:pos="878" w:val="left"/>
        </w:tabs>
        <w:autoSpaceDE w:val="0"/>
        <w:widowControl/>
        <w:spacing w:line="246" w:lineRule="exact" w:before="214" w:after="0"/>
        <w:ind w:left="158" w:right="0" w:firstLine="0"/>
        <w:jc w:val="left"/>
      </w:pPr>
      <w:r>
        <w:rPr>
          <w:rFonts w:ascii="Asap" w:hAnsi="Asap" w:eastAsia="Asap"/>
          <w:b/>
          <w:i w:val="0"/>
          <w:color w:val="14377D"/>
          <w:sz w:val="20"/>
        </w:rPr>
        <w:t xml:space="preserve">5.3B </w:t>
      </w:r>
      <w:r>
        <w:tab/>
      </w:r>
      <w:r>
        <w:rPr>
          <w:rFonts w:ascii="Asap" w:hAnsi="Asap" w:eastAsia="Asap"/>
          <w:b/>
          <w:i w:val="0"/>
          <w:color w:val="14377D"/>
          <w:sz w:val="20"/>
        </w:rPr>
        <w:t xml:space="preserve">COMPENDIA 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Summarize important information found in compendia </w:t>
      </w:r>
    </w:p>
    <w:p>
      <w:pPr>
        <w:sectPr>
          <w:type w:val="nextColumn"/>
          <w:pgSz w:w="11880" w:h="15660"/>
          <w:pgMar w:top="360" w:right="674" w:bottom="266" w:left="0" w:header="720" w:footer="720" w:gutter="0"/>
          <w:cols w:num="2" w:equalWidth="0">
            <w:col w:w="5940" w:space="0"/>
            <w:col w:w="5265" w:space="0"/>
          </w:cols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220.0" w:type="dxa"/>
      </w:tblPr>
      <w:tblGrid>
        <w:gridCol w:w="4860"/>
        <w:gridCol w:w="4860"/>
      </w:tblGrid>
      <w:tr>
        <w:trPr>
          <w:trHeight w:hRule="exact" w:val="362"/>
        </w:trPr>
        <w:tc>
          <w:tcPr>
            <w:tcW w:type="dxa" w:w="584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4" w:after="0"/>
              <w:ind w:left="0" w:right="90" w:firstLine="0"/>
              <w:jc w:val="right"/>
            </w:pPr>
            <w:r>
              <w:rPr>
                <w:rFonts w:ascii="Asap" w:hAnsi="Asap" w:eastAsia="Asap"/>
                <w:b/>
                <w:i w:val="0"/>
                <w:color w:val="474C55"/>
                <w:sz w:val="18"/>
              </w:rPr>
              <w:t>AMCP FORMAT 5.0</w:t>
            </w:r>
          </w:p>
        </w:tc>
        <w:tc>
          <w:tcPr>
            <w:tcW w:type="dxa" w:w="1094"/>
            <w:tcBorders/>
            <w:shd w:fill="6b146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72" w:after="0"/>
              <w:ind w:left="90" w:right="0" w:firstLine="0"/>
              <w:jc w:val="left"/>
            </w:pPr>
            <w:r>
              <w:rPr>
                <w:rFonts w:ascii="Asap" w:hAnsi="Asap" w:eastAsia="Asap"/>
                <w:b/>
                <w:i w:val="0"/>
                <w:color w:val="FFFFFF"/>
                <w:sz w:val="18"/>
              </w:rPr>
              <w:t>41</w:t>
            </w:r>
          </w:p>
        </w:tc>
      </w:tr>
    </w:tbl>
    <w:p>
      <w:pPr>
        <w:autoSpaceDN w:val="0"/>
        <w:autoSpaceDE w:val="0"/>
        <w:widowControl/>
        <w:spacing w:line="14" w:lineRule="exact" w:before="0" w:after="1038"/>
        <w:ind w:left="0" w:right="0"/>
      </w:pPr>
    </w:p>
    <w:p>
      <w:pPr>
        <w:sectPr>
          <w:pgSz w:w="11880" w:h="15660"/>
          <w:pgMar w:top="360" w:right="0" w:bottom="266" w:left="72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45" w:lineRule="auto" w:before="0" w:after="0"/>
        <w:ind w:left="0" w:right="154" w:firstLine="0"/>
        <w:jc w:val="both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that are officially recognized by the Secretary of Health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and Human Services that list the product. Since many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compendia publications are available only by subscription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and are protected by copyrights, companies may not be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able to provide PDF documents or reprints of the relevant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content, even if requested by HCDMs. Each manufacturer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may determine its own process for handling requests for </w:t>
      </w:r>
      <w:r>
        <w:rPr>
          <w:rFonts w:ascii="Lora" w:hAnsi="Lora" w:eastAsia="Lora"/>
          <w:b w:val="0"/>
          <w:i w:val="0"/>
          <w:color w:val="000000"/>
          <w:sz w:val="18"/>
        </w:rPr>
        <w:t>reprints or copies of compendia information.</w:t>
      </w:r>
    </w:p>
    <w:p>
      <w:pPr>
        <w:autoSpaceDN w:val="0"/>
        <w:tabs>
          <w:tab w:pos="720" w:val="left"/>
        </w:tabs>
        <w:autoSpaceDE w:val="0"/>
        <w:widowControl/>
        <w:spacing w:line="240" w:lineRule="exact" w:before="222" w:after="0"/>
        <w:ind w:left="0" w:right="144" w:firstLine="0"/>
        <w:jc w:val="left"/>
      </w:pPr>
      <w:r>
        <w:rPr>
          <w:rFonts w:ascii="Asap" w:hAnsi="Asap" w:eastAsia="Asap"/>
          <w:b/>
          <w:i w:val="0"/>
          <w:color w:val="14377D"/>
          <w:sz w:val="20"/>
        </w:rPr>
        <w:t xml:space="preserve">5.4B </w:t>
      </w:r>
      <w:r>
        <w:tab/>
      </w:r>
      <w:r>
        <w:rPr>
          <w:rFonts w:ascii="Asap" w:hAnsi="Asap" w:eastAsia="Asap"/>
          <w:b/>
          <w:i w:val="0"/>
          <w:color w:val="14377D"/>
          <w:sz w:val="20"/>
        </w:rPr>
        <w:t xml:space="preserve">OTHER ECONOMIC OR OUTCOMES EVIDENCE </w:t>
      </w:r>
      <w:r>
        <w:rPr>
          <w:rFonts w:ascii="Lora" w:hAnsi="Lora" w:eastAsia="Lora"/>
          <w:b w:val="0"/>
          <w:i w:val="0"/>
          <w:color w:val="000000"/>
          <w:sz w:val="18"/>
        </w:rPr>
        <w:t>Include published studies that result in economic evi-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dence or other outcomes that do not fit in Section 3.0B,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for example, pharmacoeconomic, modeling, health care </w:t>
      </w:r>
      <w:r>
        <w:rPr>
          <w:rFonts w:ascii="Lora" w:hAnsi="Lora" w:eastAsia="Lora"/>
          <w:b w:val="0"/>
          <w:i w:val="0"/>
          <w:color w:val="000000"/>
          <w:sz w:val="18"/>
        </w:rPr>
        <w:t>utilization, pharmacoequity, productivity studies, and real-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world evidence. Conduct and reporting of studies in this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section should follow accepted practice as evidenced by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published methodology and reporting guidelines from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reputable professional societies or government agencies.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 description of how studies were selected for inclusion </w:t>
      </w:r>
      <w:r>
        <w:rPr>
          <w:rFonts w:ascii="Lora" w:hAnsi="Lora" w:eastAsia="Lora"/>
          <w:b w:val="0"/>
          <w:i w:val="0"/>
          <w:color w:val="000000"/>
          <w:sz w:val="18"/>
        </w:rPr>
        <w:t>should be summarized and included.</w:t>
      </w:r>
    </w:p>
    <w:p>
      <w:pPr>
        <w:autoSpaceDN w:val="0"/>
        <w:tabs>
          <w:tab w:pos="180" w:val="left"/>
          <w:tab w:pos="360" w:val="left"/>
        </w:tabs>
        <w:autoSpaceDE w:val="0"/>
        <w:widowControl/>
        <w:spacing w:line="245" w:lineRule="auto" w:before="0" w:after="0"/>
        <w:ind w:left="0" w:right="144" w:firstLine="0"/>
        <w:jc w:val="left"/>
      </w:pP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Refer to Section 3.0B for items to be included in study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summaries and evidence tables. In addition, summaries of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economic studies should include the following: </w:t>
      </w:r>
      <w:r>
        <w:br/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1. Definition of economic endpoints (e.g., mean overall </w:t>
      </w:r>
      <w:r>
        <w:tab/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costs, cancer-related cost, cost per life-years gained, </w:t>
      </w:r>
      <w:r>
        <w:tab/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cost per QALY, including references for standard-of-</w:t>
      </w:r>
      <w:r>
        <w:tab/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care costs.</w:t>
      </w:r>
    </w:p>
    <w:p>
      <w:pPr>
        <w:autoSpaceDN w:val="0"/>
        <w:autoSpaceDE w:val="0"/>
        <w:widowControl/>
        <w:spacing w:line="221" w:lineRule="auto" w:before="0" w:after="0"/>
        <w:ind w:left="180" w:right="0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>2. Data sources for economic endpoints.</w:t>
      </w:r>
    </w:p>
    <w:p>
      <w:pPr>
        <w:autoSpaceDN w:val="0"/>
        <w:autoSpaceDE w:val="0"/>
        <w:widowControl/>
        <w:spacing w:line="245" w:lineRule="auto" w:before="0" w:after="0"/>
        <w:ind w:left="180" w:right="144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3. Statistical methods/math used to calculate endpoints. </w:t>
      </w:r>
      <w:r>
        <w:rPr>
          <w:rFonts w:ascii="Lora" w:hAnsi="Lora" w:eastAsia="Lora"/>
          <w:b w:val="0"/>
          <w:i w:val="0"/>
          <w:color w:val="000000"/>
          <w:sz w:val="18"/>
        </w:rPr>
        <w:t>4. Modeling methodology (if applicable).</w:t>
      </w:r>
    </w:p>
    <w:p>
      <w:pPr>
        <w:autoSpaceDN w:val="0"/>
        <w:autoSpaceDE w:val="0"/>
        <w:widowControl/>
        <w:spacing w:line="221" w:lineRule="auto" w:before="0" w:after="0"/>
        <w:ind w:left="180" w:right="0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>5. Sensitivity analysis (if applicable).</w:t>
      </w:r>
    </w:p>
    <w:p>
      <w:pPr>
        <w:autoSpaceDN w:val="0"/>
        <w:autoSpaceDE w:val="0"/>
        <w:widowControl/>
        <w:spacing w:line="245" w:lineRule="auto" w:before="0" w:after="0"/>
        <w:ind w:left="0" w:right="154" w:firstLine="180"/>
        <w:jc w:val="both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Refer to Section 3.0B for additional guidance that is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relevant for this section (e.g., provide reprints on request, </w:t>
      </w:r>
      <w:r>
        <w:rPr>
          <w:rFonts w:ascii="Lora" w:hAnsi="Lora" w:eastAsia="Lora"/>
          <w:b w:val="0"/>
          <w:i w:val="0"/>
          <w:color w:val="000000"/>
          <w:sz w:val="18"/>
        </w:rPr>
        <w:t>explain criteria for inclusion and exclusion of studies).</w:t>
      </w:r>
    </w:p>
    <w:p>
      <w:pPr>
        <w:autoSpaceDN w:val="0"/>
        <w:tabs>
          <w:tab w:pos="720" w:val="left"/>
        </w:tabs>
        <w:autoSpaceDE w:val="0"/>
        <w:widowControl/>
        <w:spacing w:line="240" w:lineRule="exact" w:before="222" w:after="0"/>
        <w:ind w:left="0" w:right="144" w:firstLine="0"/>
        <w:jc w:val="left"/>
      </w:pPr>
      <w:r>
        <w:rPr>
          <w:rFonts w:ascii="Asap" w:hAnsi="Asap" w:eastAsia="Asap"/>
          <w:b/>
          <w:i w:val="0"/>
          <w:color w:val="14377D"/>
          <w:sz w:val="20"/>
        </w:rPr>
        <w:t xml:space="preserve">5.5B </w:t>
      </w:r>
      <w:r>
        <w:tab/>
      </w:r>
      <w:r>
        <w:rPr>
          <w:rFonts w:ascii="Asap" w:hAnsi="Asap" w:eastAsia="Asap"/>
          <w:b/>
          <w:i w:val="0"/>
          <w:color w:val="14377D"/>
          <w:sz w:val="20"/>
        </w:rPr>
        <w:t xml:space="preserve">EFFECT ON EQUITY 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RCTs and cost-effectiveness analyses typically do not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address barriers to the equitable use of a new drug or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device. Such barriers may include, but are not limited to,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access to specialists, health disparities and social barriers, </w:t>
      </w:r>
      <w:r>
        <w:rPr>
          <w:rFonts w:ascii="Lora" w:hAnsi="Lora" w:eastAsia="Lora"/>
          <w:b w:val="0"/>
          <w:i w:val="0"/>
          <w:color w:val="000000"/>
          <w:sz w:val="18"/>
        </w:rPr>
        <w:t>stigma, and the patient’s ability to afford and utilize a medi-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cation. While health equity data for new interventions may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initially be very limited, equity considerations often have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implications for value assessment and should be discussed. </w:t>
      </w:r>
    </w:p>
    <w:p>
      <w:pPr>
        <w:autoSpaceDN w:val="0"/>
        <w:tabs>
          <w:tab w:pos="720" w:val="left"/>
        </w:tabs>
        <w:autoSpaceDE w:val="0"/>
        <w:widowControl/>
        <w:spacing w:line="242" w:lineRule="exact" w:before="218" w:after="0"/>
        <w:ind w:left="0" w:right="144" w:firstLine="0"/>
        <w:jc w:val="left"/>
      </w:pPr>
      <w:r>
        <w:rPr>
          <w:rFonts w:ascii="Asap" w:hAnsi="Asap" w:eastAsia="Asap"/>
          <w:b/>
          <w:i w:val="0"/>
          <w:color w:val="14377D"/>
          <w:sz w:val="20"/>
        </w:rPr>
        <w:t xml:space="preserve">5.6B </w:t>
      </w:r>
      <w:r>
        <w:tab/>
      </w:r>
      <w:r>
        <w:rPr>
          <w:rFonts w:ascii="Asap" w:hAnsi="Asap" w:eastAsia="Asap"/>
          <w:b/>
          <w:i w:val="0"/>
          <w:color w:val="14377D"/>
          <w:sz w:val="20"/>
        </w:rPr>
        <w:t xml:space="preserve">EFFECT ON QUALITY MEASURES 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This section is to accommodate information and research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where the product has a potential for or demonstrated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effect on quality measures that may not fit into any other </w:t>
      </w:r>
      <w:r>
        <w:rPr>
          <w:rFonts w:ascii="Lora" w:hAnsi="Lora" w:eastAsia="Lora"/>
          <w:b w:val="0"/>
          <w:i w:val="0"/>
          <w:color w:val="000000"/>
          <w:sz w:val="18"/>
        </w:rPr>
        <w:t>sections as described by the AMCP Format. If no informa-</w:t>
      </w:r>
      <w:r>
        <w:rPr>
          <w:rFonts w:ascii="Lora" w:hAnsi="Lora" w:eastAsia="Lora"/>
          <w:b w:val="0"/>
          <w:i w:val="0"/>
          <w:color w:val="000000"/>
          <w:sz w:val="18"/>
        </w:rPr>
        <w:t>tion exists, this section is not applicable.</w:t>
      </w:r>
    </w:p>
    <w:p>
      <w:pPr>
        <w:sectPr>
          <w:type w:val="continuous"/>
          <w:pgSz w:w="11880" w:h="15660"/>
          <w:pgMar w:top="360" w:right="0" w:bottom="266" w:left="720" w:header="720" w:footer="720" w:gutter="0"/>
          <w:cols w:num="2" w:equalWidth="0">
            <w:col w:w="5242" w:space="0"/>
            <w:col w:w="5918" w:space="0"/>
          </w:cols>
          <w:docGrid w:linePitch="360"/>
        </w:sectPr>
      </w:pPr>
    </w:p>
    <w:p>
      <w:pPr>
        <w:autoSpaceDN w:val="0"/>
        <w:tabs>
          <w:tab w:pos="878" w:val="left"/>
        </w:tabs>
        <w:autoSpaceDE w:val="0"/>
        <w:widowControl/>
        <w:spacing w:line="240" w:lineRule="exact" w:before="26" w:after="0"/>
        <w:ind w:left="158" w:right="576" w:firstLine="0"/>
        <w:jc w:val="left"/>
      </w:pPr>
      <w:r>
        <w:rPr>
          <w:rFonts w:ascii="Asap" w:hAnsi="Asap" w:eastAsia="Asap"/>
          <w:b/>
          <w:i w:val="0"/>
          <w:color w:val="14377D"/>
          <w:sz w:val="20"/>
        </w:rPr>
        <w:t xml:space="preserve">5.7B </w:t>
      </w:r>
      <w:r>
        <w:tab/>
      </w:r>
      <w:r>
        <w:rPr>
          <w:rFonts w:ascii="Asap" w:hAnsi="Asap" w:eastAsia="Asap"/>
          <w:b/>
          <w:i w:val="0"/>
          <w:color w:val="14377D"/>
          <w:sz w:val="20"/>
        </w:rPr>
        <w:t xml:space="preserve">OTHER EVIDENCE OR INFORMATION 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This section is to accommodate other important and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relevant evidence or information that may not fit into any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other sections as described by the AMCP Format. Examples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may include, but are not limited to, in vitro analytical tests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or animal studies that demonstrate pharmacokinetics for </w:t>
      </w:r>
      <w:r>
        <w:rPr>
          <w:rFonts w:ascii="Lora" w:hAnsi="Lora" w:eastAsia="Lora"/>
          <w:b w:val="0"/>
          <w:i w:val="0"/>
          <w:color w:val="000000"/>
          <w:sz w:val="18"/>
        </w:rPr>
        <w:t>biosimilar products; other ancillary evidence that demon-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strates the uniqueness, benefits, or value of the product;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or information regarding effects on patients’ families and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caregivers. If no information exists, this section is not </w:t>
      </w:r>
      <w:r>
        <w:rPr>
          <w:rFonts w:ascii="Lora" w:hAnsi="Lora" w:eastAsia="Lora"/>
          <w:b w:val="0"/>
          <w:i w:val="0"/>
          <w:color w:val="000000"/>
          <w:sz w:val="18"/>
        </w:rPr>
        <w:t>applicable.</w:t>
      </w:r>
    </w:p>
    <w:p>
      <w:pPr>
        <w:autoSpaceDN w:val="0"/>
        <w:autoSpaceDE w:val="0"/>
        <w:widowControl/>
        <w:spacing w:line="424" w:lineRule="exact" w:before="154" w:after="0"/>
        <w:ind w:left="158" w:right="0" w:firstLine="0"/>
        <w:jc w:val="left"/>
      </w:pPr>
      <w:r>
        <w:rPr>
          <w:rFonts w:ascii="Asap" w:hAnsi="Asap" w:eastAsia="Asap"/>
          <w:b/>
          <w:i w:val="0"/>
          <w:color w:val="6C146B"/>
          <w:sz w:val="32"/>
        </w:rPr>
        <w:t>6.0B Dossier Appendices</w:t>
      </w:r>
    </w:p>
    <w:p>
      <w:pPr>
        <w:autoSpaceDN w:val="0"/>
        <w:autoSpaceDE w:val="0"/>
        <w:widowControl/>
        <w:spacing w:line="245" w:lineRule="auto" w:before="98" w:after="0"/>
        <w:ind w:left="158" w:right="576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The following information is valuable to HCDMs and should </w:t>
      </w:r>
      <w:r>
        <w:rPr>
          <w:rFonts w:ascii="Lora" w:hAnsi="Lora" w:eastAsia="Lora"/>
          <w:b w:val="0"/>
          <w:i w:val="0"/>
          <w:color w:val="000000"/>
          <w:sz w:val="18"/>
        </w:rPr>
        <w:t>be included in Section 6.0B, where possible.</w:t>
      </w:r>
    </w:p>
    <w:p>
      <w:pPr>
        <w:autoSpaceDN w:val="0"/>
        <w:tabs>
          <w:tab w:pos="878" w:val="left"/>
        </w:tabs>
        <w:autoSpaceDE w:val="0"/>
        <w:widowControl/>
        <w:spacing w:line="242" w:lineRule="exact" w:before="218" w:after="0"/>
        <w:ind w:left="158" w:right="576" w:firstLine="0"/>
        <w:jc w:val="left"/>
      </w:pPr>
      <w:r>
        <w:rPr>
          <w:rFonts w:ascii="Asap" w:hAnsi="Asap" w:eastAsia="Asap"/>
          <w:b/>
          <w:i w:val="0"/>
          <w:color w:val="14377D"/>
          <w:sz w:val="20"/>
        </w:rPr>
        <w:t xml:space="preserve">6.1B </w:t>
      </w:r>
      <w:r>
        <w:tab/>
      </w:r>
      <w:r>
        <w:rPr>
          <w:rFonts w:ascii="Asap" w:hAnsi="Asap" w:eastAsia="Asap"/>
          <w:b/>
          <w:i w:val="0"/>
          <w:color w:val="14377D"/>
          <w:sz w:val="20"/>
        </w:rPr>
        <w:t xml:space="preserve">REFERENCES CONTAINED IN DOSSIERS 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Include citations for all known published clinical and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economic studies in the bibliography section. Reprints of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relevant published studies should be available on request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and, where possible, should provide links to original sources </w:t>
      </w:r>
      <w:r>
        <w:rPr>
          <w:rFonts w:ascii="Lora" w:hAnsi="Lora" w:eastAsia="Lora"/>
          <w:b w:val="0"/>
          <w:i w:val="0"/>
          <w:color w:val="000000"/>
          <w:sz w:val="18"/>
        </w:rPr>
        <w:t>if they are free.</w:t>
      </w:r>
    </w:p>
    <w:p>
      <w:pPr>
        <w:autoSpaceDN w:val="0"/>
        <w:tabs>
          <w:tab w:pos="878" w:val="left"/>
        </w:tabs>
        <w:autoSpaceDE w:val="0"/>
        <w:widowControl/>
        <w:spacing w:line="246" w:lineRule="exact" w:before="214" w:after="0"/>
        <w:ind w:left="158" w:right="3024" w:firstLine="0"/>
        <w:jc w:val="left"/>
      </w:pPr>
      <w:r>
        <w:rPr>
          <w:rFonts w:ascii="Asap" w:hAnsi="Asap" w:eastAsia="Asap"/>
          <w:b/>
          <w:i w:val="0"/>
          <w:color w:val="14377D"/>
          <w:sz w:val="20"/>
        </w:rPr>
        <w:t xml:space="preserve">6.2B </w:t>
      </w:r>
      <w:r>
        <w:tab/>
      </w:r>
      <w:r>
        <w:rPr>
          <w:rFonts w:ascii="Asap" w:hAnsi="Asap" w:eastAsia="Asap"/>
          <w:b/>
          <w:i w:val="0"/>
          <w:color w:val="14377D"/>
          <w:sz w:val="20"/>
        </w:rPr>
        <w:t xml:space="preserve">ECONOMIC MODELS 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>Include economic models.</w:t>
      </w:r>
    </w:p>
    <w:p>
      <w:pPr>
        <w:autoSpaceDN w:val="0"/>
        <w:tabs>
          <w:tab w:pos="878" w:val="left"/>
        </w:tabs>
        <w:autoSpaceDE w:val="0"/>
        <w:widowControl/>
        <w:spacing w:line="242" w:lineRule="exact" w:before="218" w:after="0"/>
        <w:ind w:left="158" w:right="576" w:firstLine="0"/>
        <w:jc w:val="left"/>
      </w:pPr>
      <w:r>
        <w:rPr>
          <w:rFonts w:ascii="Asap" w:hAnsi="Asap" w:eastAsia="Asap"/>
          <w:b/>
          <w:i w:val="0"/>
          <w:color w:val="14377D"/>
          <w:sz w:val="20"/>
        </w:rPr>
        <w:t xml:space="preserve">6.3C </w:t>
      </w:r>
      <w:r>
        <w:tab/>
      </w:r>
      <w:r>
        <w:rPr>
          <w:rFonts w:ascii="Asap" w:hAnsi="Asap" w:eastAsia="Asap"/>
          <w:b/>
          <w:i w:val="0"/>
          <w:color w:val="14377D"/>
          <w:sz w:val="20"/>
        </w:rPr>
        <w:t xml:space="preserve">PRODUCT PRESCRIBING INFORMATION 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Include the FDA-approved PI and instructions for use for </w:t>
      </w:r>
      <w:r>
        <w:rPr>
          <w:rFonts w:ascii="Lora" w:hAnsi="Lora" w:eastAsia="Lora"/>
          <w:b w:val="0"/>
          <w:i w:val="0"/>
          <w:color w:val="000000"/>
          <w:sz w:val="18"/>
        </w:rPr>
        <w:t>the approved uses of the product.</w:t>
      </w:r>
    </w:p>
    <w:p>
      <w:pPr>
        <w:autoSpaceDN w:val="0"/>
        <w:tabs>
          <w:tab w:pos="878" w:val="left"/>
        </w:tabs>
        <w:autoSpaceDE w:val="0"/>
        <w:widowControl/>
        <w:spacing w:line="244" w:lineRule="exact" w:before="216" w:after="0"/>
        <w:ind w:left="158" w:right="576" w:firstLine="0"/>
        <w:jc w:val="left"/>
      </w:pPr>
      <w:r>
        <w:rPr>
          <w:rFonts w:ascii="Asap" w:hAnsi="Asap" w:eastAsia="Asap"/>
          <w:b/>
          <w:i w:val="0"/>
          <w:color w:val="14377D"/>
          <w:sz w:val="20"/>
        </w:rPr>
        <w:t xml:space="preserve">6.4C </w:t>
      </w:r>
      <w:r>
        <w:tab/>
      </w:r>
      <w:r>
        <w:rPr>
          <w:rFonts w:ascii="Asap" w:hAnsi="Asap" w:eastAsia="Asap"/>
          <w:b/>
          <w:i w:val="0"/>
          <w:color w:val="14377D"/>
          <w:sz w:val="20"/>
        </w:rPr>
        <w:t xml:space="preserve">PATIENT INFORMATION 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Include any patient information, such as patient PIs and </w:t>
      </w:r>
      <w:r>
        <w:rPr>
          <w:rFonts w:ascii="Lora" w:hAnsi="Lora" w:eastAsia="Lora"/>
          <w:b w:val="0"/>
          <w:i w:val="0"/>
          <w:color w:val="000000"/>
          <w:sz w:val="18"/>
        </w:rPr>
        <w:t>medication guides, for the approved uses of the product.</w:t>
      </w:r>
    </w:p>
    <w:p>
      <w:pPr>
        <w:autoSpaceDN w:val="0"/>
        <w:tabs>
          <w:tab w:pos="878" w:val="left"/>
        </w:tabs>
        <w:autoSpaceDE w:val="0"/>
        <w:widowControl/>
        <w:spacing w:line="242" w:lineRule="exact" w:before="218" w:after="0"/>
        <w:ind w:left="158" w:right="576" w:firstLine="0"/>
        <w:jc w:val="left"/>
      </w:pPr>
      <w:r>
        <w:rPr>
          <w:rFonts w:ascii="Asap" w:hAnsi="Asap" w:eastAsia="Asap"/>
          <w:b/>
          <w:i w:val="0"/>
          <w:color w:val="14377D"/>
          <w:sz w:val="20"/>
        </w:rPr>
        <w:t xml:space="preserve">6.5B </w:t>
      </w:r>
      <w:r>
        <w:tab/>
      </w:r>
      <w:r>
        <w:rPr>
          <w:rFonts w:ascii="Asap" w:hAnsi="Asap" w:eastAsia="Asap"/>
          <w:b/>
          <w:i w:val="0"/>
          <w:color w:val="14377D"/>
          <w:sz w:val="20"/>
        </w:rPr>
        <w:t xml:space="preserve">MATERIAL SAFETY DATA SHEET 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Include or link to a Material Safety Data Sheet for the </w:t>
      </w:r>
      <w:r>
        <w:rPr>
          <w:rFonts w:ascii="Lora" w:hAnsi="Lora" w:eastAsia="Lora"/>
          <w:b w:val="0"/>
          <w:i w:val="0"/>
          <w:color w:val="000000"/>
          <w:sz w:val="18"/>
        </w:rPr>
        <w:t>product.</w:t>
      </w:r>
    </w:p>
    <w:p>
      <w:pPr>
        <w:autoSpaceDN w:val="0"/>
        <w:tabs>
          <w:tab w:pos="878" w:val="left"/>
        </w:tabs>
        <w:autoSpaceDE w:val="0"/>
        <w:widowControl/>
        <w:spacing w:line="266" w:lineRule="exact" w:before="194" w:after="0"/>
        <w:ind w:left="158" w:right="0" w:firstLine="0"/>
        <w:jc w:val="left"/>
      </w:pPr>
      <w:r>
        <w:rPr>
          <w:rFonts w:ascii="Asap" w:hAnsi="Asap" w:eastAsia="Asap"/>
          <w:b/>
          <w:i w:val="0"/>
          <w:color w:val="14377D"/>
          <w:sz w:val="20"/>
        </w:rPr>
        <w:t xml:space="preserve">6.6B </w:t>
      </w:r>
      <w:r>
        <w:tab/>
      </w:r>
      <w:r>
        <w:rPr>
          <w:rFonts w:ascii="Asap" w:hAnsi="Asap" w:eastAsia="Asap"/>
          <w:b/>
          <w:i w:val="0"/>
          <w:color w:val="14377D"/>
          <w:sz w:val="20"/>
        </w:rPr>
        <w:t>APPENDICES SPECIFIC TO DTX PRODUCTS</w:t>
      </w:r>
    </w:p>
    <w:p>
      <w:pPr>
        <w:autoSpaceDN w:val="0"/>
        <w:autoSpaceDE w:val="0"/>
        <w:widowControl/>
        <w:spacing w:line="242" w:lineRule="exact" w:before="88" w:after="0"/>
        <w:ind w:left="338" w:right="576" w:firstLine="0"/>
        <w:jc w:val="left"/>
      </w:pPr>
      <w:r>
        <w:rPr>
          <w:rFonts w:ascii="Asap" w:hAnsi="Asap" w:eastAsia="Asap"/>
          <w:b w:val="0"/>
          <w:i w:val="0"/>
          <w:color w:val="007EC5"/>
          <w:sz w:val="18"/>
        </w:rPr>
        <w:t xml:space="preserve">Privacy and data security 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Information related to privacy and security is required to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be included in an AMCP dossier. Although the intended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audience of the dossier is HCDMs who may lack the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expertise needed to thoroughly evaluate the privacy and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data security specifications for DTx products, a thorough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evaluation of privacy and data security is required, since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this is essential to a comprehensive evaluation. Moreover,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 review of privacy and safety may be performed prior to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an evaluation of the clinical evidence by a P&amp;T committee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or body. If needed, HCDMs may seek additional expertise </w:t>
      </w:r>
    </w:p>
    <w:p>
      <w:pPr>
        <w:autoSpaceDN w:val="0"/>
        <w:autoSpaceDE w:val="0"/>
        <w:widowControl/>
        <w:spacing w:line="186" w:lineRule="exact" w:before="558" w:after="0"/>
        <w:ind w:left="0" w:right="742" w:firstLine="0"/>
        <w:jc w:val="right"/>
      </w:pPr>
      <w:r>
        <w:rPr>
          <w:rFonts w:ascii="Asap" w:hAnsi="Asap" w:eastAsia="Asap"/>
          <w:b w:val="0"/>
          <w:i w:val="0"/>
          <w:color w:val="474C55"/>
          <w:sz w:val="14"/>
        </w:rPr>
        <w:t>Vol. 30, No. 4-b</w:t>
      </w:r>
      <w:r>
        <w:rPr>
          <w:rFonts w:ascii="Asap" w:hAnsi="Asap" w:eastAsia="Asap"/>
          <w:b w:val="0"/>
          <w:i w:val="0"/>
          <w:color w:val="474C55"/>
          <w:sz w:val="14"/>
        </w:rPr>
        <w:t>|</w:t>
      </w:r>
      <w:r>
        <w:rPr>
          <w:rFonts w:ascii="Asap" w:hAnsi="Asap" w:eastAsia="Asap"/>
          <w:b w:val="0"/>
          <w:i w:val="0"/>
          <w:color w:val="474C55"/>
          <w:sz w:val="14"/>
        </w:rPr>
        <w:t>April 2024</w:t>
      </w:r>
      <w:r>
        <w:rPr>
          <w:rFonts w:ascii="Asap" w:hAnsi="Asap" w:eastAsia="Asap"/>
          <w:b w:val="0"/>
          <w:i w:val="0"/>
          <w:color w:val="474C55"/>
          <w:sz w:val="14"/>
        </w:rPr>
        <w:t>|</w:t>
      </w:r>
      <w:r>
        <w:rPr>
          <w:rFonts w:ascii="Asap" w:hAnsi="Asap" w:eastAsia="Asap"/>
          <w:b/>
          <w:i w:val="0"/>
          <w:color w:val="14377D"/>
          <w:sz w:val="14"/>
        </w:rPr>
        <w:t xml:space="preserve"> JMCP</w:t>
      </w:r>
      <w:r>
        <w:rPr>
          <w:rFonts w:ascii="Asap" w:hAnsi="Asap" w:eastAsia="Asap"/>
          <w:b w:val="0"/>
          <w:i w:val="0"/>
          <w:color w:val="14377D"/>
          <w:sz w:val="14"/>
        </w:rPr>
        <w:t>.org</w:t>
      </w:r>
    </w:p>
    <w:p>
      <w:pPr>
        <w:sectPr>
          <w:type w:val="nextColumn"/>
          <w:pgSz w:w="11880" w:h="15660"/>
          <w:pgMar w:top="360" w:right="0" w:bottom="266" w:left="720" w:header="720" w:footer="720" w:gutter="0"/>
          <w:cols w:num="2" w:equalWidth="0">
            <w:col w:w="5242" w:space="0"/>
            <w:col w:w="5918" w:space="0"/>
          </w:cols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883"/>
        <w:gridCol w:w="4883"/>
      </w:tblGrid>
      <w:tr>
        <w:trPr>
          <w:trHeight w:hRule="exact" w:val="362"/>
        </w:trPr>
        <w:tc>
          <w:tcPr>
            <w:tcW w:type="dxa" w:w="1094"/>
            <w:tcBorders/>
            <w:shd w:fill="6b146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4" w:after="0"/>
              <w:ind w:left="0" w:right="90" w:firstLine="0"/>
              <w:jc w:val="right"/>
            </w:pPr>
            <w:r>
              <w:rPr>
                <w:rFonts w:ascii="Asap" w:hAnsi="Asap" w:eastAsia="Asap"/>
                <w:b/>
                <w:i w:val="0"/>
                <w:color w:val="FFFFFF"/>
                <w:sz w:val="18"/>
              </w:rPr>
              <w:t>42</w:t>
            </w:r>
          </w:p>
        </w:tc>
        <w:tc>
          <w:tcPr>
            <w:tcW w:type="dxa" w:w="584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4" w:after="0"/>
              <w:ind w:left="90" w:right="0" w:firstLine="0"/>
              <w:jc w:val="left"/>
            </w:pPr>
            <w:r>
              <w:rPr>
                <w:rFonts w:ascii="Asap" w:hAnsi="Asap" w:eastAsia="Asap"/>
                <w:b/>
                <w:i w:val="0"/>
                <w:color w:val="474C55"/>
                <w:sz w:val="18"/>
              </w:rPr>
              <w:t>AMCP FORMAT 5.0</w:t>
            </w:r>
          </w:p>
        </w:tc>
      </w:tr>
    </w:tbl>
    <w:p>
      <w:pPr>
        <w:autoSpaceDN w:val="0"/>
        <w:autoSpaceDE w:val="0"/>
        <w:widowControl/>
        <w:spacing w:line="14" w:lineRule="exact" w:before="0" w:after="1038"/>
        <w:ind w:left="0" w:right="0"/>
      </w:pPr>
    </w:p>
    <w:p>
      <w:pPr>
        <w:sectPr>
          <w:pgSz w:w="11880" w:h="15660"/>
          <w:pgMar w:top="360" w:right="674" w:bottom="266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45" w:lineRule="auto" w:before="0" w:after="0"/>
        <w:ind w:left="878" w:right="144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from data information technology/security experts,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establish a DTx subcommittee, or have a separate group </w:t>
      </w:r>
      <w:r>
        <w:rPr>
          <w:rFonts w:ascii="Lora" w:hAnsi="Lora" w:eastAsia="Lora"/>
          <w:b w:val="0"/>
          <w:i w:val="0"/>
          <w:color w:val="000000"/>
          <w:sz w:val="18"/>
        </w:rPr>
        <w:t>(such as an innovation center), and assist with DTx evalu-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ation. DTx manufacturers may work directly with HCDMs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to integrate and implement DTx. Manufacturers may also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provide relevant links to related information (i.e., privacy </w:t>
      </w:r>
      <w:r>
        <w:rPr>
          <w:rFonts w:ascii="Lora" w:hAnsi="Lora" w:eastAsia="Lora"/>
          <w:b w:val="0"/>
          <w:i w:val="0"/>
          <w:color w:val="000000"/>
          <w:sz w:val="18"/>
        </w:rPr>
        <w:t>policies, terms of service).</w:t>
      </w:r>
    </w:p>
    <w:p>
      <w:pPr>
        <w:autoSpaceDN w:val="0"/>
        <w:tabs>
          <w:tab w:pos="1058" w:val="left"/>
        </w:tabs>
        <w:autoSpaceDE w:val="0"/>
        <w:widowControl/>
        <w:spacing w:line="245" w:lineRule="auto" w:before="0" w:after="0"/>
        <w:ind w:left="878" w:right="144" w:firstLine="0"/>
        <w:jc w:val="left"/>
      </w:pP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Items to be addressed in a privacy and data security </w:t>
      </w:r>
      <w:r>
        <w:rPr>
          <w:rFonts w:ascii="Lora" w:hAnsi="Lora" w:eastAsia="Lora"/>
          <w:b w:val="0"/>
          <w:i w:val="0"/>
          <w:color w:val="000000"/>
          <w:sz w:val="18"/>
        </w:rPr>
        <w:t>appendix include the following: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• Certifications (e.g., SOC 2, HITRUST, PCI DSS, ITIL, ISO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27001, CIPP)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>• Data encryption: software supports SSL encryption</w:t>
      </w:r>
      <w:r>
        <w:rPr>
          <w:rFonts w:ascii="Lora" w:hAnsi="Lora" w:eastAsia="Lora"/>
          <w:b w:val="0"/>
          <w:i w:val="0"/>
          <w:color w:val="000000"/>
          <w:sz w:val="18"/>
        </w:rPr>
        <w:t>• Antivirus software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>• Data protection security measures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>• Security information and event management solu-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tions (SIEM), web application firewalls (WAF), SECOPS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monitoring, managed security providers (MSSPs), secu-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rity orchestration automation and response platforms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(SOAR)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>• Data backup and recovery solutions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>• Details on where data are stored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>• Processes for secure disposal of information technol-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ogy equipment and media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>• Intrusion detection systems (IDS) or intrusion preven-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tion systems (IPS) used</w:t>
      </w:r>
    </w:p>
    <w:p>
      <w:pPr>
        <w:sectPr>
          <w:type w:val="continuous"/>
          <w:pgSz w:w="11880" w:h="15660"/>
          <w:pgMar w:top="360" w:right="674" w:bottom="266" w:left="0" w:header="720" w:footer="720" w:gutter="0"/>
          <w:cols w:num="2" w:equalWidth="0">
            <w:col w:w="6032" w:space="0"/>
            <w:col w:w="5173" w:space="0"/>
          </w:cols>
          <w:docGrid w:linePitch="360"/>
        </w:sectPr>
      </w:pPr>
    </w:p>
    <w:p>
      <w:pPr>
        <w:autoSpaceDN w:val="0"/>
        <w:autoSpaceDE w:val="0"/>
        <w:widowControl/>
        <w:spacing w:line="245" w:lineRule="auto" w:before="0" w:after="0"/>
        <w:ind w:left="246" w:right="1872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• Parental restrictions for minors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• Data integrity 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• Cybersecurity 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>• Data privacy processes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>• Multifactor authentication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>• Ransomware protection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>• Other hack prevention methods</w:t>
      </w:r>
    </w:p>
    <w:p>
      <w:pPr>
        <w:autoSpaceDN w:val="0"/>
        <w:autoSpaceDE w:val="0"/>
        <w:widowControl/>
        <w:spacing w:line="242" w:lineRule="exact" w:before="82" w:after="0"/>
        <w:ind w:left="246" w:right="0" w:firstLine="0"/>
        <w:jc w:val="left"/>
      </w:pPr>
      <w:r>
        <w:rPr>
          <w:rFonts w:ascii="Asap" w:hAnsi="Asap" w:eastAsia="Asap"/>
          <w:b w:val="0"/>
          <w:i w:val="0"/>
          <w:color w:val="007EC5"/>
          <w:sz w:val="18"/>
        </w:rPr>
        <w:t xml:space="preserve">Engagement 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Manufacturers may specify how they define engagement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in an optional appendix. Due to the wide variety of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DTx products available, measures for engagement, user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satisfaction, and active users have not been standardized.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Furthermore, standard measures used for traditional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products, such as adherence and persistence, may not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apply to DTx products. If engagement measures were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used in clinical trials or real-world evidence, they may be </w:t>
      </w:r>
      <w:r>
        <w:rPr>
          <w:rFonts w:ascii="Lora" w:hAnsi="Lora" w:eastAsia="Lora"/>
          <w:b w:val="0"/>
          <w:i w:val="0"/>
          <w:color w:val="000000"/>
          <w:sz w:val="18"/>
        </w:rPr>
        <w:t>addressed in Section 3.0B or Section 5.0B.</w:t>
      </w:r>
    </w:p>
    <w:p>
      <w:pPr>
        <w:autoSpaceDN w:val="0"/>
        <w:autoSpaceDE w:val="0"/>
        <w:widowControl/>
        <w:spacing w:line="244" w:lineRule="exact" w:before="80" w:after="416"/>
        <w:ind w:left="246" w:right="0" w:firstLine="0"/>
        <w:jc w:val="left"/>
      </w:pPr>
      <w:r>
        <w:rPr>
          <w:rFonts w:ascii="Asap" w:hAnsi="Asap" w:eastAsia="Asap"/>
          <w:b w:val="0"/>
          <w:i w:val="0"/>
          <w:color w:val="007EC5"/>
          <w:sz w:val="18"/>
        </w:rPr>
        <w:t xml:space="preserve">Screenshots 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Screenshots of the patient-facing or clinician-facing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application may be included in the dossier as an optional </w:t>
      </w:r>
      <w:r>
        <w:rPr>
          <w:rFonts w:ascii="Lora" w:hAnsi="Lora" w:eastAsia="Lora"/>
          <w:b w:val="0"/>
          <w:i w:val="0"/>
          <w:color w:val="000000"/>
          <w:sz w:val="18"/>
        </w:rPr>
        <w:t>appendix. If included, the version number of the applica-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tion must be stated. Links to external websites intended </w:t>
      </w:r>
      <w:r>
        <w:rPr>
          <w:rFonts w:ascii="Lora" w:hAnsi="Lora" w:eastAsia="Lora"/>
          <w:b w:val="0"/>
          <w:i w:val="0"/>
          <w:color w:val="000000"/>
          <w:sz w:val="18"/>
        </w:rPr>
        <w:t>for health care professionals may also be included.</w:t>
      </w:r>
    </w:p>
    <w:p>
      <w:pPr>
        <w:sectPr>
          <w:type w:val="nextColumn"/>
          <w:pgSz w:w="11880" w:h="15660"/>
          <w:pgMar w:top="360" w:right="674" w:bottom="266" w:left="0" w:header="720" w:footer="720" w:gutter="0"/>
          <w:cols w:num="2" w:equalWidth="0">
            <w:col w:w="6032" w:space="0"/>
            <w:col w:w="5173" w:space="0"/>
          </w:cols>
          <w:docGrid w:linePitch="360"/>
        </w:sectPr>
      </w:pPr>
    </w:p>
    <w:p>
      <w:pPr>
        <w:autoSpaceDN w:val="0"/>
        <w:autoSpaceDE w:val="0"/>
        <w:widowControl/>
        <w:spacing w:line="560" w:lineRule="exact" w:before="62" w:after="188"/>
        <w:ind w:left="698" w:right="1152" w:firstLine="0"/>
        <w:jc w:val="left"/>
      </w:pPr>
      <w:r>
        <w:rPr>
          <w:rFonts w:ascii="Asap" w:hAnsi="Asap" w:eastAsia="Asap"/>
          <w:b w:val="0"/>
          <w:i w:val="0"/>
          <w:color w:val="14377D"/>
          <w:sz w:val="48"/>
        </w:rPr>
        <w:t xml:space="preserve">Evidence Recommendations for Unapproved </w:t>
      </w:r>
      <w:r>
        <w:rPr>
          <w:rFonts w:ascii="Asap" w:hAnsi="Asap" w:eastAsia="Asap"/>
          <w:b w:val="0"/>
          <w:i w:val="0"/>
          <w:color w:val="14377D"/>
          <w:sz w:val="48"/>
        </w:rPr>
        <w:t>Use Dossiers</w:t>
      </w:r>
    </w:p>
    <w:p>
      <w:pPr>
        <w:sectPr>
          <w:type w:val="continuous"/>
          <w:pgSz w:w="11880" w:h="15660"/>
          <w:pgMar w:top="360" w:right="674" w:bottom="266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66" w:lineRule="exact" w:before="0" w:after="0"/>
        <w:ind w:left="698" w:right="0" w:firstLine="0"/>
        <w:jc w:val="left"/>
      </w:pPr>
      <w:r>
        <w:rPr>
          <w:rFonts w:ascii="Asap" w:hAnsi="Asap" w:eastAsia="Asap"/>
          <w:b/>
          <w:i w:val="0"/>
          <w:color w:val="007EC5"/>
          <w:sz w:val="20"/>
        </w:rPr>
        <w:t>SECTION 1.0C – HIGHLIGHTS AND OVERVIEW</w:t>
      </w:r>
    </w:p>
    <w:p>
      <w:pPr>
        <w:autoSpaceDN w:val="0"/>
        <w:tabs>
          <w:tab w:pos="2176" w:val="left"/>
        </w:tabs>
        <w:autoSpaceDE w:val="0"/>
        <w:widowControl/>
        <w:spacing w:line="240" w:lineRule="exact" w:before="90" w:after="0"/>
        <w:ind w:left="698" w:right="864" w:firstLine="0"/>
        <w:jc w:val="left"/>
      </w:pPr>
      <w:r>
        <w:rPr>
          <w:rFonts w:ascii="Asap" w:hAnsi="Asap" w:eastAsia="Asap"/>
          <w:b/>
          <w:i w:val="0"/>
          <w:color w:val="007EC5"/>
          <w:sz w:val="20"/>
        </w:rPr>
        <w:t xml:space="preserve">SECTION 2.0C – PRODUCT INFORMATION AND </w:t>
      </w:r>
      <w:r>
        <w:tab/>
      </w:r>
      <w:r>
        <w:rPr>
          <w:rFonts w:ascii="Asap" w:hAnsi="Asap" w:eastAsia="Asap"/>
          <w:b/>
          <w:i w:val="0"/>
          <w:color w:val="007EC5"/>
          <w:sz w:val="20"/>
        </w:rPr>
        <w:t>DISEASE DESCRIPTION</w:t>
      </w:r>
    </w:p>
    <w:p>
      <w:pPr>
        <w:autoSpaceDN w:val="0"/>
        <w:autoSpaceDE w:val="0"/>
        <w:widowControl/>
        <w:spacing w:line="266" w:lineRule="exact" w:before="64" w:after="0"/>
        <w:ind w:left="698" w:right="0" w:firstLine="0"/>
        <w:jc w:val="left"/>
      </w:pPr>
      <w:r>
        <w:rPr>
          <w:rFonts w:ascii="Asap" w:hAnsi="Asap" w:eastAsia="Asap"/>
          <w:b/>
          <w:i w:val="0"/>
          <w:color w:val="007EC5"/>
          <w:sz w:val="20"/>
        </w:rPr>
        <w:t>SECTION 3.0C – CLINICAL EVIDENCE</w:t>
      </w:r>
    </w:p>
    <w:p>
      <w:pPr>
        <w:autoSpaceDN w:val="0"/>
        <w:tabs>
          <w:tab w:pos="2176" w:val="left"/>
        </w:tabs>
        <w:autoSpaceDE w:val="0"/>
        <w:widowControl/>
        <w:spacing w:line="240" w:lineRule="exact" w:before="90" w:after="0"/>
        <w:ind w:left="698" w:right="1440" w:firstLine="0"/>
        <w:jc w:val="left"/>
      </w:pPr>
      <w:r>
        <w:rPr>
          <w:rFonts w:ascii="Asap" w:hAnsi="Asap" w:eastAsia="Asap"/>
          <w:b/>
          <w:i w:val="0"/>
          <w:color w:val="007EC5"/>
          <w:sz w:val="20"/>
        </w:rPr>
        <w:t xml:space="preserve">SECTION 4.0C – ECONOMIC VALUE AND </w:t>
      </w:r>
      <w:r>
        <w:tab/>
      </w:r>
      <w:r>
        <w:rPr>
          <w:rFonts w:ascii="Asap" w:hAnsi="Asap" w:eastAsia="Asap"/>
          <w:b/>
          <w:i w:val="0"/>
          <w:color w:val="007EC5"/>
          <w:sz w:val="20"/>
        </w:rPr>
        <w:t>MODELING REPORT</w:t>
      </w:r>
    </w:p>
    <w:p>
      <w:pPr>
        <w:autoSpaceDN w:val="0"/>
        <w:autoSpaceDE w:val="0"/>
        <w:widowControl/>
        <w:spacing w:line="266" w:lineRule="exact" w:before="64" w:after="0"/>
        <w:ind w:left="698" w:right="0" w:firstLine="0"/>
        <w:jc w:val="left"/>
      </w:pPr>
      <w:r>
        <w:rPr>
          <w:rFonts w:ascii="Asap" w:hAnsi="Asap" w:eastAsia="Asap"/>
          <w:b/>
          <w:i w:val="0"/>
          <w:color w:val="007EC5"/>
          <w:sz w:val="20"/>
        </w:rPr>
        <w:t>SECTION 5.0C – ADDITIONAL SUPPORTING EVIDENCE</w:t>
      </w:r>
    </w:p>
    <w:p>
      <w:pPr>
        <w:autoSpaceDN w:val="0"/>
        <w:autoSpaceDE w:val="0"/>
        <w:widowControl/>
        <w:spacing w:line="266" w:lineRule="exact" w:before="64" w:after="0"/>
        <w:ind w:left="698" w:right="0" w:firstLine="0"/>
        <w:jc w:val="left"/>
      </w:pPr>
      <w:r>
        <w:rPr>
          <w:rFonts w:ascii="Asap" w:hAnsi="Asap" w:eastAsia="Asap"/>
          <w:b/>
          <w:i w:val="0"/>
          <w:color w:val="007EC5"/>
          <w:sz w:val="20"/>
        </w:rPr>
        <w:t>SECTION 6.0C – DOSSIER APPENDICES</w:t>
      </w:r>
    </w:p>
    <w:p>
      <w:pPr>
        <w:autoSpaceDN w:val="0"/>
        <w:autoSpaceDE w:val="0"/>
        <w:widowControl/>
        <w:spacing w:line="424" w:lineRule="exact" w:before="158" w:after="0"/>
        <w:ind w:left="698" w:right="0" w:firstLine="0"/>
        <w:jc w:val="left"/>
      </w:pPr>
      <w:r>
        <w:rPr>
          <w:rFonts w:ascii="Asap" w:hAnsi="Asap" w:eastAsia="Asap"/>
          <w:b/>
          <w:i w:val="0"/>
          <w:color w:val="6C146B"/>
          <w:sz w:val="32"/>
        </w:rPr>
        <w:t>1.0C HIGHLIGHTS AND OVERVIEW</w:t>
      </w:r>
    </w:p>
    <w:p>
      <w:pPr>
        <w:autoSpaceDN w:val="0"/>
        <w:autoSpaceDE w:val="0"/>
        <w:widowControl/>
        <w:spacing w:line="245" w:lineRule="auto" w:before="98" w:after="0"/>
        <w:ind w:left="698" w:right="144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The recommended length of Section 1.0C is two pages </w:t>
      </w:r>
      <w:r>
        <w:rPr>
          <w:rFonts w:ascii="Lora" w:hAnsi="Lora" w:eastAsia="Lora"/>
          <w:b w:val="0"/>
          <w:i w:val="0"/>
          <w:color w:val="000000"/>
          <w:sz w:val="18"/>
        </w:rPr>
        <w:t>(maximum four).</w:t>
      </w:r>
    </w:p>
    <w:p>
      <w:pPr>
        <w:autoSpaceDN w:val="0"/>
        <w:autoSpaceDE w:val="0"/>
        <w:widowControl/>
        <w:spacing w:line="245" w:lineRule="auto" w:before="0" w:after="0"/>
        <w:ind w:left="698" w:right="158" w:firstLine="180"/>
        <w:jc w:val="both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This section provides an at-a-glance overview of the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key information about an unapproved use of an approved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product for which the manufacturer is seeking approval </w:t>
      </w:r>
      <w:r>
        <w:rPr>
          <w:rFonts w:ascii="Lora" w:hAnsi="Lora" w:eastAsia="Lora"/>
          <w:b w:val="0"/>
          <w:i w:val="0"/>
          <w:color w:val="000000"/>
          <w:sz w:val="18"/>
        </w:rPr>
        <w:t>from the FDA.</w:t>
      </w:r>
    </w:p>
    <w:p>
      <w:pPr>
        <w:autoSpaceDN w:val="0"/>
        <w:autoSpaceDE w:val="0"/>
        <w:widowControl/>
        <w:spacing w:line="223" w:lineRule="auto" w:before="0" w:after="0"/>
        <w:ind w:left="878" w:right="0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Manufacturers may not make claims about an unapproved </w:t>
      </w:r>
    </w:p>
    <w:p>
      <w:pPr>
        <w:autoSpaceDN w:val="0"/>
        <w:autoSpaceDE w:val="0"/>
        <w:widowControl/>
        <w:spacing w:line="186" w:lineRule="exact" w:before="522" w:after="0"/>
        <w:ind w:left="740" w:right="0" w:firstLine="0"/>
        <w:jc w:val="left"/>
      </w:pPr>
      <w:r>
        <w:rPr>
          <w:rFonts w:ascii="Asap" w:hAnsi="Asap" w:eastAsia="Asap"/>
          <w:b/>
          <w:i w:val="0"/>
          <w:color w:val="14377D"/>
          <w:sz w:val="14"/>
        </w:rPr>
        <w:t>JMCP</w:t>
      </w:r>
      <w:r>
        <w:rPr>
          <w:rFonts w:ascii="Asap" w:hAnsi="Asap" w:eastAsia="Asap"/>
          <w:b w:val="0"/>
          <w:i w:val="0"/>
          <w:color w:val="14377D"/>
          <w:sz w:val="14"/>
        </w:rPr>
        <w:t>.org</w:t>
      </w:r>
      <w:r>
        <w:rPr>
          <w:rFonts w:ascii="Asap" w:hAnsi="Asap" w:eastAsia="Asap"/>
          <w:b w:val="0"/>
          <w:i w:val="0"/>
          <w:color w:val="474C55"/>
          <w:sz w:val="14"/>
        </w:rPr>
        <w:t>|</w:t>
      </w:r>
      <w:r>
        <w:rPr>
          <w:rFonts w:ascii="Asap" w:hAnsi="Asap" w:eastAsia="Asap"/>
          <w:b w:val="0"/>
          <w:i w:val="0"/>
          <w:color w:val="474C55"/>
          <w:sz w:val="14"/>
        </w:rPr>
        <w:t>April 2024</w:t>
      </w:r>
      <w:r>
        <w:rPr>
          <w:rFonts w:ascii="Asap" w:hAnsi="Asap" w:eastAsia="Asap"/>
          <w:b w:val="0"/>
          <w:i w:val="0"/>
          <w:color w:val="474C55"/>
          <w:sz w:val="14"/>
        </w:rPr>
        <w:t>|</w:t>
      </w:r>
      <w:r>
        <w:rPr>
          <w:rFonts w:ascii="Asap" w:hAnsi="Asap" w:eastAsia="Asap"/>
          <w:b w:val="0"/>
          <w:i w:val="0"/>
          <w:color w:val="474C55"/>
          <w:sz w:val="14"/>
        </w:rPr>
        <w:t>Vol. 30, No. 4-B</w:t>
      </w:r>
    </w:p>
    <w:p>
      <w:pPr>
        <w:sectPr>
          <w:type w:val="continuous"/>
          <w:pgSz w:w="11880" w:h="15660"/>
          <w:pgMar w:top="360" w:right="674" w:bottom="266" w:left="0" w:header="720" w:footer="720" w:gutter="0"/>
          <w:cols w:num="2" w:equalWidth="0">
            <w:col w:w="5942" w:space="0"/>
            <w:col w:w="5263" w:space="0"/>
          </w:cols>
          <w:docGrid w:linePitch="360"/>
        </w:sectPr>
      </w:pPr>
    </w:p>
    <w:p>
      <w:pPr>
        <w:autoSpaceDN w:val="0"/>
        <w:autoSpaceDE w:val="0"/>
        <w:widowControl/>
        <w:spacing w:line="245" w:lineRule="auto" w:before="0" w:after="0"/>
        <w:ind w:left="156" w:right="0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>use of an approved product. No characterizations or conclu-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sions should be made regarding the safety or effectiveness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of the unapproved use. Manufacturers may provide factual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and objective information about the unapproved use in an </w:t>
      </w:r>
      <w:r>
        <w:rPr>
          <w:rFonts w:ascii="Lora" w:hAnsi="Lora" w:eastAsia="Lora"/>
          <w:b w:val="0"/>
          <w:i w:val="0"/>
          <w:color w:val="000000"/>
          <w:sz w:val="18"/>
        </w:rPr>
        <w:t>Unapproved Use Dossier.</w:t>
      </w:r>
    </w:p>
    <w:p>
      <w:pPr>
        <w:autoSpaceDN w:val="0"/>
        <w:autoSpaceDE w:val="0"/>
        <w:widowControl/>
        <w:spacing w:line="245" w:lineRule="auto" w:before="0" w:after="0"/>
        <w:ind w:left="156" w:right="22" w:firstLine="180"/>
        <w:jc w:val="both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Just as with the Unapproved Product Dossier, there is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no Executive Summary in an Unapproved Use Dossier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because the intent of an Executive Summary is to convey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the overall value proposition of a product based on clinical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and economic evidence. In an Unapproved Use Dossier, no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characterization or conclusions should be made regarding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the safety or effectiveness of the unapproved use of an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approved product. However, key information should be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included about the unapproved use, using the Table of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Highlights for Unapproved Use of An Approved Product </w:t>
      </w:r>
      <w:r>
        <w:rPr>
          <w:rFonts w:ascii="Lora" w:hAnsi="Lora" w:eastAsia="Lora"/>
          <w:b w:val="0"/>
          <w:i w:val="0"/>
          <w:color w:val="000000"/>
          <w:sz w:val="18"/>
        </w:rPr>
        <w:t>(Table 1.1C).</w:t>
      </w:r>
    </w:p>
    <w:p>
      <w:pPr>
        <w:autoSpaceDN w:val="0"/>
        <w:autoSpaceDE w:val="0"/>
        <w:widowControl/>
        <w:spacing w:line="245" w:lineRule="auto" w:before="0" w:after="0"/>
        <w:ind w:left="156" w:right="20" w:firstLine="180"/>
        <w:jc w:val="both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It is important to acknowledge that information may or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may not be available depending on the phase of clinical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studies for the unapproved use during the post-marketing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period of an approved product. If information is not yet </w:t>
      </w:r>
    </w:p>
    <w:p>
      <w:pPr>
        <w:sectPr>
          <w:type w:val="nextColumn"/>
          <w:pgSz w:w="11880" w:h="15660"/>
          <w:pgMar w:top="360" w:right="674" w:bottom="266" w:left="0" w:header="720" w:footer="720" w:gutter="0"/>
          <w:cols w:num="2" w:equalWidth="0">
            <w:col w:w="5942" w:space="0"/>
            <w:col w:w="5263" w:space="0"/>
          </w:cols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242.0" w:type="dxa"/>
      </w:tblPr>
      <w:tblGrid>
        <w:gridCol w:w="4871"/>
        <w:gridCol w:w="4871"/>
      </w:tblGrid>
      <w:tr>
        <w:trPr>
          <w:trHeight w:hRule="exact" w:val="362"/>
        </w:trPr>
        <w:tc>
          <w:tcPr>
            <w:tcW w:type="dxa" w:w="584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4" w:after="0"/>
              <w:ind w:left="0" w:right="90" w:firstLine="0"/>
              <w:jc w:val="right"/>
            </w:pPr>
            <w:r>
              <w:rPr>
                <w:rFonts w:ascii="Asap" w:hAnsi="Asap" w:eastAsia="Asap"/>
                <w:b/>
                <w:i w:val="0"/>
                <w:color w:val="474C55"/>
                <w:sz w:val="18"/>
              </w:rPr>
              <w:t>AMCP FORMAT 5.0</w:t>
            </w:r>
          </w:p>
        </w:tc>
        <w:tc>
          <w:tcPr>
            <w:tcW w:type="dxa" w:w="1094"/>
            <w:tcBorders/>
            <w:shd w:fill="6b146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72" w:after="0"/>
              <w:ind w:left="90" w:right="0" w:firstLine="0"/>
              <w:jc w:val="left"/>
            </w:pPr>
            <w:r>
              <w:rPr>
                <w:rFonts w:ascii="Asap" w:hAnsi="Asap" w:eastAsia="Asap"/>
                <w:b/>
                <w:i w:val="0"/>
                <w:color w:val="FFFFFF"/>
                <w:sz w:val="18"/>
              </w:rPr>
              <w:t>43</w:t>
            </w:r>
          </w:p>
        </w:tc>
      </w:tr>
    </w:tbl>
    <w:p>
      <w:pPr>
        <w:autoSpaceDN w:val="0"/>
        <w:autoSpaceDE w:val="0"/>
        <w:widowControl/>
        <w:spacing w:line="14" w:lineRule="exact" w:before="0" w:after="1038"/>
        <w:ind w:left="0" w:right="0"/>
      </w:pPr>
    </w:p>
    <w:p>
      <w:pPr>
        <w:sectPr>
          <w:pgSz w:w="11880" w:h="15660"/>
          <w:pgMar w:top="360" w:right="0" w:bottom="266" w:left="698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45" w:lineRule="auto" w:before="0" w:after="0"/>
        <w:ind w:left="0" w:right="144" w:firstLine="0"/>
        <w:jc w:val="center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available or cannot be disclosed per the manufacturer’s </w:t>
      </w:r>
      <w:r>
        <w:rPr>
          <w:rFonts w:ascii="Lora" w:hAnsi="Lora" w:eastAsia="Lora"/>
          <w:b w:val="0"/>
          <w:i w:val="0"/>
          <w:color w:val="000000"/>
          <w:sz w:val="18"/>
        </w:rPr>
        <w:t>discretion, indicate “N/A.” As information becomes avail-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able for communication, the manufacturer should update </w:t>
      </w:r>
    </w:p>
    <w:p>
      <w:pPr>
        <w:sectPr>
          <w:type w:val="continuous"/>
          <w:pgSz w:w="11880" w:h="15660"/>
          <w:pgMar w:top="360" w:right="0" w:bottom="266" w:left="698" w:header="720" w:footer="720" w:gutter="0"/>
          <w:cols w:num="2" w:equalWidth="0">
            <w:col w:w="5244" w:space="0"/>
            <w:col w:w="5938" w:space="0"/>
          </w:cols>
          <w:docGrid w:linePitch="360"/>
        </w:sectPr>
      </w:pPr>
    </w:p>
    <w:p>
      <w:pPr>
        <w:autoSpaceDN w:val="0"/>
        <w:autoSpaceDE w:val="0"/>
        <w:widowControl/>
        <w:spacing w:line="223" w:lineRule="auto" w:before="0" w:after="0"/>
        <w:ind w:left="156" w:right="0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>the dossier.</w:t>
      </w:r>
    </w:p>
    <w:p>
      <w:pPr>
        <w:autoSpaceDN w:val="0"/>
        <w:tabs>
          <w:tab w:pos="336" w:val="left"/>
        </w:tabs>
        <w:autoSpaceDE w:val="0"/>
        <w:widowControl/>
        <w:spacing w:line="245" w:lineRule="auto" w:before="0" w:after="200"/>
        <w:ind w:left="156" w:right="576" w:firstLine="0"/>
        <w:jc w:val="left"/>
      </w:pP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Be brief and concise. Provide citations and references to </w:t>
      </w:r>
      <w:r>
        <w:rPr>
          <w:rFonts w:ascii="Lora" w:hAnsi="Lora" w:eastAsia="Lora"/>
          <w:b w:val="0"/>
          <w:i w:val="0"/>
          <w:color w:val="000000"/>
          <w:sz w:val="18"/>
        </w:rPr>
        <w:t>indicate the source of information where applicable.</w:t>
      </w:r>
    </w:p>
    <w:p>
      <w:pPr>
        <w:sectPr>
          <w:type w:val="nextColumn"/>
          <w:pgSz w:w="11880" w:h="15660"/>
          <w:pgMar w:top="360" w:right="0" w:bottom="266" w:left="698" w:header="720" w:footer="720" w:gutter="0"/>
          <w:cols w:num="2" w:equalWidth="0">
            <w:col w:w="5244" w:space="0"/>
            <w:col w:w="5938" w:space="0"/>
          </w:cols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46.00000000000009" w:type="dxa"/>
      </w:tblPr>
      <w:tblGrid>
        <w:gridCol w:w="4871"/>
        <w:gridCol w:w="4871"/>
      </w:tblGrid>
      <w:tr>
        <w:trPr>
          <w:trHeight w:hRule="exact" w:val="370"/>
        </w:trPr>
        <w:tc>
          <w:tcPr>
            <w:tcW w:type="dxa" w:w="2202"/>
            <w:tcBorders>
              <w:top w:sz="3.5999999046325684" w:val="single" w:color="#474B55"/>
            </w:tcBorders>
            <w:shd w:fill="474b55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26" w:after="0"/>
              <w:ind w:left="450" w:right="0" w:firstLine="0"/>
              <w:jc w:val="left"/>
            </w:pPr>
            <w:r>
              <w:rPr>
                <w:rFonts w:ascii="Asap" w:hAnsi="Asap" w:eastAsia="Asap"/>
                <w:b/>
                <w:i w:val="0"/>
                <w:color w:val="FFFFFF"/>
                <w:sz w:val="20"/>
              </w:rPr>
              <w:t>TABLE 1.1.C</w:t>
            </w:r>
          </w:p>
        </w:tc>
        <w:tc>
          <w:tcPr>
            <w:tcW w:type="dxa" w:w="8140"/>
            <w:tcBorders>
              <w:top w:sz="3.5999999046325684" w:val="single" w:color="#474B5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8" w:lineRule="exact" w:before="60" w:after="0"/>
              <w:ind w:left="114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14377D"/>
                <w:sz w:val="20"/>
              </w:rPr>
              <w:t>TABLE OF HIGHLIGHTS FOR UNAPPROVED USE OF AN APPROVED PRODUCT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4.000000000000057" w:type="dxa"/>
      </w:tblPr>
      <w:tblGrid>
        <w:gridCol w:w="4871"/>
        <w:gridCol w:w="4871"/>
      </w:tblGrid>
      <w:tr>
        <w:trPr>
          <w:trHeight w:hRule="exact" w:val="308"/>
        </w:trPr>
        <w:tc>
          <w:tcPr>
            <w:tcW w:type="dxa" w:w="2936"/>
            <w:tcBorders>
              <w:top w:sz="16.0" w:val="single" w:color="#474B55"/>
              <w:end w:sz="4.0" w:val="single" w:color="#FFFFFF"/>
              <w:bottom w:sz="4.0" w:val="single" w:color="#C6C8C7"/>
            </w:tcBorders>
            <w:shd w:fill="c6c8c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2" w:lineRule="exact" w:before="38" w:after="0"/>
              <w:ind w:left="0" w:right="0" w:firstLine="0"/>
              <w:jc w:val="center"/>
            </w:pPr>
            <w:r>
              <w:rPr>
                <w:w w:val="102.46950387954712"/>
                <w:rFonts w:ascii="Asap" w:hAnsi="Asap" w:eastAsia="Asap"/>
                <w:b/>
                <w:i w:val="0"/>
                <w:color w:val="000000"/>
                <w:sz w:val="16"/>
              </w:rPr>
              <w:t>Type of Information</w:t>
            </w:r>
          </w:p>
        </w:tc>
        <w:tc>
          <w:tcPr>
            <w:tcW w:type="dxa" w:w="7534"/>
            <w:tcBorders>
              <w:start w:sz="4.0" w:val="single" w:color="#FFFFFF"/>
              <w:top w:sz="16.0" w:val="single" w:color="#474B55"/>
              <w:bottom w:sz="4.0" w:val="single" w:color="#C6C8C7"/>
            </w:tcBorders>
            <w:shd w:fill="c6c8c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2" w:lineRule="exact" w:before="38" w:after="0"/>
              <w:ind w:left="0" w:right="0" w:firstLine="0"/>
              <w:jc w:val="center"/>
            </w:pPr>
            <w:r>
              <w:rPr>
                <w:w w:val="102.46950387954712"/>
                <w:rFonts w:ascii="Asap" w:hAnsi="Asap" w:eastAsia="Asap"/>
                <w:b/>
                <w:i w:val="0"/>
                <w:color w:val="000000"/>
                <w:sz w:val="16"/>
              </w:rPr>
              <w:t>Description of Information</w:t>
            </w:r>
          </w:p>
        </w:tc>
      </w:tr>
      <w:tr>
        <w:trPr>
          <w:trHeight w:hRule="exact" w:val="310"/>
        </w:trPr>
        <w:tc>
          <w:tcPr>
            <w:tcW w:type="dxa" w:w="2936"/>
            <w:tcBorders>
              <w:top w:sz="4.0" w:val="single" w:color="#C6C8C7"/>
              <w:end w:sz="4.0" w:val="single" w:color="#C6C8C7"/>
              <w:bottom w:sz="4.0" w:val="single" w:color="#C6C8C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58" w:after="0"/>
              <w:ind w:left="100" w:right="0" w:firstLine="0"/>
              <w:jc w:val="left"/>
            </w:pPr>
            <w:r>
              <w:rPr>
                <w:rFonts w:ascii="Asap" w:hAnsi="Asap" w:eastAsia="Asap"/>
                <w:b/>
                <w:i w:val="0"/>
                <w:color w:val="000000"/>
                <w:sz w:val="16"/>
              </w:rPr>
              <w:t>Revision dates</w:t>
            </w:r>
          </w:p>
        </w:tc>
        <w:tc>
          <w:tcPr>
            <w:tcW w:type="dxa" w:w="7534"/>
            <w:tcBorders>
              <w:start w:sz="4.0" w:val="single" w:color="#C6C8C7"/>
              <w:top w:sz="4.0" w:val="single" w:color="#C6C8C7"/>
              <w:bottom w:sz="4.0" w:val="single" w:color="#C6C8C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4" w:after="0"/>
              <w:ind w:left="76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>List the dates of revisions to this table in reverse chronological order</w:t>
            </w:r>
          </w:p>
        </w:tc>
      </w:tr>
      <w:tr>
        <w:trPr>
          <w:trHeight w:hRule="exact" w:val="310"/>
        </w:trPr>
        <w:tc>
          <w:tcPr>
            <w:tcW w:type="dxa" w:w="2936"/>
            <w:tcBorders>
              <w:top w:sz="4.0" w:val="single" w:color="#C6C8C7"/>
              <w:end w:sz="4.0" w:val="single" w:color="#FFFFFF"/>
              <w:bottom w:sz="4.0" w:val="single" w:color="#C6C8C7"/>
            </w:tcBorders>
            <w:shd w:fill="eaea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56" w:after="0"/>
              <w:ind w:left="100" w:right="0" w:firstLine="0"/>
              <w:jc w:val="left"/>
            </w:pPr>
            <w:r>
              <w:rPr>
                <w:rFonts w:ascii="Asap" w:hAnsi="Asap" w:eastAsia="Asap"/>
                <w:b/>
                <w:i w:val="0"/>
                <w:color w:val="000000"/>
                <w:sz w:val="16"/>
              </w:rPr>
              <w:t>Manufacturer name</w:t>
            </w:r>
          </w:p>
        </w:tc>
        <w:tc>
          <w:tcPr>
            <w:tcW w:type="dxa" w:w="7534"/>
            <w:tcBorders>
              <w:start w:sz="4.0" w:val="single" w:color="#FFFFFF"/>
              <w:top w:sz="4.0" w:val="single" w:color="#C6C8C7"/>
              <w:bottom w:sz="4.0" w:val="single" w:color="#C6C8C7"/>
            </w:tcBorders>
            <w:shd w:fill="eaea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4" w:after="0"/>
              <w:ind w:left="76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>List the names of companies involved in developing and marketing the unapproved use</w:t>
            </w:r>
          </w:p>
        </w:tc>
      </w:tr>
      <w:tr>
        <w:trPr>
          <w:trHeight w:hRule="exact" w:val="310"/>
        </w:trPr>
        <w:tc>
          <w:tcPr>
            <w:tcW w:type="dxa" w:w="2936"/>
            <w:tcBorders>
              <w:top w:sz="4.0" w:val="single" w:color="#C6C8C7"/>
              <w:end w:sz="4.0" w:val="single" w:color="#C6C8C7"/>
              <w:bottom w:sz="4.0" w:val="single" w:color="#C6C8C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56" w:after="0"/>
              <w:ind w:left="100" w:right="0" w:firstLine="0"/>
              <w:jc w:val="left"/>
            </w:pPr>
            <w:r>
              <w:rPr>
                <w:rFonts w:ascii="Asap" w:hAnsi="Asap" w:eastAsia="Asap"/>
                <w:b/>
                <w:i w:val="0"/>
                <w:color w:val="000000"/>
                <w:sz w:val="16"/>
              </w:rPr>
              <w:t>Approved product name</w:t>
            </w:r>
          </w:p>
        </w:tc>
        <w:tc>
          <w:tcPr>
            <w:tcW w:type="dxa" w:w="7534"/>
            <w:tcBorders>
              <w:start w:sz="4.0" w:val="single" w:color="#C6C8C7"/>
              <w:top w:sz="4.0" w:val="single" w:color="#C6C8C7"/>
              <w:bottom w:sz="4.0" w:val="single" w:color="#C6C8C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4" w:after="0"/>
              <w:ind w:left="76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>List the names of the approved product (brand, generic, chemical name)</w:t>
            </w:r>
          </w:p>
        </w:tc>
      </w:tr>
      <w:tr>
        <w:trPr>
          <w:trHeight w:hRule="exact" w:val="310"/>
        </w:trPr>
        <w:tc>
          <w:tcPr>
            <w:tcW w:type="dxa" w:w="2936"/>
            <w:tcBorders>
              <w:top w:sz="4.0" w:val="single" w:color="#C6C8C7"/>
              <w:end w:sz="4.0" w:val="single" w:color="#FFFFFF"/>
              <w:bottom w:sz="4.0" w:val="single" w:color="#C6C8C7"/>
            </w:tcBorders>
            <w:shd w:fill="eaea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56" w:after="0"/>
              <w:ind w:left="100" w:right="0" w:firstLine="0"/>
              <w:jc w:val="left"/>
            </w:pPr>
            <w:r>
              <w:rPr>
                <w:rFonts w:ascii="Asap" w:hAnsi="Asap" w:eastAsia="Asap"/>
                <w:b/>
                <w:i w:val="0"/>
                <w:color w:val="000000"/>
                <w:sz w:val="16"/>
              </w:rPr>
              <w:t>Drug class</w:t>
            </w:r>
          </w:p>
        </w:tc>
        <w:tc>
          <w:tcPr>
            <w:tcW w:type="dxa" w:w="7534"/>
            <w:tcBorders>
              <w:start w:sz="4.0" w:val="single" w:color="#FFFFFF"/>
              <w:top w:sz="4.0" w:val="single" w:color="#C6C8C7"/>
              <w:bottom w:sz="4.0" w:val="single" w:color="#C6C8C7"/>
            </w:tcBorders>
            <w:shd w:fill="eaea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exact" w:before="62" w:after="0"/>
              <w:ind w:left="76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>Describe the drug class in which the product belongs</w:t>
            </w:r>
          </w:p>
        </w:tc>
      </w:tr>
      <w:tr>
        <w:trPr>
          <w:trHeight w:hRule="exact" w:val="468"/>
        </w:trPr>
        <w:tc>
          <w:tcPr>
            <w:tcW w:type="dxa" w:w="2936"/>
            <w:tcBorders>
              <w:top w:sz="4.0" w:val="single" w:color="#C6C8C7"/>
              <w:end w:sz="4.0" w:val="single" w:color="#C6C8C7"/>
              <w:bottom w:sz="4.0" w:val="single" w:color="#C6C8C7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136" w:after="0"/>
              <w:ind w:left="100" w:right="0" w:firstLine="0"/>
              <w:jc w:val="left"/>
            </w:pPr>
            <w:r>
              <w:rPr>
                <w:rFonts w:ascii="Asap" w:hAnsi="Asap" w:eastAsia="Asap"/>
                <w:b/>
                <w:i w:val="0"/>
                <w:color w:val="000000"/>
                <w:sz w:val="16"/>
              </w:rPr>
              <w:t>Unapproved use</w:t>
            </w:r>
          </w:p>
        </w:tc>
        <w:tc>
          <w:tcPr>
            <w:tcW w:type="dxa" w:w="7534"/>
            <w:tcBorders>
              <w:start w:sz="4.0" w:val="single" w:color="#C6C8C7"/>
              <w:top w:sz="4.0" w:val="single" w:color="#C6C8C7"/>
              <w:bottom w:sz="4.0" w:val="single" w:color="#C6C8C7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0" w:lineRule="exact" w:before="80" w:after="0"/>
              <w:ind w:left="76" w:right="288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 xml:space="preserve">List the diseases, indications, and target populations for which the unapproved use is being studied and </w:t>
            </w: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>FDA approval is being sought</w:t>
            </w:r>
          </w:p>
        </w:tc>
      </w:tr>
      <w:tr>
        <w:trPr>
          <w:trHeight w:hRule="exact" w:val="310"/>
        </w:trPr>
        <w:tc>
          <w:tcPr>
            <w:tcW w:type="dxa" w:w="2936"/>
            <w:tcBorders>
              <w:top w:sz="4.0" w:val="single" w:color="#C6C8C7"/>
              <w:end w:sz="4.0" w:val="single" w:color="#FFFFFF"/>
              <w:bottom w:sz="4.0" w:val="single" w:color="#C6C8C7"/>
            </w:tcBorders>
            <w:shd w:fill="eaea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56" w:after="0"/>
              <w:ind w:left="100" w:right="0" w:firstLine="0"/>
              <w:jc w:val="left"/>
            </w:pPr>
            <w:r>
              <w:rPr>
                <w:rFonts w:ascii="Asap" w:hAnsi="Asap" w:eastAsia="Asap"/>
                <w:b/>
                <w:i w:val="0"/>
                <w:color w:val="000000"/>
                <w:sz w:val="16"/>
              </w:rPr>
              <w:t>Approved use and indication</w:t>
            </w:r>
          </w:p>
        </w:tc>
        <w:tc>
          <w:tcPr>
            <w:tcW w:type="dxa" w:w="7534"/>
            <w:tcBorders>
              <w:start w:sz="4.0" w:val="single" w:color="#FFFFFF"/>
              <w:top w:sz="4.0" w:val="single" w:color="#C6C8C7"/>
              <w:bottom w:sz="4.0" w:val="single" w:color="#C6C8C7"/>
            </w:tcBorders>
            <w:shd w:fill="eaea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4" w:after="0"/>
              <w:ind w:left="76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>List the FDA-approved uses and indications for the approved product</w:t>
            </w:r>
          </w:p>
        </w:tc>
      </w:tr>
      <w:tr>
        <w:trPr>
          <w:trHeight w:hRule="exact" w:val="470"/>
        </w:trPr>
        <w:tc>
          <w:tcPr>
            <w:tcW w:type="dxa" w:w="2936"/>
            <w:tcBorders>
              <w:top w:sz="4.0" w:val="single" w:color="#C6C8C7"/>
              <w:end w:sz="4.0" w:val="single" w:color="#C6C8C7"/>
              <w:bottom w:sz="4.0" w:val="single" w:color="#C6C8C7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134" w:after="0"/>
              <w:ind w:left="100" w:right="0" w:firstLine="0"/>
              <w:jc w:val="left"/>
            </w:pPr>
            <w:r>
              <w:rPr>
                <w:rFonts w:ascii="Asap" w:hAnsi="Asap" w:eastAsia="Asap"/>
                <w:b/>
                <w:i w:val="0"/>
                <w:color w:val="000000"/>
                <w:sz w:val="16"/>
              </w:rPr>
              <w:t>Special FDA designations</w:t>
            </w:r>
          </w:p>
        </w:tc>
        <w:tc>
          <w:tcPr>
            <w:tcW w:type="dxa" w:w="7534"/>
            <w:tcBorders>
              <w:start w:sz="4.0" w:val="single" w:color="#C6C8C7"/>
              <w:top w:sz="4.0" w:val="single" w:color="#C6C8C7"/>
              <w:bottom w:sz="4.0" w:val="single" w:color="#C6C8C7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0" w:lineRule="exact" w:before="80" w:after="0"/>
              <w:ind w:left="76" w:right="432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 xml:space="preserve">List special designations per FDA (e.g., fast track, orphan, breakthrough) and the date of designation; </w:t>
            </w: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>provide links to source information (e.g., FDA, press release)</w:t>
            </w:r>
          </w:p>
        </w:tc>
      </w:tr>
      <w:tr>
        <w:trPr>
          <w:trHeight w:hRule="exact" w:val="310"/>
        </w:trPr>
        <w:tc>
          <w:tcPr>
            <w:tcW w:type="dxa" w:w="2936"/>
            <w:tcBorders>
              <w:top w:sz="4.0" w:val="single" w:color="#C6C8C7"/>
              <w:end w:sz="4.0" w:val="single" w:color="#FFFFFF"/>
              <w:bottom w:sz="4.0" w:val="single" w:color="#C6C8C7"/>
            </w:tcBorders>
            <w:shd w:fill="eaea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56" w:after="0"/>
              <w:ind w:left="100" w:right="0" w:firstLine="0"/>
              <w:jc w:val="left"/>
            </w:pPr>
            <w:r>
              <w:rPr>
                <w:rFonts w:ascii="Asap" w:hAnsi="Asap" w:eastAsia="Asap"/>
                <w:b/>
                <w:i w:val="0"/>
                <w:color w:val="000000"/>
                <w:sz w:val="16"/>
              </w:rPr>
              <w:t>FDA submission date</w:t>
            </w:r>
          </w:p>
        </w:tc>
        <w:tc>
          <w:tcPr>
            <w:tcW w:type="dxa" w:w="7534"/>
            <w:tcBorders>
              <w:start w:sz="4.0" w:val="single" w:color="#FFFFFF"/>
              <w:top w:sz="4.0" w:val="single" w:color="#C6C8C7"/>
              <w:bottom w:sz="4.0" w:val="single" w:color="#C6C8C7"/>
            </w:tcBorders>
            <w:shd w:fill="eaea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4" w:after="0"/>
              <w:ind w:left="76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>List the date of NDA/BLA submission to the FDA</w:t>
            </w:r>
          </w:p>
        </w:tc>
      </w:tr>
      <w:tr>
        <w:trPr>
          <w:trHeight w:hRule="exact" w:val="310"/>
        </w:trPr>
        <w:tc>
          <w:tcPr>
            <w:tcW w:type="dxa" w:w="2936"/>
            <w:tcBorders>
              <w:top w:sz="4.0" w:val="single" w:color="#C6C8C7"/>
              <w:end w:sz="4.0" w:val="single" w:color="#C6C8C7"/>
              <w:bottom w:sz="4.0" w:val="single" w:color="#C6C8C7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54" w:after="0"/>
              <w:ind w:left="100" w:right="0" w:firstLine="0"/>
              <w:jc w:val="left"/>
            </w:pPr>
            <w:r>
              <w:rPr>
                <w:rFonts w:ascii="Asap" w:hAnsi="Asap" w:eastAsia="Asap"/>
                <w:b/>
                <w:i w:val="0"/>
                <w:color w:val="000000"/>
                <w:sz w:val="16"/>
              </w:rPr>
              <w:t>FDA Advisory Committee meeting</w:t>
            </w:r>
          </w:p>
        </w:tc>
        <w:tc>
          <w:tcPr>
            <w:tcW w:type="dxa" w:w="7534"/>
            <w:tcBorders>
              <w:start w:sz="4.0" w:val="single" w:color="#C6C8C7"/>
              <w:top w:sz="4.0" w:val="single" w:color="#C6C8C7"/>
              <w:bottom w:sz="4.0" w:val="single" w:color="#C6C8C7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2" w:after="0"/>
              <w:ind w:left="76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>List the date of the planned or anticipated FDA Advisory Committee meeting</w:t>
            </w:r>
          </w:p>
        </w:tc>
      </w:tr>
      <w:tr>
        <w:trPr>
          <w:trHeight w:hRule="exact" w:val="490"/>
        </w:trPr>
        <w:tc>
          <w:tcPr>
            <w:tcW w:type="dxa" w:w="2936"/>
            <w:tcBorders>
              <w:top w:sz="4.0" w:val="single" w:color="#C6C8C7"/>
              <w:end w:sz="4.0" w:val="single" w:color="#FFFFFF"/>
              <w:bottom w:sz="4.0" w:val="single" w:color="#C6C8C7"/>
            </w:tcBorders>
            <w:shd w:fill="eaea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84" w:after="0"/>
              <w:ind w:left="100" w:right="432" w:firstLine="0"/>
              <w:jc w:val="left"/>
            </w:pPr>
            <w:r>
              <w:rPr>
                <w:rFonts w:ascii="Asap" w:hAnsi="Asap" w:eastAsia="Asap"/>
                <w:b/>
                <w:i w:val="0"/>
                <w:color w:val="000000"/>
                <w:sz w:val="16"/>
              </w:rPr>
              <w:t xml:space="preserve">Original FDA approval date and </w:t>
            </w:r>
            <w:r>
              <w:rPr>
                <w:rFonts w:ascii="Asap" w:hAnsi="Asap" w:eastAsia="Asap"/>
                <w:b/>
                <w:i w:val="0"/>
                <w:color w:val="000000"/>
                <w:sz w:val="16"/>
              </w:rPr>
              <w:t>anticipated approval date</w:t>
            </w:r>
          </w:p>
        </w:tc>
        <w:tc>
          <w:tcPr>
            <w:tcW w:type="dxa" w:w="7534"/>
            <w:tcBorders>
              <w:start w:sz="4.0" w:val="single" w:color="#FFFFFF"/>
              <w:top w:sz="4.0" w:val="single" w:color="#C6C8C7"/>
              <w:bottom w:sz="4.0" w:val="single" w:color="#C6C8C7"/>
            </w:tcBorders>
            <w:shd w:fill="eaea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0" w:lineRule="exact" w:before="90" w:after="0"/>
              <w:ind w:left="76" w:right="432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 xml:space="preserve">List the original date of FDA approval for the product and the date or time frame (e.g., year, quarter) of </w:t>
            </w: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>anticipated FDA approval for the unapproved use</w:t>
            </w:r>
          </w:p>
        </w:tc>
      </w:tr>
      <w:tr>
        <w:trPr>
          <w:trHeight w:hRule="exact" w:val="488"/>
        </w:trPr>
        <w:tc>
          <w:tcPr>
            <w:tcW w:type="dxa" w:w="2936"/>
            <w:tcBorders>
              <w:top w:sz="4.0" w:val="single" w:color="#C6C8C7"/>
              <w:end w:sz="4.0" w:val="single" w:color="#C6C8C7"/>
              <w:bottom w:sz="4.0" w:val="single" w:color="#C6C8C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82" w:after="0"/>
              <w:ind w:left="100" w:right="144" w:firstLine="0"/>
              <w:jc w:val="left"/>
            </w:pPr>
            <w:r>
              <w:rPr>
                <w:rFonts w:ascii="Asap" w:hAnsi="Asap" w:eastAsia="Asap"/>
                <w:b/>
                <w:i w:val="0"/>
                <w:color w:val="000000"/>
                <w:sz w:val="16"/>
              </w:rPr>
              <w:t xml:space="preserve">Approval dates and indications in </w:t>
            </w:r>
            <w:r>
              <w:rPr>
                <w:rFonts w:ascii="Asap" w:hAnsi="Asap" w:eastAsia="Asap"/>
                <w:b/>
                <w:i w:val="0"/>
                <w:color w:val="000000"/>
                <w:sz w:val="16"/>
              </w:rPr>
              <w:t>other countries (outside of the U.S.)</w:t>
            </w:r>
          </w:p>
        </w:tc>
        <w:tc>
          <w:tcPr>
            <w:tcW w:type="dxa" w:w="7534"/>
            <w:tcBorders>
              <w:start w:sz="4.0" w:val="single" w:color="#C6C8C7"/>
              <w:top w:sz="4.0" w:val="single" w:color="#C6C8C7"/>
              <w:bottom w:sz="4.0" w:val="single" w:color="#C6C8C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50" w:after="0"/>
              <w:ind w:left="76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>List other countries and (anticipated) approval dates and indications</w:t>
            </w:r>
          </w:p>
        </w:tc>
      </w:tr>
      <w:tr>
        <w:trPr>
          <w:trHeight w:hRule="exact" w:val="490"/>
        </w:trPr>
        <w:tc>
          <w:tcPr>
            <w:tcW w:type="dxa" w:w="2936"/>
            <w:tcBorders>
              <w:top w:sz="4.0" w:val="single" w:color="#C6C8C7"/>
              <w:end w:sz="4.0" w:val="single" w:color="#FFFFFF"/>
              <w:bottom w:sz="4.0" w:val="single" w:color="#C6C8C7"/>
            </w:tcBorders>
            <w:shd w:fill="eaea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86" w:after="0"/>
              <w:ind w:left="100" w:right="0" w:firstLine="0"/>
              <w:jc w:val="left"/>
            </w:pPr>
            <w:r>
              <w:rPr>
                <w:rFonts w:ascii="Asap" w:hAnsi="Asap" w:eastAsia="Asap"/>
                <w:b/>
                <w:i w:val="0"/>
                <w:color w:val="000000"/>
                <w:sz w:val="16"/>
              </w:rPr>
              <w:t xml:space="preserve">Phase 3 trials related to unapproved </w:t>
            </w:r>
            <w:r>
              <w:rPr>
                <w:rFonts w:ascii="Asap" w:hAnsi="Asap" w:eastAsia="Asap"/>
                <w:b/>
                <w:i w:val="0"/>
                <w:color w:val="000000"/>
                <w:sz w:val="16"/>
              </w:rPr>
              <w:t>use completed</w:t>
            </w:r>
          </w:p>
        </w:tc>
        <w:tc>
          <w:tcPr>
            <w:tcW w:type="dxa" w:w="7534"/>
            <w:tcBorders>
              <w:start w:sz="4.0" w:val="single" w:color="#FFFFFF"/>
              <w:top w:sz="4.0" w:val="single" w:color="#C6C8C7"/>
              <w:bottom w:sz="4.0" w:val="single" w:color="#C6C8C7"/>
            </w:tcBorders>
            <w:shd w:fill="eaea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8" w:lineRule="exact" w:before="94" w:after="0"/>
              <w:ind w:left="76" w:right="288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 xml:space="preserve">List the name or citation of trials and dates completed, key endpoints, and number of patients; provide </w:t>
            </w: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>links to ClinicalTrials.gov or PubMed</w:t>
            </w:r>
          </w:p>
        </w:tc>
      </w:tr>
      <w:tr>
        <w:trPr>
          <w:trHeight w:hRule="exact" w:val="490"/>
        </w:trPr>
        <w:tc>
          <w:tcPr>
            <w:tcW w:type="dxa" w:w="2936"/>
            <w:tcBorders>
              <w:top w:sz="4.0" w:val="single" w:color="#C6C8C7"/>
              <w:end w:sz="4.0" w:val="single" w:color="#C6C8C7"/>
              <w:bottom w:sz="4.0" w:val="single" w:color="#C6C8C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86" w:after="0"/>
              <w:ind w:left="100" w:right="0" w:firstLine="0"/>
              <w:jc w:val="left"/>
            </w:pPr>
            <w:r>
              <w:rPr>
                <w:rFonts w:ascii="Asap" w:hAnsi="Asap" w:eastAsia="Asap"/>
                <w:b/>
                <w:i w:val="0"/>
                <w:color w:val="000000"/>
                <w:sz w:val="16"/>
              </w:rPr>
              <w:t xml:space="preserve">Phase 3 trials related to unapproved </w:t>
            </w:r>
            <w:r>
              <w:rPr>
                <w:rFonts w:ascii="Asap" w:hAnsi="Asap" w:eastAsia="Asap"/>
                <w:b/>
                <w:i w:val="0"/>
                <w:color w:val="000000"/>
                <w:sz w:val="16"/>
              </w:rPr>
              <w:t>use in progress</w:t>
            </w:r>
          </w:p>
        </w:tc>
        <w:tc>
          <w:tcPr>
            <w:tcW w:type="dxa" w:w="7534"/>
            <w:tcBorders>
              <w:start w:sz="4.0" w:val="single" w:color="#C6C8C7"/>
              <w:top w:sz="4.0" w:val="single" w:color="#C6C8C7"/>
              <w:bottom w:sz="4.0" w:val="single" w:color="#C6C8C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0" w:lineRule="exact" w:before="90" w:after="0"/>
              <w:ind w:left="76" w:right="288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 xml:space="preserve">List the name or citation of trials and dates in progress, key endpoints, and number of patients; provide </w:t>
            </w: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>links to ClinicalTrials.gov or PubMed</w:t>
            </w:r>
          </w:p>
        </w:tc>
      </w:tr>
      <w:tr>
        <w:trPr>
          <w:trHeight w:hRule="exact" w:val="490"/>
        </w:trPr>
        <w:tc>
          <w:tcPr>
            <w:tcW w:type="dxa" w:w="2936"/>
            <w:tcBorders>
              <w:top w:sz="4.0" w:val="single" w:color="#C6C8C7"/>
              <w:end w:sz="4.0" w:val="single" w:color="#FFFFFF"/>
              <w:bottom w:sz="4.0" w:val="single" w:color="#C6C8C7"/>
            </w:tcBorders>
            <w:shd w:fill="eaea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84" w:after="0"/>
              <w:ind w:left="100" w:right="0" w:firstLine="0"/>
              <w:jc w:val="left"/>
            </w:pPr>
            <w:r>
              <w:rPr>
                <w:rFonts w:ascii="Asap" w:hAnsi="Asap" w:eastAsia="Asap"/>
                <w:b/>
                <w:i w:val="0"/>
                <w:color w:val="000000"/>
                <w:sz w:val="16"/>
              </w:rPr>
              <w:t xml:space="preserve">Phase 2 trials related to unapproved </w:t>
            </w:r>
            <w:r>
              <w:rPr>
                <w:rFonts w:ascii="Asap" w:hAnsi="Asap" w:eastAsia="Asap"/>
                <w:b/>
                <w:i w:val="0"/>
                <w:color w:val="000000"/>
                <w:sz w:val="16"/>
              </w:rPr>
              <w:t>use completed</w:t>
            </w:r>
          </w:p>
        </w:tc>
        <w:tc>
          <w:tcPr>
            <w:tcW w:type="dxa" w:w="7534"/>
            <w:tcBorders>
              <w:start w:sz="4.0" w:val="single" w:color="#FFFFFF"/>
              <w:top w:sz="4.0" w:val="single" w:color="#C6C8C7"/>
              <w:bottom w:sz="4.0" w:val="single" w:color="#C6C8C7"/>
            </w:tcBorders>
            <w:shd w:fill="eaea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0" w:lineRule="exact" w:before="90" w:after="0"/>
              <w:ind w:left="76" w:right="288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 xml:space="preserve">List the name or citation of trials and dates completed, key endpoints, and number of patients; provide </w:t>
            </w: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>links to ClinicalTrials.gov or PubMed</w:t>
            </w:r>
          </w:p>
        </w:tc>
      </w:tr>
      <w:tr>
        <w:trPr>
          <w:trHeight w:hRule="exact" w:val="488"/>
        </w:trPr>
        <w:tc>
          <w:tcPr>
            <w:tcW w:type="dxa" w:w="2936"/>
            <w:tcBorders>
              <w:top w:sz="4.0" w:val="single" w:color="#C6C8C7"/>
              <w:end w:sz="4.0" w:val="single" w:color="#C6C8C7"/>
              <w:bottom w:sz="4.0" w:val="single" w:color="#C6C8C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84" w:after="0"/>
              <w:ind w:left="100" w:right="0" w:firstLine="0"/>
              <w:jc w:val="left"/>
            </w:pPr>
            <w:r>
              <w:rPr>
                <w:rFonts w:ascii="Asap" w:hAnsi="Asap" w:eastAsia="Asap"/>
                <w:b/>
                <w:i w:val="0"/>
                <w:color w:val="000000"/>
                <w:sz w:val="16"/>
              </w:rPr>
              <w:t xml:space="preserve">Phase 2 trials related to unapproved </w:t>
            </w:r>
            <w:r>
              <w:rPr>
                <w:rFonts w:ascii="Asap" w:hAnsi="Asap" w:eastAsia="Asap"/>
                <w:b/>
                <w:i w:val="0"/>
                <w:color w:val="000000"/>
                <w:sz w:val="16"/>
              </w:rPr>
              <w:t>use in progress</w:t>
            </w:r>
          </w:p>
        </w:tc>
        <w:tc>
          <w:tcPr>
            <w:tcW w:type="dxa" w:w="7534"/>
            <w:tcBorders>
              <w:start w:sz="4.0" w:val="single" w:color="#C6C8C7"/>
              <w:top w:sz="4.0" w:val="single" w:color="#C6C8C7"/>
              <w:bottom w:sz="4.0" w:val="single" w:color="#C6C8C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0" w:lineRule="exact" w:before="90" w:after="0"/>
              <w:ind w:left="76" w:right="288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 xml:space="preserve">List the name or citation of trials and dates in progress, key endpoints, and number of patients; provide </w:t>
            </w: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>links to ClinicalTrials.gov or PubMed</w:t>
            </w:r>
          </w:p>
        </w:tc>
      </w:tr>
      <w:tr>
        <w:trPr>
          <w:trHeight w:hRule="exact" w:val="488"/>
        </w:trPr>
        <w:tc>
          <w:tcPr>
            <w:tcW w:type="dxa" w:w="2936"/>
            <w:tcBorders>
              <w:top w:sz="4.0" w:val="single" w:color="#C6C8C7"/>
              <w:end w:sz="4.0" w:val="single" w:color="#FFFFFF"/>
              <w:bottom w:sz="4.0" w:val="single" w:color="#C6C8C7"/>
            </w:tcBorders>
            <w:shd w:fill="eaea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84" w:after="0"/>
              <w:ind w:left="100" w:right="576" w:firstLine="0"/>
              <w:jc w:val="left"/>
            </w:pPr>
            <w:r>
              <w:rPr>
                <w:rFonts w:ascii="Asap" w:hAnsi="Asap" w:eastAsia="Asap"/>
                <w:b/>
                <w:i w:val="0"/>
                <w:color w:val="000000"/>
                <w:sz w:val="16"/>
              </w:rPr>
              <w:t xml:space="preserve">Anticipated routes and dosing </w:t>
            </w:r>
            <w:r>
              <w:rPr>
                <w:rFonts w:ascii="Asap" w:hAnsi="Asap" w:eastAsia="Asap"/>
                <w:b/>
                <w:i w:val="0"/>
                <w:color w:val="000000"/>
                <w:sz w:val="16"/>
              </w:rPr>
              <w:t>information</w:t>
            </w:r>
          </w:p>
        </w:tc>
        <w:tc>
          <w:tcPr>
            <w:tcW w:type="dxa" w:w="7534"/>
            <w:tcBorders>
              <w:start w:sz="4.0" w:val="single" w:color="#FFFFFF"/>
              <w:top w:sz="4.0" w:val="single" w:color="#C6C8C7"/>
              <w:bottom w:sz="4.0" w:val="single" w:color="#C6C8C7"/>
            </w:tcBorders>
            <w:shd w:fill="eaea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0" w:lineRule="exact" w:before="88" w:after="0"/>
              <w:ind w:left="76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 xml:space="preserve">Describe the route(s) of administration and dose(s) for the unapproved use of the product that were used in </w:t>
            </w: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>clinical trials and anticipated to be approved by the FDA</w:t>
            </w:r>
          </w:p>
        </w:tc>
      </w:tr>
      <w:tr>
        <w:trPr>
          <w:trHeight w:hRule="exact" w:val="492"/>
        </w:trPr>
        <w:tc>
          <w:tcPr>
            <w:tcW w:type="dxa" w:w="2936"/>
            <w:tcBorders>
              <w:top w:sz="4.0" w:val="single" w:color="#C6C8C7"/>
              <w:end w:sz="4.0" w:val="single" w:color="#C6C8C7"/>
              <w:bottom w:sz="4.0" w:val="single" w:color="#C6C8C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84" w:after="0"/>
              <w:ind w:left="100" w:right="288" w:firstLine="0"/>
              <w:jc w:val="left"/>
            </w:pPr>
            <w:r>
              <w:rPr>
                <w:rFonts w:ascii="Asap" w:hAnsi="Asap" w:eastAsia="Asap"/>
                <w:b/>
                <w:i w:val="0"/>
                <w:color w:val="000000"/>
                <w:sz w:val="16"/>
              </w:rPr>
              <w:t xml:space="preserve">Anticipated location/settings for </w:t>
            </w:r>
            <w:r>
              <w:rPr>
                <w:rFonts w:ascii="Asap" w:hAnsi="Asap" w:eastAsia="Asap"/>
                <w:b/>
                <w:i w:val="0"/>
                <w:color w:val="000000"/>
                <w:sz w:val="16"/>
              </w:rPr>
              <w:t>product administration</w:t>
            </w:r>
          </w:p>
        </w:tc>
        <w:tc>
          <w:tcPr>
            <w:tcW w:type="dxa" w:w="7534"/>
            <w:tcBorders>
              <w:start w:sz="4.0" w:val="single" w:color="#C6C8C7"/>
              <w:top w:sz="4.0" w:val="single" w:color="#C6C8C7"/>
              <w:bottom w:sz="4.0" w:val="single" w:color="#C6C8C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0" w:lineRule="exact" w:before="90" w:after="0"/>
              <w:ind w:left="76" w:right="144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>Describe the location or health care setting where the unapproved use product was administered in clini-</w:t>
            </w: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>cal trials and anticipated to be given when approved by the FDA</w:t>
            </w:r>
          </w:p>
        </w:tc>
      </w:tr>
      <w:tr>
        <w:trPr>
          <w:trHeight w:hRule="exact" w:val="488"/>
        </w:trPr>
        <w:tc>
          <w:tcPr>
            <w:tcW w:type="dxa" w:w="2936"/>
            <w:tcBorders>
              <w:top w:sz="4.0" w:val="single" w:color="#C6C8C7"/>
              <w:end w:sz="4.0" w:val="single" w:color="#FFFFFF"/>
              <w:bottom w:sz="4.0" w:val="single" w:color="#C6C8C7"/>
            </w:tcBorders>
            <w:shd w:fill="eaea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84" w:after="0"/>
              <w:ind w:left="100" w:right="144" w:firstLine="0"/>
              <w:jc w:val="left"/>
            </w:pPr>
            <w:r>
              <w:rPr>
                <w:rFonts w:ascii="Asap" w:hAnsi="Asap" w:eastAsia="Asap"/>
                <w:b/>
                <w:i w:val="0"/>
                <w:color w:val="000000"/>
                <w:sz w:val="16"/>
              </w:rPr>
              <w:t xml:space="preserve">Prevalence of condition associated </w:t>
            </w:r>
            <w:r>
              <w:rPr>
                <w:rFonts w:ascii="Asap" w:hAnsi="Asap" w:eastAsia="Asap"/>
                <w:b/>
                <w:i w:val="0"/>
                <w:color w:val="000000"/>
                <w:sz w:val="16"/>
              </w:rPr>
              <w:t>with unapproved use in the U.S.</w:t>
            </w:r>
          </w:p>
        </w:tc>
        <w:tc>
          <w:tcPr>
            <w:tcW w:type="dxa" w:w="7534"/>
            <w:tcBorders>
              <w:start w:sz="4.0" w:val="single" w:color="#FFFFFF"/>
              <w:top w:sz="4.0" w:val="single" w:color="#C6C8C7"/>
              <w:bottom w:sz="4.0" w:val="single" w:color="#C6C8C7"/>
            </w:tcBorders>
            <w:shd w:fill="eaea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52" w:after="0"/>
              <w:ind w:left="76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>Express results per 100,000 (e.g., 1 per 100,000 women, 5 per 100,000 live births, 10 per 100,000 per year)</w:t>
            </w:r>
          </w:p>
        </w:tc>
      </w:tr>
      <w:tr>
        <w:trPr>
          <w:trHeight w:hRule="exact" w:val="490"/>
        </w:trPr>
        <w:tc>
          <w:tcPr>
            <w:tcW w:type="dxa" w:w="2936"/>
            <w:tcBorders>
              <w:top w:sz="4.0" w:val="single" w:color="#C6C8C7"/>
              <w:end w:sz="4.0" w:val="single" w:color="#C6C8C7"/>
              <w:bottom w:sz="4.0" w:val="single" w:color="#C6C8C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84" w:after="0"/>
              <w:ind w:left="0" w:right="0" w:firstLine="0"/>
              <w:jc w:val="center"/>
            </w:pPr>
            <w:r>
              <w:rPr>
                <w:rFonts w:ascii="Asap" w:hAnsi="Asap" w:eastAsia="Asap"/>
                <w:b/>
                <w:i w:val="0"/>
                <w:color w:val="000000"/>
                <w:sz w:val="16"/>
              </w:rPr>
              <w:t>Annual incidence of condition associ-</w:t>
            </w:r>
            <w:r>
              <w:rPr>
                <w:rFonts w:ascii="Asap" w:hAnsi="Asap" w:eastAsia="Asap"/>
                <w:b/>
                <w:i w:val="0"/>
                <w:color w:val="000000"/>
                <w:sz w:val="16"/>
              </w:rPr>
              <w:t>ated with unapproved use in the U.S.</w:t>
            </w:r>
          </w:p>
        </w:tc>
        <w:tc>
          <w:tcPr>
            <w:tcW w:type="dxa" w:w="7534"/>
            <w:tcBorders>
              <w:start w:sz="4.0" w:val="single" w:color="#C6C8C7"/>
              <w:top w:sz="4.0" w:val="single" w:color="#C6C8C7"/>
              <w:bottom w:sz="4.0" w:val="single" w:color="#C6C8C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52" w:after="0"/>
              <w:ind w:left="76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>Express results per 100,000 (e.g., 1 per 100,000 women, 5 per 100,000 live births, 10 per 100,000 per year)</w:t>
            </w:r>
          </w:p>
        </w:tc>
      </w:tr>
      <w:tr>
        <w:trPr>
          <w:trHeight w:hRule="exact" w:val="310"/>
        </w:trPr>
        <w:tc>
          <w:tcPr>
            <w:tcW w:type="dxa" w:w="2936"/>
            <w:tcBorders>
              <w:top w:sz="4.0" w:val="single" w:color="#C6C8C7"/>
              <w:end w:sz="4.0" w:val="single" w:color="#FFFFFF"/>
              <w:bottom w:sz="4.0" w:val="single" w:color="#C6C8C7"/>
            </w:tcBorders>
            <w:shd w:fill="eaea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54" w:after="0"/>
              <w:ind w:left="100" w:right="0" w:firstLine="0"/>
              <w:jc w:val="left"/>
            </w:pPr>
            <w:r>
              <w:rPr>
                <w:rFonts w:ascii="Asap" w:hAnsi="Asap" w:eastAsia="Asap"/>
                <w:b/>
                <w:i w:val="0"/>
                <w:color w:val="000000"/>
                <w:sz w:val="16"/>
              </w:rPr>
              <w:t>Product pricing information</w:t>
            </w:r>
          </w:p>
        </w:tc>
        <w:tc>
          <w:tcPr>
            <w:tcW w:type="dxa" w:w="7534"/>
            <w:tcBorders>
              <w:start w:sz="4.0" w:val="single" w:color="#FFFFFF"/>
              <w:top w:sz="4.0" w:val="single" w:color="#C6C8C7"/>
              <w:bottom w:sz="4.0" w:val="single" w:color="#C6C8C7"/>
            </w:tcBorders>
            <w:shd w:fill="eaea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2" w:after="0"/>
              <w:ind w:left="76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>List the price of the approved product</w:t>
            </w:r>
          </w:p>
        </w:tc>
      </w:tr>
      <w:tr>
        <w:trPr>
          <w:trHeight w:hRule="exact" w:val="310"/>
        </w:trPr>
        <w:tc>
          <w:tcPr>
            <w:tcW w:type="dxa" w:w="2936"/>
            <w:tcBorders>
              <w:top w:sz="4.0" w:val="single" w:color="#C6C8C7"/>
              <w:end w:sz="4.0" w:val="single" w:color="#C6C8C7"/>
              <w:bottom w:sz="4.0" w:val="single" w:color="#C6C8C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54" w:after="0"/>
              <w:ind w:left="0" w:right="0" w:firstLine="0"/>
              <w:jc w:val="center"/>
            </w:pPr>
            <w:r>
              <w:rPr>
                <w:rFonts w:ascii="Asap" w:hAnsi="Asap" w:eastAsia="Asap"/>
                <w:b/>
                <w:i w:val="0"/>
                <w:color w:val="000000"/>
                <w:sz w:val="16"/>
              </w:rPr>
              <w:t>Anticipated patient support programs</w:t>
            </w:r>
          </w:p>
        </w:tc>
        <w:tc>
          <w:tcPr>
            <w:tcW w:type="dxa" w:w="7534"/>
            <w:tcBorders>
              <w:start w:sz="4.0" w:val="single" w:color="#C6C8C7"/>
              <w:top w:sz="4.0" w:val="single" w:color="#C6C8C7"/>
              <w:bottom w:sz="4.0" w:val="single" w:color="#C6C8C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0" w:after="0"/>
              <w:ind w:left="76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>Describe potential plans for patient support programs</w:t>
            </w:r>
          </w:p>
        </w:tc>
      </w:tr>
      <w:tr>
        <w:trPr>
          <w:trHeight w:hRule="exact" w:val="308"/>
        </w:trPr>
        <w:tc>
          <w:tcPr>
            <w:tcW w:type="dxa" w:w="2936"/>
            <w:tcBorders>
              <w:top w:sz="4.0" w:val="single" w:color="#C6C8C7"/>
              <w:end w:sz="4.0" w:val="single" w:color="#FFFFFF"/>
              <w:bottom w:sz="16.0" w:val="single" w:color="#474B55"/>
            </w:tcBorders>
            <w:shd w:fill="eaea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52" w:after="0"/>
              <w:ind w:left="100" w:right="0" w:firstLine="0"/>
              <w:jc w:val="left"/>
            </w:pPr>
            <w:r>
              <w:rPr>
                <w:rFonts w:ascii="Asap" w:hAnsi="Asap" w:eastAsia="Asap"/>
                <w:b/>
                <w:i w:val="0"/>
                <w:color w:val="000000"/>
                <w:sz w:val="16"/>
              </w:rPr>
              <w:t>Anticipated distribution strategy</w:t>
            </w:r>
          </w:p>
        </w:tc>
        <w:tc>
          <w:tcPr>
            <w:tcW w:type="dxa" w:w="7534"/>
            <w:tcBorders>
              <w:start w:sz="4.0" w:val="single" w:color="#FFFFFF"/>
              <w:top w:sz="4.0" w:val="single" w:color="#C6C8C7"/>
              <w:bottom w:sz="16.0" w:val="single" w:color="#474B55"/>
            </w:tcBorders>
            <w:shd w:fill="eaea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0" w:after="0"/>
              <w:ind w:left="76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>Describe any anticipated changes to distribution of the unapproved use product</w:t>
            </w:r>
          </w:p>
        </w:tc>
      </w:tr>
    </w:tbl>
    <w:p>
      <w:pPr>
        <w:autoSpaceDN w:val="0"/>
        <w:autoSpaceDE w:val="0"/>
        <w:widowControl/>
        <w:spacing w:line="180" w:lineRule="exact" w:before="104" w:after="0"/>
        <w:ind w:left="22" w:right="1296" w:firstLine="0"/>
        <w:jc w:val="left"/>
      </w:pPr>
      <w:r>
        <w:rPr>
          <w:rFonts w:ascii="Asap" w:hAnsi="Asap" w:eastAsia="Asap"/>
          <w:b w:val="0"/>
          <w:i/>
          <w:color w:val="000000"/>
          <w:sz w:val="15"/>
        </w:rPr>
        <w:t xml:space="preserve">FDA = U.S. Food and Drug Administration; sBLA = supplemental biologics license application; sNDA = supplemental new drug application; U.S. = </w:t>
      </w:r>
      <w:r>
        <w:rPr>
          <w:rFonts w:ascii="Asap" w:hAnsi="Asap" w:eastAsia="Asap"/>
          <w:b w:val="0"/>
          <w:i/>
          <w:color w:val="000000"/>
          <w:sz w:val="15"/>
        </w:rPr>
        <w:t>United States.</w:t>
      </w:r>
    </w:p>
    <w:p>
      <w:pPr>
        <w:autoSpaceDN w:val="0"/>
        <w:autoSpaceDE w:val="0"/>
        <w:widowControl/>
        <w:spacing w:line="186" w:lineRule="exact" w:before="1756" w:after="0"/>
        <w:ind w:left="0" w:right="742" w:firstLine="0"/>
        <w:jc w:val="right"/>
      </w:pPr>
      <w:r>
        <w:rPr>
          <w:rFonts w:ascii="Asap" w:hAnsi="Asap" w:eastAsia="Asap"/>
          <w:b w:val="0"/>
          <w:i w:val="0"/>
          <w:color w:val="474C55"/>
          <w:sz w:val="14"/>
        </w:rPr>
        <w:t>Vol. 30, No. 4-b</w:t>
      </w:r>
      <w:r>
        <w:rPr>
          <w:rFonts w:ascii="Asap" w:hAnsi="Asap" w:eastAsia="Asap"/>
          <w:b w:val="0"/>
          <w:i w:val="0"/>
          <w:color w:val="474C55"/>
          <w:sz w:val="14"/>
        </w:rPr>
        <w:t>|</w:t>
      </w:r>
      <w:r>
        <w:rPr>
          <w:rFonts w:ascii="Asap" w:hAnsi="Asap" w:eastAsia="Asap"/>
          <w:b w:val="0"/>
          <w:i w:val="0"/>
          <w:color w:val="474C55"/>
          <w:sz w:val="14"/>
        </w:rPr>
        <w:t>April 2024</w:t>
      </w:r>
      <w:r>
        <w:rPr>
          <w:rFonts w:ascii="Asap" w:hAnsi="Asap" w:eastAsia="Asap"/>
          <w:b w:val="0"/>
          <w:i w:val="0"/>
          <w:color w:val="474C55"/>
          <w:sz w:val="14"/>
        </w:rPr>
        <w:t>|</w:t>
      </w:r>
      <w:r>
        <w:rPr>
          <w:rFonts w:ascii="Asap" w:hAnsi="Asap" w:eastAsia="Asap"/>
          <w:b/>
          <w:i w:val="0"/>
          <w:color w:val="14377D"/>
          <w:sz w:val="14"/>
        </w:rPr>
        <w:t xml:space="preserve"> JMCP</w:t>
      </w:r>
      <w:r>
        <w:rPr>
          <w:rFonts w:ascii="Asap" w:hAnsi="Asap" w:eastAsia="Asap"/>
          <w:b w:val="0"/>
          <w:i w:val="0"/>
          <w:color w:val="14377D"/>
          <w:sz w:val="14"/>
        </w:rPr>
        <w:t>.org</w:t>
      </w:r>
    </w:p>
    <w:p>
      <w:pPr>
        <w:sectPr>
          <w:type w:val="continuous"/>
          <w:pgSz w:w="11880" w:h="15660"/>
          <w:pgMar w:top="360" w:right="0" w:bottom="266" w:left="698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894"/>
        <w:gridCol w:w="4894"/>
      </w:tblGrid>
      <w:tr>
        <w:trPr>
          <w:trHeight w:hRule="exact" w:val="362"/>
        </w:trPr>
        <w:tc>
          <w:tcPr>
            <w:tcW w:type="dxa" w:w="1094"/>
            <w:tcBorders/>
            <w:shd w:fill="6b146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4" w:after="0"/>
              <w:ind w:left="0" w:right="90" w:firstLine="0"/>
              <w:jc w:val="right"/>
            </w:pPr>
            <w:r>
              <w:rPr>
                <w:rFonts w:ascii="Asap" w:hAnsi="Asap" w:eastAsia="Asap"/>
                <w:b/>
                <w:i w:val="0"/>
                <w:color w:val="FFFFFF"/>
                <w:sz w:val="18"/>
              </w:rPr>
              <w:t>44</w:t>
            </w:r>
          </w:p>
        </w:tc>
        <w:tc>
          <w:tcPr>
            <w:tcW w:type="dxa" w:w="586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4" w:after="0"/>
              <w:ind w:left="90" w:right="0" w:firstLine="0"/>
              <w:jc w:val="left"/>
            </w:pPr>
            <w:r>
              <w:rPr>
                <w:rFonts w:ascii="Asap" w:hAnsi="Asap" w:eastAsia="Asap"/>
                <w:b/>
                <w:i w:val="0"/>
                <w:color w:val="474C55"/>
                <w:sz w:val="18"/>
              </w:rPr>
              <w:t>AMCP FORMAT 5.0</w:t>
            </w:r>
          </w:p>
        </w:tc>
      </w:tr>
    </w:tbl>
    <w:p>
      <w:pPr>
        <w:autoSpaceDN w:val="0"/>
        <w:autoSpaceDE w:val="0"/>
        <w:widowControl/>
        <w:spacing w:line="14" w:lineRule="exact" w:before="0" w:after="1018"/>
        <w:ind w:left="0" w:right="0"/>
      </w:pPr>
    </w:p>
    <w:p>
      <w:pPr>
        <w:sectPr>
          <w:pgSz w:w="11880" w:h="15660"/>
          <w:pgMar w:top="360" w:right="652" w:bottom="266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364" w:lineRule="exact" w:before="60" w:after="0"/>
        <w:ind w:left="720" w:right="1008" w:firstLine="0"/>
        <w:jc w:val="left"/>
      </w:pPr>
      <w:r>
        <w:rPr>
          <w:rFonts w:ascii="Asap" w:hAnsi="Asap" w:eastAsia="Asap"/>
          <w:b/>
          <w:i w:val="0"/>
          <w:color w:val="6C146B"/>
          <w:sz w:val="32"/>
        </w:rPr>
        <w:t xml:space="preserve">2.0C Product Information and </w:t>
      </w:r>
      <w:r>
        <w:rPr>
          <w:rFonts w:ascii="Asap" w:hAnsi="Asap" w:eastAsia="Asap"/>
          <w:b/>
          <w:i w:val="0"/>
          <w:color w:val="6C146B"/>
          <w:sz w:val="32"/>
        </w:rPr>
        <w:t>Disease Description</w:t>
      </w:r>
    </w:p>
    <w:p>
      <w:pPr>
        <w:autoSpaceDN w:val="0"/>
        <w:tabs>
          <w:tab w:pos="1440" w:val="left"/>
        </w:tabs>
        <w:autoSpaceDE w:val="0"/>
        <w:widowControl/>
        <w:spacing w:line="248" w:lineRule="exact" w:before="324" w:after="0"/>
        <w:ind w:left="720" w:right="144" w:firstLine="0"/>
        <w:jc w:val="left"/>
      </w:pPr>
      <w:r>
        <w:rPr>
          <w:rFonts w:ascii="Asap" w:hAnsi="Asap" w:eastAsia="Asap"/>
          <w:b/>
          <w:i w:val="0"/>
          <w:color w:val="14377D"/>
          <w:sz w:val="20"/>
        </w:rPr>
        <w:t xml:space="preserve">2.1C </w:t>
      </w:r>
      <w:r>
        <w:tab/>
      </w:r>
      <w:r>
        <w:rPr>
          <w:rFonts w:ascii="Asap" w:hAnsi="Asap" w:eastAsia="Asap"/>
          <w:b/>
          <w:i w:val="0"/>
          <w:color w:val="14377D"/>
          <w:sz w:val="20"/>
        </w:rPr>
        <w:t xml:space="preserve">PRODUCT INFORMATION 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The recommended length of Section 2.1C is five pages </w:t>
      </w:r>
      <w:r>
        <w:rPr>
          <w:rFonts w:ascii="Lora" w:hAnsi="Lora" w:eastAsia="Lora"/>
          <w:b w:val="0"/>
          <w:i w:val="0"/>
          <w:color w:val="000000"/>
          <w:sz w:val="18"/>
        </w:rPr>
        <w:t>(maximum 10).</w:t>
      </w:r>
    </w:p>
    <w:p>
      <w:pPr>
        <w:autoSpaceDN w:val="0"/>
        <w:autoSpaceDE w:val="0"/>
        <w:widowControl/>
        <w:spacing w:line="245" w:lineRule="auto" w:before="0" w:after="0"/>
        <w:ind w:left="720" w:right="144" w:firstLine="18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>Manufacturers may not make claims about an unap-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proved use of an approved product. No characterizations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or conclusions should be made regarding the safety or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effectiveness of the unapproved use. Manufacturers may </w:t>
      </w:r>
      <w:r>
        <w:rPr>
          <w:rFonts w:ascii="Lora" w:hAnsi="Lora" w:eastAsia="Lora"/>
          <w:b w:val="0"/>
          <w:i w:val="0"/>
          <w:color w:val="000000"/>
          <w:sz w:val="18"/>
        </w:rPr>
        <w:t>provide factual and objective information about the unap-</w:t>
      </w:r>
      <w:r>
        <w:rPr>
          <w:rFonts w:ascii="Lora" w:hAnsi="Lora" w:eastAsia="Lora"/>
          <w:b w:val="0"/>
          <w:i w:val="0"/>
          <w:color w:val="000000"/>
          <w:sz w:val="18"/>
        </w:rPr>
        <w:t>proved use in an Unapproved Use Dossier.</w:t>
      </w:r>
    </w:p>
    <w:p>
      <w:pPr>
        <w:autoSpaceDN w:val="0"/>
        <w:tabs>
          <w:tab w:pos="900" w:val="left"/>
        </w:tabs>
        <w:autoSpaceDE w:val="0"/>
        <w:widowControl/>
        <w:spacing w:line="245" w:lineRule="auto" w:before="0" w:after="0"/>
        <w:ind w:left="720" w:right="144" w:firstLine="0"/>
        <w:jc w:val="left"/>
      </w:pP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Manufacturers are encouraged to provide as much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detailed information about the unapproved use as possible.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It is important to acknowledge that information may or may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not be available depending on the phase of clinical studies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for the unapproved use during the post-marketing period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of an approved product.  If information is not yet available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or cannot be disclosed per the manufacturer’s discretion, </w:t>
      </w:r>
      <w:r>
        <w:rPr>
          <w:rFonts w:ascii="Lora" w:hAnsi="Lora" w:eastAsia="Lora"/>
          <w:b w:val="0"/>
          <w:i w:val="0"/>
          <w:color w:val="000000"/>
          <w:sz w:val="18"/>
        </w:rPr>
        <w:t>indicate “N/A.”</w:t>
      </w:r>
      <w:r>
        <w:br/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As information becomes available for communication,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the manufacturer should update the dossier regularly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and revise the corresponding information in Section 1.0C </w:t>
      </w:r>
      <w:r>
        <w:rPr>
          <w:rFonts w:ascii="Lora" w:hAnsi="Lora" w:eastAsia="Lora"/>
          <w:b w:val="0"/>
          <w:i w:val="0"/>
          <w:color w:val="000000"/>
          <w:sz w:val="18"/>
        </w:rPr>
        <w:t>Highlights and Overview.</w:t>
      </w:r>
    </w:p>
    <w:p>
      <w:pPr>
        <w:autoSpaceDN w:val="0"/>
        <w:tabs>
          <w:tab w:pos="900" w:val="left"/>
          <w:tab w:pos="1080" w:val="left"/>
        </w:tabs>
        <w:autoSpaceDE w:val="0"/>
        <w:widowControl/>
        <w:spacing w:line="245" w:lineRule="auto" w:before="0" w:after="0"/>
        <w:ind w:left="720" w:right="144" w:firstLine="0"/>
        <w:jc w:val="left"/>
      </w:pP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The following are the components that should be included </w:t>
      </w:r>
      <w:r>
        <w:rPr>
          <w:rFonts w:ascii="Lora" w:hAnsi="Lora" w:eastAsia="Lora"/>
          <w:b w:val="0"/>
          <w:i w:val="0"/>
          <w:color w:val="000000"/>
          <w:sz w:val="18"/>
        </w:rPr>
        <w:t>(per FDA Final Guidance,</w:t>
      </w:r>
      <w:r>
        <w:rPr>
          <w:w w:val="104.94000434875488"/>
          <w:rFonts w:ascii="Lora" w:hAnsi="Lora" w:eastAsia="Lora"/>
          <w:b w:val="0"/>
          <w:i w:val="0"/>
          <w:color w:val="000000"/>
          <w:sz w:val="10"/>
        </w:rPr>
        <w:t>3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 the PIE Act,⁴ and AMCP Format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recommendation): </w:t>
      </w:r>
      <w:r>
        <w:br/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1. A clear statement that the product is not FDA approved </w:t>
      </w:r>
      <w:r>
        <w:tab/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for the proposed indication, and that the safety and </w:t>
      </w:r>
      <w:r>
        <w:tab/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effectiveness have not been established for the pro-</w:t>
      </w:r>
      <w:r>
        <w:tab/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posed indication.</w:t>
      </w:r>
      <w:r>
        <w:rPr>
          <w:w w:val="104.94000434875488"/>
          <w:rFonts w:ascii="Lora" w:hAnsi="Lora" w:eastAsia="Lora"/>
          <w:b w:val="0"/>
          <w:i w:val="0"/>
          <w:color w:val="000000"/>
          <w:sz w:val="10"/>
        </w:rPr>
        <w:t xml:space="preserve">3,4 </w:t>
      </w:r>
      <w:r>
        <w:br/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2. Information related to the phase of product develop-</w:t>
      </w:r>
      <w:r>
        <w:tab/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ment (e.g., the status of any studies in which a product </w:t>
      </w:r>
      <w:r>
        <w:tab/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is being investigated and how it relates to the overall </w:t>
      </w:r>
      <w:r>
        <w:tab/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product development plan, whether a marketing appli-</w:t>
      </w:r>
      <w:r>
        <w:tab/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cation for the product has been submitted to the FDA, </w:t>
      </w:r>
      <w:r>
        <w:tab/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or when such a submission is planned).</w:t>
      </w:r>
      <w:r>
        <w:rPr>
          <w:w w:val="104.94000434875488"/>
          <w:rFonts w:ascii="Lora" w:hAnsi="Lora" w:eastAsia="Lora"/>
          <w:b w:val="0"/>
          <w:i w:val="0"/>
          <w:color w:val="000000"/>
          <w:sz w:val="10"/>
        </w:rPr>
        <w:t xml:space="preserve">3,4 </w:t>
      </w:r>
      <w:r>
        <w:br/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3. Provide a link to the PI.</w:t>
      </w:r>
    </w:p>
    <w:p>
      <w:pPr>
        <w:autoSpaceDN w:val="0"/>
        <w:tabs>
          <w:tab w:pos="1260" w:val="left"/>
          <w:tab w:pos="2176" w:val="left"/>
          <w:tab w:pos="2702" w:val="left"/>
          <w:tab w:pos="3236" w:val="left"/>
          <w:tab w:pos="4738" w:val="left"/>
        </w:tabs>
        <w:autoSpaceDE w:val="0"/>
        <w:widowControl/>
        <w:spacing w:line="245" w:lineRule="auto" w:before="0" w:after="0"/>
        <w:ind w:left="1080" w:right="144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• Provide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the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full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FDA-approved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prescribing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information.</w:t>
      </w:r>
    </w:p>
    <w:p>
      <w:pPr>
        <w:autoSpaceDN w:val="0"/>
        <w:tabs>
          <w:tab w:pos="1080" w:val="left"/>
          <w:tab w:pos="1260" w:val="left"/>
        </w:tabs>
        <w:autoSpaceDE w:val="0"/>
        <w:widowControl/>
        <w:spacing w:line="245" w:lineRule="auto" w:before="0" w:after="0"/>
        <w:ind w:left="900" w:right="144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4. Product information for the unapproved use (e.g., drug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class, device description, features).</w:t>
      </w:r>
      <w:r>
        <w:rPr>
          <w:w w:val="104.94000434875488"/>
          <w:rFonts w:ascii="Lora" w:hAnsi="Lora" w:eastAsia="Lora"/>
          <w:b w:val="0"/>
          <w:i w:val="0"/>
          <w:color w:val="000000"/>
          <w:sz w:val="10"/>
        </w:rPr>
        <w:t>3,4</w:t>
      </w:r>
      <w:r>
        <w:br/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• Generic, brand, chemical, or other given name of </w:t>
      </w:r>
      <w:r>
        <w:tab/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the product.</w:t>
      </w:r>
    </w:p>
    <w:p>
      <w:pPr>
        <w:autoSpaceDN w:val="0"/>
        <w:autoSpaceDE w:val="0"/>
        <w:widowControl/>
        <w:spacing w:line="223" w:lineRule="auto" w:before="0" w:after="0"/>
        <w:ind w:left="1080" w:right="0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>• Proposed mechanism of action.</w:t>
      </w:r>
    </w:p>
    <w:p>
      <w:pPr>
        <w:autoSpaceDN w:val="0"/>
        <w:tabs>
          <w:tab w:pos="1260" w:val="left"/>
        </w:tabs>
        <w:autoSpaceDE w:val="0"/>
        <w:widowControl/>
        <w:spacing w:line="245" w:lineRule="auto" w:before="0" w:after="0"/>
        <w:ind w:left="1080" w:right="288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>• Pharmacology, pharmacokinetic, and pharmaco-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dynamic information.</w:t>
      </w:r>
    </w:p>
    <w:p>
      <w:pPr>
        <w:autoSpaceDN w:val="0"/>
        <w:tabs>
          <w:tab w:pos="1260" w:val="left"/>
        </w:tabs>
        <w:autoSpaceDE w:val="0"/>
        <w:widowControl/>
        <w:spacing w:line="245" w:lineRule="auto" w:before="0" w:after="0"/>
        <w:ind w:left="1080" w:right="1152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• Drug/drug, drug/food, and drug/disease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interactions.</w:t>
      </w:r>
    </w:p>
    <w:p>
      <w:pPr>
        <w:autoSpaceDN w:val="0"/>
        <w:autoSpaceDE w:val="0"/>
        <w:widowControl/>
        <w:spacing w:line="186" w:lineRule="exact" w:before="458" w:after="0"/>
        <w:ind w:left="740" w:right="0" w:firstLine="0"/>
        <w:jc w:val="left"/>
      </w:pPr>
      <w:r>
        <w:rPr>
          <w:rFonts w:ascii="Asap" w:hAnsi="Asap" w:eastAsia="Asap"/>
          <w:b/>
          <w:i w:val="0"/>
          <w:color w:val="14377D"/>
          <w:sz w:val="14"/>
        </w:rPr>
        <w:t>JMCP</w:t>
      </w:r>
      <w:r>
        <w:rPr>
          <w:rFonts w:ascii="Asap" w:hAnsi="Asap" w:eastAsia="Asap"/>
          <w:b w:val="0"/>
          <w:i w:val="0"/>
          <w:color w:val="14377D"/>
          <w:sz w:val="14"/>
        </w:rPr>
        <w:t>.org</w:t>
      </w:r>
      <w:r>
        <w:rPr>
          <w:rFonts w:ascii="Asap" w:hAnsi="Asap" w:eastAsia="Asap"/>
          <w:b w:val="0"/>
          <w:i w:val="0"/>
          <w:color w:val="474C55"/>
          <w:sz w:val="14"/>
        </w:rPr>
        <w:t>|</w:t>
      </w:r>
      <w:r>
        <w:rPr>
          <w:rFonts w:ascii="Asap" w:hAnsi="Asap" w:eastAsia="Asap"/>
          <w:b w:val="0"/>
          <w:i w:val="0"/>
          <w:color w:val="474C55"/>
          <w:sz w:val="14"/>
        </w:rPr>
        <w:t>April 2024</w:t>
      </w:r>
      <w:r>
        <w:rPr>
          <w:rFonts w:ascii="Asap" w:hAnsi="Asap" w:eastAsia="Asap"/>
          <w:b w:val="0"/>
          <w:i w:val="0"/>
          <w:color w:val="474C55"/>
          <w:sz w:val="14"/>
        </w:rPr>
        <w:t>|</w:t>
      </w:r>
      <w:r>
        <w:rPr>
          <w:rFonts w:ascii="Asap" w:hAnsi="Asap" w:eastAsia="Asap"/>
          <w:b w:val="0"/>
          <w:i w:val="0"/>
          <w:color w:val="474C55"/>
          <w:sz w:val="14"/>
        </w:rPr>
        <w:t>Vol. 30, No. 4-B</w:t>
      </w:r>
    </w:p>
    <w:p>
      <w:pPr>
        <w:sectPr>
          <w:type w:val="continuous"/>
          <w:pgSz w:w="11880" w:h="15660"/>
          <w:pgMar w:top="360" w:right="652" w:bottom="266" w:left="0" w:header="720" w:footer="720" w:gutter="0"/>
          <w:cols w:num="2" w:equalWidth="0">
            <w:col w:w="6058" w:space="0"/>
            <w:col w:w="5170" w:space="0"/>
          </w:cols>
          <w:docGrid w:linePitch="360"/>
        </w:sectPr>
      </w:pPr>
    </w:p>
    <w:p>
      <w:pPr>
        <w:autoSpaceDN w:val="0"/>
        <w:tabs>
          <w:tab w:pos="608" w:val="left"/>
        </w:tabs>
        <w:autoSpaceDE w:val="0"/>
        <w:widowControl/>
        <w:spacing w:line="245" w:lineRule="auto" w:before="0" w:after="0"/>
        <w:ind w:left="428" w:right="0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• Dosing and administration information (usually from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clinical trials).</w:t>
      </w:r>
    </w:p>
    <w:p>
      <w:pPr>
        <w:autoSpaceDN w:val="0"/>
        <w:autoSpaceDE w:val="0"/>
        <w:widowControl/>
        <w:spacing w:line="223" w:lineRule="auto" w:before="38" w:after="0"/>
        <w:ind w:left="0" w:right="0" w:firstLine="0"/>
        <w:jc w:val="center"/>
      </w:pPr>
      <w:r>
        <w:rPr>
          <w:rFonts w:ascii="Lora" w:hAnsi="Lora" w:eastAsia="Lora"/>
          <w:b w:val="0"/>
          <w:i w:val="0"/>
          <w:color w:val="000000"/>
          <w:sz w:val="18"/>
        </w:rPr>
        <w:t>• Anticipated access and distribution information.</w:t>
      </w:r>
    </w:p>
    <w:p>
      <w:pPr>
        <w:autoSpaceDN w:val="0"/>
        <w:tabs>
          <w:tab w:pos="428" w:val="left"/>
          <w:tab w:pos="608" w:val="left"/>
        </w:tabs>
        <w:autoSpaceDE w:val="0"/>
        <w:widowControl/>
        <w:spacing w:line="252" w:lineRule="auto" w:before="38" w:after="0"/>
        <w:ind w:left="248" w:right="0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5. Information about the indication being sought, such as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information from the clinical study protocols about end-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points being studied and the patient population under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investigation (e.g., number of participants enrolled,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subject enrollment criteria, subject demographics).</w:t>
      </w:r>
      <w:r>
        <w:rPr>
          <w:w w:val="104.94000434875488"/>
          <w:rFonts w:ascii="Lora" w:hAnsi="Lora" w:eastAsia="Lora"/>
          <w:b w:val="0"/>
          <w:i w:val="0"/>
          <w:color w:val="000000"/>
          <w:sz w:val="10"/>
        </w:rPr>
        <w:t xml:space="preserve">3,4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6. Anticipated timeline for approval for indication being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sought (e.g., FDA approval/clearance/licensure of the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unapproved use of the approved product).</w:t>
      </w:r>
      <w:r>
        <w:rPr>
          <w:w w:val="104.94000434875488"/>
          <w:rFonts w:ascii="Lora" w:hAnsi="Lora" w:eastAsia="Lora"/>
          <w:b w:val="0"/>
          <w:i w:val="0"/>
          <w:color w:val="000000"/>
          <w:sz w:val="10"/>
        </w:rPr>
        <w:t>3,4</w:t>
      </w:r>
      <w:r>
        <w:br/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• Date of new drug application (NDA), BLA, device </w:t>
      </w:r>
      <w:r>
        <w:tab/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pre-market approval (PMA), 510(k) submission for </w:t>
      </w:r>
      <w:r>
        <w:tab/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FDA clearance.</w:t>
      </w:r>
    </w:p>
    <w:p>
      <w:pPr>
        <w:autoSpaceDN w:val="0"/>
        <w:autoSpaceDE w:val="0"/>
        <w:widowControl/>
        <w:spacing w:line="223" w:lineRule="auto" w:before="38" w:after="0"/>
        <w:ind w:left="428" w:right="0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>• Date of FDA Advisory Committee review, if any.</w:t>
      </w:r>
    </w:p>
    <w:p>
      <w:pPr>
        <w:autoSpaceDN w:val="0"/>
        <w:tabs>
          <w:tab w:pos="608" w:val="left"/>
        </w:tabs>
        <w:autoSpaceDE w:val="0"/>
        <w:widowControl/>
        <w:spacing w:line="245" w:lineRule="auto" w:before="38" w:after="0"/>
        <w:ind w:left="428" w:right="0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• Date of anticipated FDA approval/clearance/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licensure.</w:t>
      </w:r>
    </w:p>
    <w:p>
      <w:pPr>
        <w:autoSpaceDN w:val="0"/>
        <w:autoSpaceDE w:val="0"/>
        <w:widowControl/>
        <w:spacing w:line="223" w:lineRule="auto" w:before="38" w:after="0"/>
        <w:ind w:left="248" w:right="0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>7. Product pricing information.</w:t>
      </w:r>
    </w:p>
    <w:p>
      <w:pPr>
        <w:autoSpaceDN w:val="0"/>
        <w:tabs>
          <w:tab w:pos="608" w:val="left"/>
        </w:tabs>
        <w:autoSpaceDE w:val="0"/>
        <w:widowControl/>
        <w:spacing w:line="245" w:lineRule="auto" w:before="38" w:after="0"/>
        <w:ind w:left="428" w:right="0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• See Section 4.0C 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• Information may be provided here and/or in Section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4.0C.</w:t>
      </w:r>
    </w:p>
    <w:p>
      <w:pPr>
        <w:autoSpaceDN w:val="0"/>
        <w:tabs>
          <w:tab w:pos="518" w:val="left"/>
        </w:tabs>
        <w:autoSpaceDE w:val="0"/>
        <w:widowControl/>
        <w:spacing w:line="252" w:lineRule="auto" w:before="38" w:after="0"/>
        <w:ind w:left="248" w:right="0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8. Patient utilization projections (e.g., epidemiological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data projection on incidence and prevalence).</w:t>
      </w:r>
      <w:r>
        <w:rPr>
          <w:w w:val="104.94000434875488"/>
          <w:rFonts w:ascii="Lora" w:hAnsi="Lora" w:eastAsia="Lora"/>
          <w:b w:val="0"/>
          <w:i w:val="0"/>
          <w:color w:val="000000"/>
          <w:sz w:val="10"/>
        </w:rPr>
        <w:t xml:space="preserve">3,4 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9. Product-related programs or services (e.g., patient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support programs).</w:t>
      </w:r>
      <w:r>
        <w:rPr>
          <w:w w:val="104.94000434875488"/>
          <w:rFonts w:ascii="Lora" w:hAnsi="Lora" w:eastAsia="Lora"/>
          <w:b w:val="0"/>
          <w:i w:val="0"/>
          <w:color w:val="000000"/>
          <w:sz w:val="10"/>
        </w:rPr>
        <w:t xml:space="preserve">3,4 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>10. Factual presentations of results from studies, includ-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ing clinical studies of drugs or devices or bench tests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that describe device performance (i.e., no character-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izations or conclusions should be made regarding the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safety or effectiveness of the unapproved use for the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approved product).</w:t>
      </w:r>
    </w:p>
    <w:p>
      <w:pPr>
        <w:autoSpaceDN w:val="0"/>
        <w:autoSpaceDE w:val="0"/>
        <w:widowControl/>
        <w:spacing w:line="223" w:lineRule="auto" w:before="38" w:after="0"/>
        <w:ind w:left="428" w:right="0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>• See Section 3.0C.</w:t>
      </w:r>
    </w:p>
    <w:p>
      <w:pPr>
        <w:autoSpaceDN w:val="0"/>
        <w:tabs>
          <w:tab w:pos="608" w:val="left"/>
        </w:tabs>
        <w:autoSpaceDE w:val="0"/>
        <w:widowControl/>
        <w:spacing w:line="245" w:lineRule="auto" w:before="38" w:after="0"/>
        <w:ind w:left="428" w:right="0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• Information may be provided here and/or in Section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3.0C.</w:t>
      </w:r>
    </w:p>
    <w:p>
      <w:pPr>
        <w:autoSpaceDN w:val="0"/>
        <w:autoSpaceDE w:val="0"/>
        <w:widowControl/>
        <w:spacing w:line="223" w:lineRule="auto" w:before="38" w:after="0"/>
        <w:ind w:left="248" w:right="0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>11. Information on FDA expedited approval.</w:t>
      </w:r>
    </w:p>
    <w:p>
      <w:pPr>
        <w:autoSpaceDN w:val="0"/>
        <w:autoSpaceDE w:val="0"/>
        <w:widowControl/>
        <w:spacing w:line="245" w:lineRule="auto" w:before="38" w:after="0"/>
        <w:ind w:left="518" w:right="20" w:hanging="270"/>
        <w:jc w:val="both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12. Other factual information per the manufacturer’s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discretion that does not run afoul of other guidelines </w:t>
      </w:r>
      <w:r>
        <w:rPr>
          <w:rFonts w:ascii="Lora" w:hAnsi="Lora" w:eastAsia="Lora"/>
          <w:b w:val="0"/>
          <w:i w:val="0"/>
          <w:color w:val="000000"/>
          <w:sz w:val="18"/>
        </w:rPr>
        <w:t>or restrictions.</w:t>
      </w:r>
    </w:p>
    <w:p>
      <w:pPr>
        <w:autoSpaceDN w:val="0"/>
        <w:autoSpaceDE w:val="0"/>
        <w:widowControl/>
        <w:spacing w:line="247" w:lineRule="auto" w:before="38" w:after="0"/>
        <w:ind w:left="248" w:right="20" w:firstLine="0"/>
        <w:jc w:val="both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For DTx products, complete the Table of Highlights for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Unapproved Use of an Approved Product (see Section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1.1C) in addition to the Table of Highlights for Digital </w:t>
      </w:r>
      <w:r>
        <w:rPr>
          <w:rFonts w:ascii="Lora" w:hAnsi="Lora" w:eastAsia="Lora"/>
          <w:b w:val="0"/>
          <w:i w:val="0"/>
          <w:color w:val="000000"/>
          <w:sz w:val="18"/>
        </w:rPr>
        <w:t>Therapeutics (Table 2.1.1C).</w:t>
      </w:r>
    </w:p>
    <w:p>
      <w:pPr>
        <w:sectPr>
          <w:type w:val="nextColumn"/>
          <w:pgSz w:w="11880" w:h="15660"/>
          <w:pgMar w:top="360" w:right="652" w:bottom="266" w:left="0" w:header="720" w:footer="720" w:gutter="0"/>
          <w:cols w:num="2" w:equalWidth="0">
            <w:col w:w="6058" w:space="0"/>
            <w:col w:w="5170" w:space="0"/>
          </w:cols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0.0" w:type="dxa"/>
      </w:tblPr>
      <w:tblGrid>
        <w:gridCol w:w="2435"/>
        <w:gridCol w:w="2435"/>
        <w:gridCol w:w="2435"/>
        <w:gridCol w:w="2435"/>
      </w:tblGrid>
      <w:tr>
        <w:trPr>
          <w:trHeight w:hRule="exact" w:val="1814"/>
        </w:trPr>
        <w:tc>
          <w:tcPr>
            <w:tcW w:type="dxa" w:w="230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44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0.0" w:type="dxa"/>
            </w:tblPr>
            <w:tblGrid>
              <w:gridCol w:w="2304"/>
            </w:tblGrid>
            <w:tr>
              <w:trPr>
                <w:trHeight w:hRule="exact" w:val="354"/>
              </w:trPr>
              <w:tc>
                <w:tcPr>
                  <w:tcW w:type="dxa" w:w="2304"/>
                  <w:tcBorders/>
                  <w:shd w:fill="474b55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34" w:after="0"/>
                    <w:ind w:left="496" w:right="0" w:firstLine="0"/>
                    <w:jc w:val="left"/>
                  </w:pPr>
                  <w:r>
                    <w:rPr>
                      <w:rFonts w:ascii="Asap" w:hAnsi="Asap" w:eastAsia="Asap"/>
                      <w:b/>
                      <w:i w:val="0"/>
                      <w:color w:val="FFFFFF"/>
                      <w:sz w:val="20"/>
                    </w:rPr>
                    <w:t>TABLE 2.1.1C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547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8" w:lineRule="exact" w:before="1508" w:after="0"/>
              <w:ind w:left="116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14377D"/>
                <w:sz w:val="20"/>
              </w:rPr>
              <w:t>TABLE OF HIGHLIGHTS FOR DIGITAL THERAPEUTICS</w:t>
            </w:r>
          </w:p>
        </w:tc>
        <w:tc>
          <w:tcPr>
            <w:tcW w:type="dxa" w:w="228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4" w:after="0"/>
              <w:ind w:left="0" w:right="90" w:firstLine="0"/>
              <w:jc w:val="right"/>
            </w:pPr>
            <w:r>
              <w:rPr>
                <w:rFonts w:ascii="Asap" w:hAnsi="Asap" w:eastAsia="Asap"/>
                <w:b/>
                <w:i w:val="0"/>
                <w:color w:val="474C55"/>
                <w:sz w:val="18"/>
              </w:rPr>
              <w:t>AMCP FORMAT 5.0</w:t>
            </w:r>
          </w:p>
        </w:tc>
        <w:tc>
          <w:tcPr>
            <w:tcW w:type="dxa" w:w="1094"/>
            <w:tcBorders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0.0" w:type="dxa"/>
            </w:tblPr>
            <w:tblGrid>
              <w:gridCol w:w="1094"/>
            </w:tblGrid>
            <w:tr>
              <w:trPr>
                <w:trHeight w:hRule="exact" w:val="362"/>
              </w:trPr>
              <w:tc>
                <w:tcPr>
                  <w:tcW w:type="dxa" w:w="1094"/>
                  <w:tcBorders/>
                  <w:shd w:fill="6b146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8" w:lineRule="exact" w:before="72" w:after="0"/>
                    <w:ind w:left="90" w:right="0" w:firstLine="0"/>
                    <w:jc w:val="left"/>
                  </w:pPr>
                  <w:r>
                    <w:rPr>
                      <w:rFonts w:ascii="Asap" w:hAnsi="Asap" w:eastAsia="Asap"/>
                      <w:b/>
                      <w:i w:val="0"/>
                      <w:color w:val="FFFFFF"/>
                      <w:sz w:val="18"/>
                    </w:rPr>
                    <w:t>45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870"/>
        <w:gridCol w:w="4870"/>
      </w:tblGrid>
      <w:tr>
        <w:trPr>
          <w:trHeight w:hRule="exact" w:val="338"/>
        </w:trPr>
        <w:tc>
          <w:tcPr>
            <w:tcW w:type="dxa" w:w="3484"/>
            <w:tcBorders>
              <w:top w:sz="16.0" w:val="single" w:color="#474B55"/>
              <w:end w:sz="8.0" w:val="single" w:color="#FFFFFF"/>
              <w:bottom w:sz="8.0" w:val="single" w:color="#13377C"/>
            </w:tcBorders>
            <w:shd w:fill="c6c8c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2" w:lineRule="exact" w:before="36" w:after="0"/>
              <w:ind w:left="0" w:right="0" w:firstLine="0"/>
              <w:jc w:val="center"/>
            </w:pPr>
            <w:r>
              <w:rPr>
                <w:w w:val="102.46951454564143"/>
                <w:rFonts w:ascii="Asap" w:hAnsi="Asap" w:eastAsia="Asap"/>
                <w:b/>
                <w:i w:val="0"/>
                <w:color w:val="000000"/>
                <w:sz w:val="19"/>
              </w:rPr>
              <w:t>Type of Information</w:t>
            </w:r>
          </w:p>
        </w:tc>
        <w:tc>
          <w:tcPr>
            <w:tcW w:type="dxa" w:w="6956"/>
            <w:tcBorders>
              <w:start w:sz="8.0" w:val="single" w:color="#FFFFFF"/>
              <w:top w:sz="16.0" w:val="single" w:color="#474B55"/>
              <w:bottom w:sz="8.0" w:val="single" w:color="#13377C"/>
            </w:tcBorders>
            <w:shd w:fill="c6c8c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2" w:lineRule="exact" w:before="36" w:after="0"/>
              <w:ind w:left="0" w:right="0" w:firstLine="0"/>
              <w:jc w:val="center"/>
            </w:pPr>
            <w:r>
              <w:rPr>
                <w:w w:val="102.46951454564143"/>
                <w:rFonts w:ascii="Asap" w:hAnsi="Asap" w:eastAsia="Asap"/>
                <w:b/>
                <w:i w:val="0"/>
                <w:color w:val="000000"/>
                <w:sz w:val="19"/>
              </w:rPr>
              <w:t>Description of Information</w:t>
            </w:r>
          </w:p>
        </w:tc>
      </w:tr>
      <w:tr>
        <w:trPr>
          <w:trHeight w:hRule="exact" w:val="308"/>
        </w:trPr>
        <w:tc>
          <w:tcPr>
            <w:tcW w:type="dxa" w:w="3484"/>
            <w:tcBorders>
              <w:top w:sz="8.0" w:val="single" w:color="#13377C"/>
              <w:end w:sz="8.0" w:val="single" w:color="#C6C8C7"/>
              <w:bottom w:sz="8.0" w:val="single" w:color="#C6C8C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50" w:after="0"/>
              <w:ind w:left="100" w:right="0" w:firstLine="0"/>
              <w:jc w:val="left"/>
            </w:pPr>
            <w:r>
              <w:rPr>
                <w:rFonts w:ascii="Asap" w:hAnsi="Asap" w:eastAsia="Asap"/>
                <w:b/>
                <w:i w:val="0"/>
                <w:color w:val="000000"/>
                <w:sz w:val="16"/>
              </w:rPr>
              <w:t>Product version</w:t>
            </w:r>
          </w:p>
        </w:tc>
        <w:tc>
          <w:tcPr>
            <w:tcW w:type="dxa" w:w="6956"/>
            <w:tcBorders>
              <w:start w:sz="8.0" w:val="single" w:color="#C6C8C7"/>
              <w:top w:sz="8.0" w:val="single" w:color="#13377C"/>
              <w:bottom w:sz="8.0" w:val="single" w:color="#C6C8C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58" w:after="0"/>
              <w:ind w:left="70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>• Include version of application that the dossier applies to</w:t>
            </w:r>
          </w:p>
        </w:tc>
      </w:tr>
      <w:tr>
        <w:trPr>
          <w:trHeight w:hRule="exact" w:val="470"/>
        </w:trPr>
        <w:tc>
          <w:tcPr>
            <w:tcW w:type="dxa" w:w="3484"/>
            <w:tcBorders>
              <w:top w:sz="8.0" w:val="single" w:color="#C6C8C7"/>
              <w:end w:sz="8.0" w:val="single" w:color="#C6C8C7"/>
              <w:bottom w:sz="8.0" w:val="single" w:color="#C6C8C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132" w:after="0"/>
              <w:ind w:left="100" w:right="0" w:firstLine="0"/>
              <w:jc w:val="left"/>
            </w:pPr>
            <w:r>
              <w:rPr>
                <w:rFonts w:ascii="Asap" w:hAnsi="Asap" w:eastAsia="Asap"/>
                <w:b/>
                <w:i w:val="0"/>
                <w:color w:val="000000"/>
                <w:sz w:val="16"/>
              </w:rPr>
              <w:t>Approval pathway</w:t>
            </w:r>
          </w:p>
        </w:tc>
        <w:tc>
          <w:tcPr>
            <w:tcW w:type="dxa" w:w="6956"/>
            <w:tcBorders>
              <w:start w:sz="8.0" w:val="single" w:color="#C6C8C7"/>
              <w:top w:sz="8.0" w:val="single" w:color="#C6C8C7"/>
              <w:bottom w:sz="8.0" w:val="single" w:color="#C6C8C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250" w:val="left"/>
              </w:tabs>
              <w:autoSpaceDE w:val="0"/>
              <w:widowControl/>
              <w:spacing w:line="170" w:lineRule="exact" w:before="76" w:after="0"/>
              <w:ind w:left="70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 xml:space="preserve">• FDA clearance, class II device, predicates based on the desktop app now transferred to the web, </w:t>
            </w:r>
            <w:r>
              <w:tab/>
            </w: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>etc.</w:t>
            </w:r>
          </w:p>
        </w:tc>
      </w:tr>
      <w:tr>
        <w:trPr>
          <w:trHeight w:hRule="exact" w:val="786"/>
        </w:trPr>
        <w:tc>
          <w:tcPr>
            <w:tcW w:type="dxa" w:w="3484"/>
            <w:tcBorders>
              <w:top w:sz="8.0" w:val="single" w:color="#C6C8C7"/>
              <w:end w:sz="8.0" w:val="single" w:color="#C6C8C7"/>
              <w:bottom w:sz="8.0" w:val="single" w:color="#C6C8C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8" w:after="0"/>
              <w:ind w:left="100" w:right="288" w:firstLine="0"/>
              <w:jc w:val="left"/>
            </w:pPr>
            <w:r>
              <w:rPr>
                <w:rFonts w:ascii="Asap" w:hAnsi="Asap" w:eastAsia="Asap"/>
                <w:b/>
                <w:i w:val="0"/>
                <w:color w:val="000000"/>
                <w:sz w:val="16"/>
              </w:rPr>
              <w:t xml:space="preserve">Intended environment of therapy delivery </w:t>
            </w:r>
            <w:r>
              <w:rPr>
                <w:rFonts w:ascii="Asap" w:hAnsi="Asap" w:eastAsia="Asap"/>
                <w:b/>
                <w:i w:val="0"/>
                <w:color w:val="000000"/>
                <w:sz w:val="16"/>
              </w:rPr>
              <w:t>and ongoing use</w:t>
            </w:r>
          </w:p>
        </w:tc>
        <w:tc>
          <w:tcPr>
            <w:tcW w:type="dxa" w:w="6956"/>
            <w:tcBorders>
              <w:start w:sz="8.0" w:val="single" w:color="#C6C8C7"/>
              <w:top w:sz="8.0" w:val="single" w:color="#C6C8C7"/>
              <w:bottom w:sz="8.0" w:val="single" w:color="#C6C8C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exact" w:before="4" w:after="0"/>
              <w:ind w:left="70" w:right="3168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>• Patient setting (home, work, school)</w:t>
            </w:r>
            <w:r>
              <w:br/>
            </w: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>• Health care setting</w:t>
            </w:r>
            <w:r>
              <w:br/>
            </w: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>• Institutional setting (nursing home, long-term care)</w:t>
            </w:r>
          </w:p>
        </w:tc>
      </w:tr>
      <w:tr>
        <w:trPr>
          <w:trHeight w:hRule="exact" w:val="308"/>
        </w:trPr>
        <w:tc>
          <w:tcPr>
            <w:tcW w:type="dxa" w:w="3484"/>
            <w:tcBorders>
              <w:top w:sz="8.0" w:val="single" w:color="#C6C8C7"/>
              <w:end w:sz="8.0" w:val="single" w:color="#C6C8C7"/>
              <w:bottom w:sz="8.0" w:val="single" w:color="#C6C8C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50" w:after="0"/>
              <w:ind w:left="100" w:right="0" w:firstLine="0"/>
              <w:jc w:val="left"/>
            </w:pPr>
            <w:r>
              <w:rPr>
                <w:rFonts w:ascii="Asap" w:hAnsi="Asap" w:eastAsia="Asap"/>
                <w:b/>
                <w:i w:val="0"/>
                <w:color w:val="000000"/>
                <w:sz w:val="16"/>
              </w:rPr>
              <w:t>Intended line of business</w:t>
            </w:r>
          </w:p>
        </w:tc>
        <w:tc>
          <w:tcPr>
            <w:tcW w:type="dxa" w:w="6956"/>
            <w:tcBorders>
              <w:start w:sz="8.0" w:val="single" w:color="#C6C8C7"/>
              <w:top w:sz="8.0" w:val="single" w:color="#C6C8C7"/>
              <w:bottom w:sz="8.0" w:val="single" w:color="#C6C8C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58" w:after="0"/>
              <w:ind w:left="70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>• Commercial, Medicare, Medicaid, Other</w:t>
            </w:r>
          </w:p>
        </w:tc>
      </w:tr>
      <w:tr>
        <w:trPr>
          <w:trHeight w:hRule="exact" w:val="1026"/>
        </w:trPr>
        <w:tc>
          <w:tcPr>
            <w:tcW w:type="dxa" w:w="3484"/>
            <w:tcBorders>
              <w:top w:sz="8.0" w:val="single" w:color="#C6C8C7"/>
              <w:end w:sz="8.0" w:val="single" w:color="#C6C8C7"/>
              <w:bottom w:sz="8.0" w:val="single" w:color="#C6C8C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410" w:after="0"/>
              <w:ind w:left="100" w:right="0" w:firstLine="0"/>
              <w:jc w:val="left"/>
            </w:pPr>
            <w:r>
              <w:rPr>
                <w:rFonts w:ascii="Asap" w:hAnsi="Asap" w:eastAsia="Asap"/>
                <w:b/>
                <w:i w:val="0"/>
                <w:color w:val="000000"/>
                <w:sz w:val="16"/>
              </w:rPr>
              <w:t>Relationship to other therapies</w:t>
            </w:r>
          </w:p>
        </w:tc>
        <w:tc>
          <w:tcPr>
            <w:tcW w:type="dxa" w:w="6956"/>
            <w:tcBorders>
              <w:start w:sz="8.0" w:val="single" w:color="#C6C8C7"/>
              <w:top w:sz="8.0" w:val="single" w:color="#C6C8C7"/>
              <w:bottom w:sz="8.0" w:val="single" w:color="#C6C8C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exact" w:before="4" w:after="0"/>
              <w:ind w:left="70" w:right="3744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>• Stand alone</w:t>
            </w:r>
            <w:r>
              <w:br/>
            </w: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>• Add-on therapy to standard of care</w:t>
            </w:r>
            <w:r>
              <w:br/>
            </w: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>• Replaces existing therapy</w:t>
            </w:r>
            <w:r>
              <w:br/>
            </w: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>• Co-prescribed with pharmacologic therapy</w:t>
            </w:r>
          </w:p>
        </w:tc>
      </w:tr>
      <w:tr>
        <w:trPr>
          <w:trHeight w:hRule="exact" w:val="310"/>
        </w:trPr>
        <w:tc>
          <w:tcPr>
            <w:tcW w:type="dxa" w:w="3484"/>
            <w:tcBorders>
              <w:top w:sz="8.0" w:val="single" w:color="#C6C8C7"/>
              <w:end w:sz="8.0" w:val="single" w:color="#C6C8C7"/>
              <w:bottom w:sz="8.0" w:val="single" w:color="#C6C8C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52" w:after="0"/>
              <w:ind w:left="100" w:right="0" w:firstLine="0"/>
              <w:jc w:val="left"/>
            </w:pPr>
            <w:r>
              <w:rPr>
                <w:rFonts w:ascii="Asap" w:hAnsi="Asap" w:eastAsia="Asap"/>
                <w:b/>
                <w:i w:val="0"/>
                <w:color w:val="000000"/>
                <w:sz w:val="16"/>
              </w:rPr>
              <w:t>Language</w:t>
            </w:r>
          </w:p>
        </w:tc>
        <w:tc>
          <w:tcPr>
            <w:tcW w:type="dxa" w:w="6956"/>
            <w:tcBorders>
              <w:start w:sz="8.0" w:val="single" w:color="#C6C8C7"/>
              <w:top w:sz="8.0" w:val="single" w:color="#C6C8C7"/>
              <w:bottom w:sz="8.0" w:val="single" w:color="#C6C8C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58" w:after="0"/>
              <w:ind w:left="70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>• Languages the product is available in</w:t>
            </w:r>
          </w:p>
        </w:tc>
      </w:tr>
      <w:tr>
        <w:trPr>
          <w:trHeight w:hRule="exact" w:val="310"/>
        </w:trPr>
        <w:tc>
          <w:tcPr>
            <w:tcW w:type="dxa" w:w="3484"/>
            <w:tcBorders>
              <w:top w:sz="8.0" w:val="single" w:color="#C6C8C7"/>
              <w:end w:sz="8.0" w:val="single" w:color="#C6C8C7"/>
              <w:bottom w:sz="8.0" w:val="single" w:color="#C6C8C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50" w:after="0"/>
              <w:ind w:left="100" w:right="0" w:firstLine="0"/>
              <w:jc w:val="left"/>
            </w:pPr>
            <w:r>
              <w:rPr>
                <w:rFonts w:ascii="Asap" w:hAnsi="Asap" w:eastAsia="Asap"/>
                <w:b/>
                <w:i w:val="0"/>
                <w:color w:val="000000"/>
                <w:sz w:val="16"/>
              </w:rPr>
              <w:t>Considerations for specific populations</w:t>
            </w:r>
          </w:p>
        </w:tc>
        <w:tc>
          <w:tcPr>
            <w:tcW w:type="dxa" w:w="6956"/>
            <w:tcBorders>
              <w:start w:sz="8.0" w:val="single" w:color="#C6C8C7"/>
              <w:top w:sz="8.0" w:val="single" w:color="#C6C8C7"/>
              <w:bottom w:sz="8.0" w:val="single" w:color="#C6C8C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58" w:after="0"/>
              <w:ind w:left="70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>• Additional information on cultural, disability, age, health, or digital literacy requirements</w:t>
            </w:r>
          </w:p>
        </w:tc>
      </w:tr>
      <w:tr>
        <w:trPr>
          <w:trHeight w:hRule="exact" w:val="2092"/>
        </w:trPr>
        <w:tc>
          <w:tcPr>
            <w:tcW w:type="dxa" w:w="3484"/>
            <w:tcBorders>
              <w:top w:sz="8.0" w:val="single" w:color="#C6C8C7"/>
              <w:end w:sz="8.0" w:val="single" w:color="#C6C8C7"/>
              <w:bottom w:sz="8.0" w:val="single" w:color="#C6C8C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924" w:after="0"/>
              <w:ind w:left="100" w:right="0" w:firstLine="0"/>
              <w:jc w:val="left"/>
            </w:pPr>
            <w:r>
              <w:rPr>
                <w:rFonts w:ascii="Asap" w:hAnsi="Asap" w:eastAsia="Asap"/>
                <w:b/>
                <w:i w:val="0"/>
                <w:color w:val="000000"/>
                <w:sz w:val="19"/>
              </w:rPr>
              <w:t>Patient access to the product</w:t>
            </w:r>
          </w:p>
        </w:tc>
        <w:tc>
          <w:tcPr>
            <w:tcW w:type="dxa" w:w="6956"/>
            <w:tcBorders>
              <w:start w:sz="8.0" w:val="single" w:color="#C6C8C7"/>
              <w:top w:sz="8.0" w:val="single" w:color="#C6C8C7"/>
              <w:bottom w:sz="8.0" w:val="single" w:color="#C6C8C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250" w:val="left"/>
              </w:tabs>
              <w:autoSpaceDE w:val="0"/>
              <w:widowControl/>
              <w:spacing w:line="224" w:lineRule="exact" w:before="22" w:after="0"/>
              <w:ind w:left="70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>• Formal prescription from a qualified clinician (in-person or virtual engagement)</w:t>
            </w:r>
            <w:r>
              <w:br/>
            </w: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>• Clinician referral for a nonprescription DTx product (in-person or virtual engagement)</w:t>
            </w:r>
            <w:r>
              <w:br/>
            </w: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>• Direct authorization by an employer for a nonprescription DTx product</w:t>
            </w:r>
            <w:r>
              <w:br/>
            </w: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>• Direct authorization by a payer for a nonprescription DTx product</w:t>
            </w:r>
            <w:r>
              <w:br/>
            </w: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 xml:space="preserve">• “Authorized clinical protocol” established by an HCDM to authorize automatic patient access </w:t>
            </w:r>
            <w:r>
              <w:tab/>
            </w: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>when necessary, qualification requirements are met</w:t>
            </w:r>
            <w:r>
              <w:br/>
            </w: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 xml:space="preserve">• “Clinically validated screening tool” that patients use to determine whether they qualify for the </w:t>
            </w:r>
            <w:r>
              <w:tab/>
            </w: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>therapy; “over-the-counter” model where no form of third-party authorization is necessary</w:t>
            </w: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>• Details on the dispensing process may also be included (e.g. download, specialty pharmacy, etc.)</w:t>
            </w:r>
          </w:p>
        </w:tc>
      </w:tr>
      <w:tr>
        <w:trPr>
          <w:trHeight w:hRule="exact" w:val="518"/>
        </w:trPr>
        <w:tc>
          <w:tcPr>
            <w:tcW w:type="dxa" w:w="3484"/>
            <w:tcBorders>
              <w:top w:sz="8.0" w:val="single" w:color="#C6C8C7"/>
              <w:end w:sz="8.0" w:val="single" w:color="#C6C8C7"/>
              <w:bottom w:sz="8.0" w:val="single" w:color="#C6C8C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16" w:after="0"/>
              <w:ind w:left="100" w:right="0" w:firstLine="0"/>
              <w:jc w:val="left"/>
            </w:pPr>
            <w:r>
              <w:rPr>
                <w:rFonts w:ascii="Asap" w:hAnsi="Asap" w:eastAsia="Asap"/>
                <w:b/>
                <w:i w:val="0"/>
                <w:color w:val="000000"/>
                <w:sz w:val="19"/>
              </w:rPr>
              <w:t xml:space="preserve">Components required for the software </w:t>
            </w:r>
            <w:r>
              <w:rPr>
                <w:rFonts w:ascii="Asap" w:hAnsi="Asap" w:eastAsia="Asap"/>
                <w:b/>
                <w:i w:val="0"/>
                <w:color w:val="000000"/>
                <w:sz w:val="19"/>
              </w:rPr>
              <w:t>to deliver its therapeutic value</w:t>
            </w:r>
          </w:p>
        </w:tc>
        <w:tc>
          <w:tcPr>
            <w:tcW w:type="dxa" w:w="6956"/>
            <w:tcBorders>
              <w:start w:sz="8.0" w:val="single" w:color="#C6C8C7"/>
              <w:top w:sz="8.0" w:val="single" w:color="#C6C8C7"/>
              <w:bottom w:sz="8.0" w:val="single" w:color="#C6C8C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62" w:after="0"/>
              <w:ind w:left="70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>• Additional hardware or software required</w:t>
            </w:r>
          </w:p>
        </w:tc>
      </w:tr>
      <w:tr>
        <w:trPr>
          <w:trHeight w:hRule="exact" w:val="516"/>
        </w:trPr>
        <w:tc>
          <w:tcPr>
            <w:tcW w:type="dxa" w:w="3484"/>
            <w:tcBorders>
              <w:top w:sz="8.0" w:val="single" w:color="#C6C8C7"/>
              <w:end w:sz="8.0" w:val="single" w:color="#C6C8C7"/>
              <w:bottom w:sz="8.0" w:val="single" w:color="#C6C8C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14" w:after="0"/>
              <w:ind w:left="100" w:right="288" w:firstLine="0"/>
              <w:jc w:val="left"/>
            </w:pPr>
            <w:r>
              <w:rPr>
                <w:rFonts w:ascii="Asap" w:hAnsi="Asap" w:eastAsia="Asap"/>
                <w:b/>
                <w:i w:val="0"/>
                <w:color w:val="000000"/>
                <w:sz w:val="19"/>
              </w:rPr>
              <w:t>Host technology and required hard-</w:t>
            </w:r>
            <w:r>
              <w:rPr>
                <w:rFonts w:ascii="Asap" w:hAnsi="Asap" w:eastAsia="Asap"/>
                <w:b/>
                <w:i w:val="0"/>
                <w:color w:val="000000"/>
                <w:sz w:val="19"/>
              </w:rPr>
              <w:t>ware components (if applicable)</w:t>
            </w:r>
          </w:p>
        </w:tc>
        <w:tc>
          <w:tcPr>
            <w:tcW w:type="dxa" w:w="6956"/>
            <w:tcBorders>
              <w:start w:sz="8.0" w:val="single" w:color="#C6C8C7"/>
              <w:top w:sz="8.0" w:val="single" w:color="#C6C8C7"/>
              <w:bottom w:sz="8.0" w:val="single" w:color="#C6C8C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62" w:after="0"/>
              <w:ind w:left="70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>• Smartphone, tablet, laptop, wearable device</w:t>
            </w:r>
          </w:p>
        </w:tc>
      </w:tr>
      <w:tr>
        <w:trPr>
          <w:trHeight w:hRule="exact" w:val="542"/>
        </w:trPr>
        <w:tc>
          <w:tcPr>
            <w:tcW w:type="dxa" w:w="3484"/>
            <w:tcBorders>
              <w:top w:sz="8.0" w:val="single" w:color="#C6C8C7"/>
              <w:end w:sz="8.0" w:val="single" w:color="#C6C8C7"/>
              <w:bottom w:sz="8.0" w:val="single" w:color="#C6C8C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150" w:after="0"/>
              <w:ind w:left="100" w:right="0" w:firstLine="0"/>
              <w:jc w:val="left"/>
            </w:pPr>
            <w:r>
              <w:rPr>
                <w:rFonts w:ascii="Asap" w:hAnsi="Asap" w:eastAsia="Asap"/>
                <w:b/>
                <w:i w:val="0"/>
                <w:color w:val="000000"/>
                <w:sz w:val="19"/>
              </w:rPr>
              <w:t>Technical requirements</w:t>
            </w:r>
          </w:p>
        </w:tc>
        <w:tc>
          <w:tcPr>
            <w:tcW w:type="dxa" w:w="6956"/>
            <w:tcBorders>
              <w:start w:sz="8.0" w:val="single" w:color="#C6C8C7"/>
              <w:top w:sz="8.0" w:val="single" w:color="#C6C8C7"/>
              <w:bottom w:sz="8.0" w:val="single" w:color="#C6C8C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exact" w:before="4" w:after="0"/>
              <w:ind w:left="70" w:right="5472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>• Offline-capable</w:t>
            </w:r>
            <w:r>
              <w:br/>
            </w: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>• Broadband</w:t>
            </w:r>
          </w:p>
        </w:tc>
      </w:tr>
      <w:tr>
        <w:trPr>
          <w:trHeight w:hRule="exact" w:val="784"/>
        </w:trPr>
        <w:tc>
          <w:tcPr>
            <w:tcW w:type="dxa" w:w="3484"/>
            <w:tcBorders>
              <w:top w:sz="8.0" w:val="single" w:color="#C6C8C7"/>
              <w:end w:sz="8.0" w:val="single" w:color="#C6C8C7"/>
              <w:bottom w:sz="8.0" w:val="single" w:color="#C6C8C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0" w:lineRule="exact" w:before="270" w:after="0"/>
              <w:ind w:left="100" w:right="0" w:firstLine="0"/>
              <w:jc w:val="left"/>
            </w:pPr>
            <w:r>
              <w:rPr>
                <w:rFonts w:ascii="Asap" w:hAnsi="Asap" w:eastAsia="Asap"/>
                <w:b/>
                <w:i w:val="0"/>
                <w:color w:val="000000"/>
                <w:sz w:val="19"/>
              </w:rPr>
              <w:t>Compatibility</w:t>
            </w:r>
          </w:p>
        </w:tc>
        <w:tc>
          <w:tcPr>
            <w:tcW w:type="dxa" w:w="6956"/>
            <w:tcBorders>
              <w:start w:sz="8.0" w:val="single" w:color="#C6C8C7"/>
              <w:top w:sz="8.0" w:val="single" w:color="#C6C8C7"/>
              <w:bottom w:sz="8.0" w:val="single" w:color="#C6C8C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exact" w:before="4" w:after="0"/>
              <w:ind w:left="70" w:right="4176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>• PC/Mac</w:t>
            </w:r>
            <w:r>
              <w:br/>
            </w: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>• Browser (e.g., Chrome, Edge, Safari)</w:t>
            </w:r>
            <w:r>
              <w:br/>
            </w: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>• Operating system (e.g., iOS, Android)</w:t>
            </w:r>
          </w:p>
        </w:tc>
      </w:tr>
      <w:tr>
        <w:trPr>
          <w:trHeight w:hRule="exact" w:val="338"/>
        </w:trPr>
        <w:tc>
          <w:tcPr>
            <w:tcW w:type="dxa" w:w="3484"/>
            <w:tcBorders>
              <w:top w:sz="8.0" w:val="single" w:color="#C6C8C7"/>
              <w:end w:sz="8.0" w:val="single" w:color="#C6C8C7"/>
              <w:bottom w:sz="16.0" w:val="single" w:color="#474B5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48" w:after="0"/>
              <w:ind w:left="100" w:right="0" w:firstLine="0"/>
              <w:jc w:val="left"/>
            </w:pPr>
            <w:r>
              <w:rPr>
                <w:rFonts w:ascii="Asap" w:hAnsi="Asap" w:eastAsia="Asap"/>
                <w:b/>
                <w:i w:val="0"/>
                <w:color w:val="000000"/>
                <w:sz w:val="19"/>
              </w:rPr>
              <w:t>Technical assistance availability</w:t>
            </w:r>
          </w:p>
        </w:tc>
        <w:tc>
          <w:tcPr>
            <w:tcW w:type="dxa" w:w="6956"/>
            <w:tcBorders>
              <w:start w:sz="8.0" w:val="single" w:color="#C6C8C7"/>
              <w:top w:sz="8.0" w:val="single" w:color="#C6C8C7"/>
              <w:bottom w:sz="16.0" w:val="single" w:color="#474B5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exact" w:before="72" w:after="0"/>
              <w:ind w:left="70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5"/>
              </w:rPr>
              <w:t>• In-app support via chat or call center availability</w:t>
            </w:r>
          </w:p>
        </w:tc>
      </w:tr>
    </w:tbl>
    <w:p>
      <w:pPr>
        <w:autoSpaceDN w:val="0"/>
        <w:autoSpaceDE w:val="0"/>
        <w:widowControl/>
        <w:spacing w:line="180" w:lineRule="exact" w:before="152" w:after="196"/>
        <w:ind w:left="18" w:right="1008" w:firstLine="0"/>
        <w:jc w:val="left"/>
      </w:pPr>
      <w:r>
        <w:rPr>
          <w:rFonts w:ascii="Asap" w:hAnsi="Asap" w:eastAsia="Asap"/>
          <w:b w:val="0"/>
          <w:i/>
          <w:color w:val="000000"/>
          <w:sz w:val="15"/>
        </w:rPr>
        <w:t xml:space="preserve">DTx = digital therapeutics; FDA = U.S. Food and Drug Administration; HCDM = health care decision-maker; iOS = Apple operating system; PC/Mac = </w:t>
      </w:r>
      <w:r>
        <w:rPr>
          <w:rFonts w:ascii="Asap" w:hAnsi="Asap" w:eastAsia="Asap"/>
          <w:b w:val="0"/>
          <w:i/>
          <w:color w:val="000000"/>
          <w:sz w:val="15"/>
        </w:rPr>
        <w:t>refers to computers running IBM-based operating systems/computers produced by Apple.</w:t>
      </w:r>
    </w:p>
    <w:p>
      <w:pPr>
        <w:sectPr>
          <w:pgSz w:w="11880" w:h="15660"/>
          <w:pgMar w:top="360" w:right="0" w:bottom="266" w:left="700" w:header="720" w:footer="720" w:gutter="0"/>
          <w:cols/>
          <w:docGrid w:linePitch="360"/>
        </w:sectPr>
      </w:pPr>
    </w:p>
    <w:p>
      <w:pPr>
        <w:autoSpaceDN w:val="0"/>
        <w:tabs>
          <w:tab w:pos="740" w:val="left"/>
        </w:tabs>
        <w:autoSpaceDE w:val="0"/>
        <w:widowControl/>
        <w:spacing w:line="242" w:lineRule="exact" w:before="22" w:after="0"/>
        <w:ind w:left="20" w:right="144" w:firstLine="0"/>
        <w:jc w:val="left"/>
      </w:pPr>
      <w:r>
        <w:rPr>
          <w:rFonts w:ascii="Asap" w:hAnsi="Asap" w:eastAsia="Asap"/>
          <w:b/>
          <w:i w:val="0"/>
          <w:color w:val="14377D"/>
          <w:sz w:val="20"/>
        </w:rPr>
        <w:t xml:space="preserve">2.2C </w:t>
      </w:r>
      <w:r>
        <w:tab/>
      </w:r>
      <w:r>
        <w:rPr>
          <w:rFonts w:ascii="Asap" w:hAnsi="Asap" w:eastAsia="Asap"/>
          <w:b/>
          <w:i w:val="0"/>
          <w:color w:val="14377D"/>
          <w:sz w:val="20"/>
        </w:rPr>
        <w:t xml:space="preserve">DISEASE DESCRIPTION 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The recommended length of Section 2.2C is five pages </w:t>
      </w:r>
      <w:r>
        <w:rPr>
          <w:rFonts w:ascii="Lora" w:hAnsi="Lora" w:eastAsia="Lora"/>
          <w:b w:val="0"/>
          <w:i w:val="0"/>
          <w:color w:val="000000"/>
          <w:sz w:val="18"/>
        </w:rPr>
        <w:t>(maximum 10) for each disease state.</w:t>
      </w:r>
    </w:p>
    <w:p>
      <w:pPr>
        <w:autoSpaceDN w:val="0"/>
        <w:autoSpaceDE w:val="0"/>
        <w:widowControl/>
        <w:spacing w:line="245" w:lineRule="auto" w:before="0" w:after="0"/>
        <w:ind w:left="20" w:right="144" w:firstLine="18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It is understood that the exact indication of the product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is not fully known until final FDA approval. Manufacturers </w:t>
      </w:r>
      <w:r>
        <w:rPr>
          <w:rFonts w:ascii="Lora" w:hAnsi="Lora" w:eastAsia="Lora"/>
          <w:b w:val="0"/>
          <w:i w:val="0"/>
          <w:color w:val="000000"/>
          <w:sz w:val="18"/>
        </w:rPr>
        <w:t>may struggle with the depth and breadth of disease infor-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mation to be presented without making characterizations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or conclusions about the safety or effectiveness of the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proposed indication. Nevertheless, HCDMs require a basic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understanding of the disease when reviewing information </w:t>
      </w:r>
    </w:p>
    <w:p>
      <w:pPr>
        <w:sectPr>
          <w:type w:val="continuous"/>
          <w:pgSz w:w="11880" w:h="15660"/>
          <w:pgMar w:top="360" w:right="0" w:bottom="266" w:left="700" w:header="720" w:footer="720" w:gutter="0"/>
          <w:cols w:num="2" w:equalWidth="0">
            <w:col w:w="5264" w:space="0"/>
            <w:col w:w="5916" w:space="0"/>
          </w:cols>
          <w:docGrid w:linePitch="360"/>
        </w:sectPr>
      </w:pPr>
    </w:p>
    <w:p>
      <w:pPr>
        <w:autoSpaceDN w:val="0"/>
        <w:autoSpaceDE w:val="0"/>
        <w:widowControl/>
        <w:spacing w:line="223" w:lineRule="auto" w:before="0" w:after="0"/>
        <w:ind w:left="156" w:right="0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>about the proposed indication for the product.</w:t>
      </w:r>
    </w:p>
    <w:p>
      <w:pPr>
        <w:autoSpaceDN w:val="0"/>
        <w:autoSpaceDE w:val="0"/>
        <w:widowControl/>
        <w:spacing w:line="245" w:lineRule="auto" w:before="0" w:after="0"/>
        <w:ind w:left="156" w:right="576" w:firstLine="18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>Manufacturers are requested to provide as much infor-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mation as possible about the medical condition or disease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state for which the proposed indication for the product is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being studied and FDA approval is being sought without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making characterizations or conclusions about the safety or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effectiveness of this unapproved use. This is true especially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with rare or orphan diseases. The intent is to give the reader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 good overall sense of the disease. The disease description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should be brief and should include epidemiology, risk </w:t>
      </w:r>
    </w:p>
    <w:p>
      <w:pPr>
        <w:autoSpaceDN w:val="0"/>
        <w:autoSpaceDE w:val="0"/>
        <w:widowControl/>
        <w:spacing w:line="186" w:lineRule="exact" w:before="612" w:after="0"/>
        <w:ind w:left="0" w:right="742" w:firstLine="0"/>
        <w:jc w:val="right"/>
      </w:pPr>
      <w:r>
        <w:rPr>
          <w:rFonts w:ascii="Asap" w:hAnsi="Asap" w:eastAsia="Asap"/>
          <w:b w:val="0"/>
          <w:i w:val="0"/>
          <w:color w:val="474C55"/>
          <w:sz w:val="14"/>
        </w:rPr>
        <w:t>Vol. 30, No. 4-b</w:t>
      </w:r>
      <w:r>
        <w:rPr>
          <w:rFonts w:ascii="Asap" w:hAnsi="Asap" w:eastAsia="Asap"/>
          <w:b w:val="0"/>
          <w:i w:val="0"/>
          <w:color w:val="474C55"/>
          <w:sz w:val="14"/>
        </w:rPr>
        <w:t>|</w:t>
      </w:r>
      <w:r>
        <w:rPr>
          <w:rFonts w:ascii="Asap" w:hAnsi="Asap" w:eastAsia="Asap"/>
          <w:b w:val="0"/>
          <w:i w:val="0"/>
          <w:color w:val="474C55"/>
          <w:sz w:val="14"/>
        </w:rPr>
        <w:t>April 2024</w:t>
      </w:r>
      <w:r>
        <w:rPr>
          <w:rFonts w:ascii="Asap" w:hAnsi="Asap" w:eastAsia="Asap"/>
          <w:b w:val="0"/>
          <w:i w:val="0"/>
          <w:color w:val="474C55"/>
          <w:sz w:val="14"/>
        </w:rPr>
        <w:t>|</w:t>
      </w:r>
      <w:r>
        <w:rPr>
          <w:rFonts w:ascii="Asap" w:hAnsi="Asap" w:eastAsia="Asap"/>
          <w:b/>
          <w:i w:val="0"/>
          <w:color w:val="14377D"/>
          <w:sz w:val="14"/>
        </w:rPr>
        <w:t xml:space="preserve"> JMCP</w:t>
      </w:r>
      <w:r>
        <w:rPr>
          <w:rFonts w:ascii="Asap" w:hAnsi="Asap" w:eastAsia="Asap"/>
          <w:b w:val="0"/>
          <w:i w:val="0"/>
          <w:color w:val="14377D"/>
          <w:sz w:val="14"/>
        </w:rPr>
        <w:t>.org</w:t>
      </w:r>
    </w:p>
    <w:p>
      <w:pPr>
        <w:sectPr>
          <w:type w:val="nextColumn"/>
          <w:pgSz w:w="11880" w:h="15660"/>
          <w:pgMar w:top="360" w:right="0" w:bottom="266" w:left="700" w:header="720" w:footer="720" w:gutter="0"/>
          <w:cols w:num="2" w:equalWidth="0">
            <w:col w:w="5264" w:space="0"/>
            <w:col w:w="5916" w:space="0"/>
          </w:cols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883"/>
        <w:gridCol w:w="4883"/>
      </w:tblGrid>
      <w:tr>
        <w:trPr>
          <w:trHeight w:hRule="exact" w:val="362"/>
        </w:trPr>
        <w:tc>
          <w:tcPr>
            <w:tcW w:type="dxa" w:w="1094"/>
            <w:tcBorders/>
            <w:shd w:fill="6b146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4" w:after="0"/>
              <w:ind w:left="0" w:right="90" w:firstLine="0"/>
              <w:jc w:val="right"/>
            </w:pPr>
            <w:r>
              <w:rPr>
                <w:rFonts w:ascii="Asap" w:hAnsi="Asap" w:eastAsia="Asap"/>
                <w:b/>
                <w:i w:val="0"/>
                <w:color w:val="FFFFFF"/>
                <w:sz w:val="18"/>
              </w:rPr>
              <w:t>46</w:t>
            </w:r>
          </w:p>
        </w:tc>
        <w:tc>
          <w:tcPr>
            <w:tcW w:type="dxa" w:w="584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4" w:after="0"/>
              <w:ind w:left="90" w:right="0" w:firstLine="0"/>
              <w:jc w:val="left"/>
            </w:pPr>
            <w:r>
              <w:rPr>
                <w:rFonts w:ascii="Asap" w:hAnsi="Asap" w:eastAsia="Asap"/>
                <w:b/>
                <w:i w:val="0"/>
                <w:color w:val="474C55"/>
                <w:sz w:val="18"/>
              </w:rPr>
              <w:t>AMCP FORMAT 5.0</w:t>
            </w:r>
          </w:p>
        </w:tc>
      </w:tr>
    </w:tbl>
    <w:p>
      <w:pPr>
        <w:autoSpaceDN w:val="0"/>
        <w:autoSpaceDE w:val="0"/>
        <w:widowControl/>
        <w:spacing w:line="14" w:lineRule="exact" w:before="0" w:after="1038"/>
        <w:ind w:left="0" w:right="0"/>
      </w:pPr>
    </w:p>
    <w:p>
      <w:pPr>
        <w:sectPr>
          <w:pgSz w:w="11880" w:h="15660"/>
          <w:pgMar w:top="360" w:right="674" w:bottom="266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45" w:lineRule="auto" w:before="0" w:after="0"/>
        <w:ind w:left="698" w:right="144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factors, pathophysiology, clinical presentation, and burden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of disease (e.g., societal, humanistic, health care resource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utilization, economic). Manufacturers should provide a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description of specific patient subpopulations in which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the unapproved use is being studied, if applicable. Include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clinical markers, diagnostic or genetic criteria, or other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markers, if known, that can be used to identify these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subpopulations. Information may be sourced from clinical </w:t>
      </w:r>
      <w:r>
        <w:rPr>
          <w:rFonts w:ascii="Lora" w:hAnsi="Lora" w:eastAsia="Lora"/>
          <w:b w:val="0"/>
          <w:i w:val="0"/>
          <w:color w:val="000000"/>
          <w:sz w:val="18"/>
        </w:rPr>
        <w:t>trials (e.g., target study population, inclusion and exclu-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sion criteria, baseline characteristics) and from medical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literature. Other sources may be used per manufacturers’ </w:t>
      </w:r>
      <w:r>
        <w:rPr>
          <w:rFonts w:ascii="Lora" w:hAnsi="Lora" w:eastAsia="Lora"/>
          <w:b w:val="0"/>
          <w:i w:val="0"/>
          <w:color w:val="000000"/>
          <w:sz w:val="18"/>
        </w:rPr>
        <w:t>discretion. Cite and reference all information.</w:t>
      </w:r>
    </w:p>
    <w:p>
      <w:pPr>
        <w:autoSpaceDN w:val="0"/>
        <w:autoSpaceDE w:val="0"/>
        <w:widowControl/>
        <w:spacing w:line="424" w:lineRule="exact" w:before="152" w:after="0"/>
        <w:ind w:left="698" w:right="0" w:firstLine="0"/>
        <w:jc w:val="left"/>
      </w:pPr>
      <w:r>
        <w:rPr>
          <w:rFonts w:ascii="Asap" w:hAnsi="Asap" w:eastAsia="Asap"/>
          <w:b/>
          <w:i w:val="0"/>
          <w:color w:val="6C146B"/>
          <w:sz w:val="32"/>
        </w:rPr>
        <w:t>3.0C Clinical Evidence</w:t>
      </w:r>
    </w:p>
    <w:p>
      <w:pPr>
        <w:autoSpaceDN w:val="0"/>
        <w:autoSpaceDE w:val="0"/>
        <w:widowControl/>
        <w:spacing w:line="245" w:lineRule="auto" w:before="98" w:after="0"/>
        <w:ind w:left="698" w:right="156" w:firstLine="0"/>
        <w:jc w:val="both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Section 3.0C should consist of clinical studies that support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the unapproved use and value of the product in a clear and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concise format. </w:t>
      </w:r>
    </w:p>
    <w:p>
      <w:pPr>
        <w:autoSpaceDN w:val="0"/>
        <w:tabs>
          <w:tab w:pos="878" w:val="left"/>
          <w:tab w:pos="1058" w:val="left"/>
        </w:tabs>
        <w:autoSpaceDE w:val="0"/>
        <w:widowControl/>
        <w:spacing w:line="245" w:lineRule="auto" w:before="0" w:after="0"/>
        <w:ind w:left="698" w:right="144" w:firstLine="0"/>
        <w:jc w:val="left"/>
      </w:pP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It is important that Section 3.0C is transparent and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reflects the full body of clinical evidence that exists for a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product. For the unapproved use, available evidence may be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limited to a few studies, and inclusion of all studies in the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dossier is sensible. It is important that the manufacturer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exhibit transparency and fair representation concerning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the evidence included in the dossier, while at the same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time providing a dossier that is useful and manageable for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HCDMs. Therefore, it is recommended that the evidence be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separated into the following categories: </w:t>
      </w:r>
      <w:r>
        <w:br/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1. An overview of clinical information should be provided </w:t>
      </w:r>
      <w:r>
        <w:tab/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on the first page of Section 3.0C. </w:t>
      </w:r>
    </w:p>
    <w:p>
      <w:pPr>
        <w:autoSpaceDN w:val="0"/>
        <w:autoSpaceDE w:val="0"/>
        <w:widowControl/>
        <w:spacing w:line="245" w:lineRule="auto" w:before="0" w:after="0"/>
        <w:ind w:left="1058" w:right="144" w:hanging="18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2. Pivotal data, and in some instances other RCTs and/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or real-world evidence, that contribute significantly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to the knowledge base of the unapproved use should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be included as </w:t>
      </w:r>
      <w:r>
        <w:rPr>
          <w:rFonts w:ascii="Lora" w:hAnsi="Lora" w:eastAsia="Lora"/>
          <w:b w:val="0"/>
          <w:i/>
          <w:color w:val="000000"/>
          <w:sz w:val="18"/>
        </w:rPr>
        <w:t>study summaries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 (see Section 3.1B) and </w:t>
      </w:r>
      <w:r>
        <w:rPr>
          <w:rFonts w:ascii="Lora" w:hAnsi="Lora" w:eastAsia="Lora"/>
          <w:b w:val="0"/>
          <w:i/>
          <w:color w:val="000000"/>
          <w:sz w:val="18"/>
        </w:rPr>
        <w:t>evidence tables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 (see Section 3.2C).</w:t>
      </w:r>
    </w:p>
    <w:p>
      <w:pPr>
        <w:autoSpaceDN w:val="0"/>
        <w:autoSpaceDE w:val="0"/>
        <w:widowControl/>
        <w:spacing w:line="245" w:lineRule="auto" w:before="0" w:after="0"/>
        <w:ind w:left="1058" w:right="156" w:hanging="180"/>
        <w:jc w:val="both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3. Informative but smaller and/or less rigorous studies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that may add to the evidence base for the unapproved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use should be included as </w:t>
      </w:r>
      <w:r>
        <w:rPr>
          <w:rFonts w:ascii="Lora" w:hAnsi="Lora" w:eastAsia="Lora"/>
          <w:b w:val="0"/>
          <w:i/>
          <w:color w:val="000000"/>
          <w:sz w:val="18"/>
        </w:rPr>
        <w:t>evidence tables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 (see Section </w:t>
      </w:r>
      <w:r>
        <w:rPr>
          <w:rFonts w:ascii="Lora" w:hAnsi="Lora" w:eastAsia="Lora"/>
          <w:b w:val="0"/>
          <w:i w:val="0"/>
          <w:color w:val="000000"/>
          <w:sz w:val="18"/>
        </w:rPr>
        <w:t>3.2C) only.</w:t>
      </w:r>
    </w:p>
    <w:p>
      <w:pPr>
        <w:autoSpaceDN w:val="0"/>
        <w:autoSpaceDE w:val="0"/>
        <w:widowControl/>
        <w:spacing w:line="245" w:lineRule="auto" w:before="0" w:after="0"/>
        <w:ind w:left="1058" w:right="144" w:hanging="18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4. All other studies that have been reported but do not </w:t>
      </w:r>
      <w:r>
        <w:rPr>
          <w:rFonts w:ascii="Lora" w:hAnsi="Lora" w:eastAsia="Lora"/>
          <w:b w:val="0"/>
          <w:i w:val="0"/>
          <w:color w:val="000000"/>
          <w:sz w:val="18"/>
        </w:rPr>
        <w:t>add significantly to the knowledge base of the unap-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proved use should be identified in a </w:t>
      </w:r>
      <w:r>
        <w:rPr>
          <w:rFonts w:ascii="Lora" w:hAnsi="Lora" w:eastAsia="Lora"/>
          <w:b w:val="0"/>
          <w:i/>
          <w:color w:val="000000"/>
          <w:sz w:val="18"/>
        </w:rPr>
        <w:t>bibliography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 only.</w:t>
      </w:r>
    </w:p>
    <w:p>
      <w:pPr>
        <w:autoSpaceDN w:val="0"/>
        <w:autoSpaceDE w:val="0"/>
        <w:widowControl/>
        <w:spacing w:line="245" w:lineRule="auto" w:before="0" w:after="0"/>
        <w:ind w:left="698" w:right="156" w:firstLine="180"/>
        <w:jc w:val="both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The overview of the information contained in Section 3.0C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should define a specific set of objective criteria for inclusion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and exclusion of studies and describe how studies were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selected for inclusion and exclusion. Studies excluded do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not need to be identified in a bibliography. Considerations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for establishing inclusion or exclusion criteria can be based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on the study characteristics as is done in ClinicalTrials.gov.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These characteristics include, but are not limited to, study </w:t>
      </w:r>
      <w:r>
        <w:rPr>
          <w:rFonts w:ascii="Lora" w:hAnsi="Lora" w:eastAsia="Lora"/>
          <w:b w:val="0"/>
          <w:i w:val="0"/>
          <w:color w:val="000000"/>
          <w:sz w:val="18"/>
        </w:rPr>
        <w:t>design, number of participants, and location of the study.</w:t>
      </w:r>
    </w:p>
    <w:p>
      <w:pPr>
        <w:autoSpaceDN w:val="0"/>
        <w:autoSpaceDE w:val="0"/>
        <w:widowControl/>
        <w:spacing w:line="186" w:lineRule="exact" w:before="590" w:after="0"/>
        <w:ind w:left="740" w:right="0" w:firstLine="0"/>
        <w:jc w:val="left"/>
      </w:pPr>
      <w:r>
        <w:rPr>
          <w:rFonts w:ascii="Asap" w:hAnsi="Asap" w:eastAsia="Asap"/>
          <w:b/>
          <w:i w:val="0"/>
          <w:color w:val="14377D"/>
          <w:sz w:val="14"/>
        </w:rPr>
        <w:t>JMCP</w:t>
      </w:r>
      <w:r>
        <w:rPr>
          <w:rFonts w:ascii="Asap" w:hAnsi="Asap" w:eastAsia="Asap"/>
          <w:b w:val="0"/>
          <w:i w:val="0"/>
          <w:color w:val="14377D"/>
          <w:sz w:val="14"/>
        </w:rPr>
        <w:t>.org</w:t>
      </w:r>
      <w:r>
        <w:rPr>
          <w:rFonts w:ascii="Asap" w:hAnsi="Asap" w:eastAsia="Asap"/>
          <w:b w:val="0"/>
          <w:i w:val="0"/>
          <w:color w:val="474C55"/>
          <w:sz w:val="14"/>
        </w:rPr>
        <w:t>|</w:t>
      </w:r>
      <w:r>
        <w:rPr>
          <w:rFonts w:ascii="Asap" w:hAnsi="Asap" w:eastAsia="Asap"/>
          <w:b w:val="0"/>
          <w:i w:val="0"/>
          <w:color w:val="474C55"/>
          <w:sz w:val="14"/>
        </w:rPr>
        <w:t>April 2024</w:t>
      </w:r>
      <w:r>
        <w:rPr>
          <w:rFonts w:ascii="Asap" w:hAnsi="Asap" w:eastAsia="Asap"/>
          <w:b w:val="0"/>
          <w:i w:val="0"/>
          <w:color w:val="474C55"/>
          <w:sz w:val="14"/>
        </w:rPr>
        <w:t>|</w:t>
      </w:r>
      <w:r>
        <w:rPr>
          <w:rFonts w:ascii="Asap" w:hAnsi="Asap" w:eastAsia="Asap"/>
          <w:b w:val="0"/>
          <w:i w:val="0"/>
          <w:color w:val="474C55"/>
          <w:sz w:val="14"/>
        </w:rPr>
        <w:t>Vol. 30, No. 4-B</w:t>
      </w:r>
    </w:p>
    <w:p>
      <w:pPr>
        <w:sectPr>
          <w:type w:val="continuous"/>
          <w:pgSz w:w="11880" w:h="15660"/>
          <w:pgMar w:top="360" w:right="674" w:bottom="266" w:left="0" w:header="720" w:footer="720" w:gutter="0"/>
          <w:cols w:num="2" w:equalWidth="0">
            <w:col w:w="5942" w:space="0"/>
            <w:col w:w="5263" w:space="0"/>
          </w:cols>
          <w:docGrid w:linePitch="360"/>
        </w:sectPr>
      </w:pPr>
    </w:p>
    <w:p>
      <w:pPr>
        <w:autoSpaceDN w:val="0"/>
        <w:tabs>
          <w:tab w:pos="336" w:val="left"/>
        </w:tabs>
        <w:autoSpaceDE w:val="0"/>
        <w:widowControl/>
        <w:spacing w:line="245" w:lineRule="auto" w:before="0" w:after="0"/>
        <w:ind w:left="156" w:right="0" w:firstLine="0"/>
        <w:jc w:val="left"/>
      </w:pP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In this section, the manufacturer should clearly explain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the objective rationale for delineation and assignment of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studies into each of the categories above to avoid selection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bias. Because these definitions may vary depending on the </w:t>
      </w:r>
      <w:r>
        <w:rPr>
          <w:rFonts w:ascii="Lora" w:hAnsi="Lora" w:eastAsia="Lora"/>
          <w:b w:val="0"/>
          <w:i w:val="0"/>
          <w:color w:val="000000"/>
          <w:sz w:val="18"/>
        </w:rPr>
        <w:t>context of the product, clinical setting, incidence/preva-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lence of the disorder, and available treatment alternatives,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the manufacturer should justify how studies are included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(study summaries vs. evidence tables vs. bibliography).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This section should also explain the degree to which study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participants represent the target population as described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in Section 2.2C and identify differences that may obscure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translation to real-world effectiveness. For clinical trials,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the diversity of study participants should be explained, and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supplemental tables depicting trial representativeness are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strongly encouraged. Retrospective studies should include </w:t>
      </w:r>
      <w:r>
        <w:rPr>
          <w:rFonts w:ascii="Lora" w:hAnsi="Lora" w:eastAsia="Lora"/>
          <w:b w:val="0"/>
          <w:i w:val="0"/>
          <w:color w:val="000000"/>
          <w:sz w:val="18"/>
        </w:rPr>
        <w:t>subgroups disproportionally affected by the health condi-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tion, and limitations that erode generalizability should be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disclosed. </w:t>
      </w:r>
    </w:p>
    <w:p>
      <w:pPr>
        <w:autoSpaceDN w:val="0"/>
        <w:tabs>
          <w:tab w:pos="336" w:val="left"/>
          <w:tab w:pos="516" w:val="left"/>
        </w:tabs>
        <w:autoSpaceDE w:val="0"/>
        <w:widowControl/>
        <w:spacing w:line="245" w:lineRule="auto" w:before="0" w:after="0"/>
        <w:ind w:left="156" w:right="0" w:firstLine="0"/>
        <w:jc w:val="left"/>
      </w:pPr>
      <w:r>
        <w:rPr>
          <w:rFonts w:ascii="Lora" w:hAnsi="Lora" w:eastAsia="Lora"/>
          <w:b/>
          <w:i w:val="0"/>
          <w:color w:val="000000"/>
          <w:sz w:val="18"/>
        </w:rPr>
        <w:t>Considerations for Section 3.0C:</w:t>
      </w:r>
      <w:r>
        <w:br/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• The length and level of detail for study summaries and </w:t>
      </w:r>
      <w:r>
        <w:tab/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evidence tables may vary based on the amount of avail-</w:t>
      </w:r>
      <w:r>
        <w:tab/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able data. It must be noted that HCDMs want a concise, </w:t>
      </w:r>
      <w:r>
        <w:tab/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focused, and user-friendly presentation of data. One </w:t>
      </w:r>
      <w:r>
        <w:tab/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of the most common complaints from HCDMs is that </w:t>
      </w:r>
      <w:r>
        <w:tab/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dossiers are too long.</w:t>
      </w:r>
    </w:p>
    <w:p>
      <w:pPr>
        <w:autoSpaceDN w:val="0"/>
        <w:autoSpaceDE w:val="0"/>
        <w:widowControl/>
        <w:spacing w:line="245" w:lineRule="auto" w:before="0" w:after="0"/>
        <w:ind w:left="516" w:right="20" w:hanging="180"/>
        <w:jc w:val="both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• Specific study designs are not prescribed in this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section. Manufacturers should include studies that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generate evidence about clinical outcomes. </w:t>
      </w:r>
    </w:p>
    <w:p>
      <w:pPr>
        <w:autoSpaceDN w:val="0"/>
        <w:autoSpaceDE w:val="0"/>
        <w:widowControl/>
        <w:spacing w:line="245" w:lineRule="auto" w:before="0" w:after="0"/>
        <w:ind w:left="696" w:right="0" w:hanging="180"/>
        <w:jc w:val="left"/>
      </w:pPr>
      <w:r>
        <w:rPr>
          <w:rFonts w:ascii="AppleSymbols" w:hAnsi="AppleSymbols" w:eastAsia="AppleSymbols"/>
          <w:b w:val="0"/>
          <w:i w:val="0"/>
          <w:color w:val="000000"/>
          <w:sz w:val="18"/>
        </w:rPr>
        <w:t>⚬</w:t>
      </w:r>
      <w:r>
        <w:rPr>
          <w:rFonts w:ascii="Lora" w:hAnsi="Lora" w:eastAsia="Lora"/>
          <w:b w:val="0"/>
          <w:i w:val="0"/>
          <w:color w:val="000000"/>
          <w:sz w:val="18"/>
        </w:rPr>
        <w:t>Prospective clinical studies including RCTs, obser-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vational data, registries, real-world evidence, and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other studies that measure clinical endpoints should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generally be included in Section 3.0C. Study results </w:t>
      </w:r>
      <w:r>
        <w:rPr>
          <w:rFonts w:ascii="Lora" w:hAnsi="Lora" w:eastAsia="Lora"/>
          <w:b w:val="0"/>
          <w:i w:val="0"/>
          <w:color w:val="000000"/>
          <w:sz w:val="18"/>
        </w:rPr>
        <w:t>and outcomes may include efficacy, safety, tolerabil-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ity, pharmacokinetics/pharmacodynamics, patient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preference, patient adherence, patient-reported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outcomes, quality of life, evidence that identifies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patient subgroups or clinical settings in which the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product may be appropriate, and other clinically </w:t>
      </w:r>
      <w:r>
        <w:rPr>
          <w:rFonts w:ascii="Lora" w:hAnsi="Lora" w:eastAsia="Lora"/>
          <w:b w:val="0"/>
          <w:i w:val="0"/>
          <w:color w:val="000000"/>
          <w:sz w:val="18"/>
        </w:rPr>
        <w:t>related outcomes.</w:t>
      </w:r>
    </w:p>
    <w:p>
      <w:pPr>
        <w:autoSpaceDN w:val="0"/>
        <w:autoSpaceDE w:val="0"/>
        <w:widowControl/>
        <w:spacing w:line="245" w:lineRule="auto" w:before="0" w:after="0"/>
        <w:ind w:left="696" w:right="22" w:hanging="180"/>
        <w:jc w:val="both"/>
      </w:pPr>
      <w:r>
        <w:rPr>
          <w:rFonts w:ascii="AppleSymbols" w:hAnsi="AppleSymbols" w:eastAsia="AppleSymbols"/>
          <w:b w:val="0"/>
          <w:i w:val="0"/>
          <w:color w:val="000000"/>
          <w:sz w:val="18"/>
        </w:rPr>
        <w:t>⚬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In vitro, animal, and phase 1 studies are generally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not included unless the value proposition is based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on relevant pharmacologic, pharmacodynamics, or </w:t>
      </w:r>
      <w:r>
        <w:rPr>
          <w:rFonts w:ascii="Lora" w:hAnsi="Lora" w:eastAsia="Lora"/>
          <w:b w:val="0"/>
          <w:i w:val="0"/>
          <w:color w:val="000000"/>
          <w:sz w:val="18"/>
        </w:rPr>
        <w:t>pharmacokinetic evidence in these earlier studies.</w:t>
      </w:r>
    </w:p>
    <w:p>
      <w:pPr>
        <w:autoSpaceDN w:val="0"/>
        <w:autoSpaceDE w:val="0"/>
        <w:widowControl/>
        <w:spacing w:line="245" w:lineRule="auto" w:before="0" w:after="0"/>
        <w:ind w:left="516" w:right="0" w:hanging="18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• Studies available from peer-reviewed published medical </w:t>
      </w:r>
      <w:r>
        <w:rPr>
          <w:rFonts w:ascii="Lora" w:hAnsi="Lora" w:eastAsia="Lora"/>
          <w:b w:val="0"/>
          <w:i w:val="0"/>
          <w:color w:val="000000"/>
          <w:sz w:val="18"/>
        </w:rPr>
        <w:t>journals are preferred. When publications are not avail-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able, medical congress abstracts, posters, and scientific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podium presentations can be considered. Publicly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available information from manuscripts submitted or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accepted by medical journals, ClinicalTrials.gov, FDA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briefing documents, and manufacturers’ data on file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can also be used, when applicable. </w:t>
      </w:r>
    </w:p>
    <w:p>
      <w:pPr>
        <w:sectPr>
          <w:type w:val="nextColumn"/>
          <w:pgSz w:w="11880" w:h="15660"/>
          <w:pgMar w:top="360" w:right="674" w:bottom="266" w:left="0" w:header="720" w:footer="720" w:gutter="0"/>
          <w:cols w:num="2" w:equalWidth="0">
            <w:col w:w="5942" w:space="0"/>
            <w:col w:w="5263" w:space="0"/>
          </w:cols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220.0" w:type="dxa"/>
      </w:tblPr>
      <w:tblGrid>
        <w:gridCol w:w="4860"/>
        <w:gridCol w:w="4860"/>
      </w:tblGrid>
      <w:tr>
        <w:trPr>
          <w:trHeight w:hRule="exact" w:val="362"/>
        </w:trPr>
        <w:tc>
          <w:tcPr>
            <w:tcW w:type="dxa" w:w="584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4" w:after="0"/>
              <w:ind w:left="0" w:right="90" w:firstLine="0"/>
              <w:jc w:val="right"/>
            </w:pPr>
            <w:r>
              <w:rPr>
                <w:rFonts w:ascii="Asap" w:hAnsi="Asap" w:eastAsia="Asap"/>
                <w:b/>
                <w:i w:val="0"/>
                <w:color w:val="474C55"/>
                <w:sz w:val="18"/>
              </w:rPr>
              <w:t>AMCP FORMAT 5.0</w:t>
            </w:r>
          </w:p>
        </w:tc>
        <w:tc>
          <w:tcPr>
            <w:tcW w:type="dxa" w:w="1094"/>
            <w:tcBorders/>
            <w:shd w:fill="6b146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72" w:after="0"/>
              <w:ind w:left="90" w:right="0" w:firstLine="0"/>
              <w:jc w:val="left"/>
            </w:pPr>
            <w:r>
              <w:rPr>
                <w:rFonts w:ascii="Asap" w:hAnsi="Asap" w:eastAsia="Asap"/>
                <w:b/>
                <w:i w:val="0"/>
                <w:color w:val="FFFFFF"/>
                <w:sz w:val="18"/>
              </w:rPr>
              <w:t>47</w:t>
            </w:r>
          </w:p>
        </w:tc>
      </w:tr>
    </w:tbl>
    <w:p>
      <w:pPr>
        <w:autoSpaceDN w:val="0"/>
        <w:autoSpaceDE w:val="0"/>
        <w:widowControl/>
        <w:spacing w:line="14" w:lineRule="exact" w:before="0" w:after="1038"/>
        <w:ind w:left="0" w:right="0"/>
      </w:pPr>
    </w:p>
    <w:p>
      <w:pPr>
        <w:sectPr>
          <w:pgSz w:w="11880" w:h="15660"/>
          <w:pgMar w:top="360" w:right="0" w:bottom="266" w:left="720" w:header="720" w:footer="720" w:gutter="0"/>
          <w:cols/>
          <w:docGrid w:linePitch="360"/>
        </w:sectPr>
      </w:pPr>
    </w:p>
    <w:p>
      <w:pPr>
        <w:autoSpaceDN w:val="0"/>
        <w:tabs>
          <w:tab w:pos="360" w:val="left"/>
        </w:tabs>
        <w:autoSpaceDE w:val="0"/>
        <w:widowControl/>
        <w:spacing w:line="245" w:lineRule="auto" w:before="0" w:after="0"/>
        <w:ind w:left="180" w:right="144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• If the results of a trial have been reported in more than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one journal article or conference abstract, poster, or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scientific podium presentation, all may be combined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into one summary and one row of an evidence table,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citing all the sources from which data have been drawn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and clearly stating the total number of participants.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Discuss important study findings and comment on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their implications for different patient populations. </w:t>
      </w:r>
      <w:r>
        <w:rPr>
          <w:rFonts w:ascii="Lora" w:hAnsi="Lora" w:eastAsia="Lora"/>
          <w:b w:val="0"/>
          <w:i w:val="0"/>
          <w:color w:val="000000"/>
          <w:sz w:val="18"/>
        </w:rPr>
        <w:t>• Data summarized in Section 3.0C should not be re-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summarized in Sections 2.0C and 5.0C.</w:t>
      </w:r>
    </w:p>
    <w:p>
      <w:pPr>
        <w:autoSpaceDN w:val="0"/>
        <w:tabs>
          <w:tab w:pos="180" w:val="left"/>
          <w:tab w:pos="450" w:val="left"/>
          <w:tab w:pos="720" w:val="left"/>
        </w:tabs>
        <w:autoSpaceDE w:val="0"/>
        <w:widowControl/>
        <w:spacing w:line="242" w:lineRule="exact" w:before="220" w:after="0"/>
        <w:ind w:left="0" w:right="144" w:firstLine="0"/>
        <w:jc w:val="left"/>
      </w:pPr>
      <w:r>
        <w:rPr>
          <w:rFonts w:ascii="Asap" w:hAnsi="Asap" w:eastAsia="Asap"/>
          <w:b/>
          <w:i w:val="0"/>
          <w:color w:val="14377D"/>
          <w:sz w:val="20"/>
        </w:rPr>
        <w:t xml:space="preserve">3.1C </w:t>
      </w:r>
      <w:r>
        <w:tab/>
      </w:r>
      <w:r>
        <w:tab/>
      </w:r>
      <w:r>
        <w:rPr>
          <w:rFonts w:ascii="Asap" w:hAnsi="Asap" w:eastAsia="Asap"/>
          <w:b/>
          <w:i w:val="0"/>
          <w:color w:val="14377D"/>
          <w:sz w:val="20"/>
        </w:rPr>
        <w:t xml:space="preserve">STUDY SUMMARIES 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The recommended length of each study summary is two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pages (maximum five). Study summaries should include the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following items where available and applicable: </w:t>
      </w:r>
      <w:r>
        <w:br/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1. Publication citations, study name, ClinicalTrials.gov ID </w:t>
      </w:r>
      <w:r>
        <w:tab/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number, and funding source.</w:t>
      </w:r>
    </w:p>
    <w:p>
      <w:pPr>
        <w:autoSpaceDN w:val="0"/>
        <w:tabs>
          <w:tab w:pos="450" w:val="left"/>
        </w:tabs>
        <w:autoSpaceDE w:val="0"/>
        <w:widowControl/>
        <w:spacing w:line="245" w:lineRule="auto" w:before="0" w:after="0"/>
        <w:ind w:left="180" w:right="144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2. Objective, location, and study start and completion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dates.</w:t>
      </w:r>
    </w:p>
    <w:p>
      <w:pPr>
        <w:autoSpaceDN w:val="0"/>
        <w:autoSpaceDE w:val="0"/>
        <w:widowControl/>
        <w:spacing w:line="245" w:lineRule="auto" w:before="0" w:after="0"/>
        <w:ind w:left="180" w:right="288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3. Trial design, randomization, and blinding procedures. </w:t>
      </w:r>
      <w:r>
        <w:rPr>
          <w:rFonts w:ascii="Lora" w:hAnsi="Lora" w:eastAsia="Lora"/>
          <w:b w:val="0"/>
          <w:i w:val="0"/>
          <w:color w:val="000000"/>
          <w:sz w:val="18"/>
        </w:rPr>
        <w:t>4. Setting, inclusion, and exclusion criteria.</w:t>
      </w:r>
    </w:p>
    <w:p>
      <w:pPr>
        <w:autoSpaceDN w:val="0"/>
        <w:autoSpaceDE w:val="0"/>
        <w:widowControl/>
        <w:spacing w:line="223" w:lineRule="auto" w:before="0" w:after="0"/>
        <w:ind w:left="180" w:right="0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>5. Baseline patient characteristics and demographics.</w:t>
      </w:r>
    </w:p>
    <w:p>
      <w:pPr>
        <w:autoSpaceDN w:val="0"/>
        <w:tabs>
          <w:tab w:pos="450" w:val="left"/>
        </w:tabs>
        <w:autoSpaceDE w:val="0"/>
        <w:widowControl/>
        <w:spacing w:line="245" w:lineRule="auto" w:before="0" w:after="0"/>
        <w:ind w:left="180" w:right="144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6. Drop-out rates and procedures for handling drop-outs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(e.g., ITT,  per protocol).</w:t>
      </w:r>
    </w:p>
    <w:p>
      <w:pPr>
        <w:autoSpaceDN w:val="0"/>
        <w:tabs>
          <w:tab w:pos="450" w:val="left"/>
        </w:tabs>
        <w:autoSpaceDE w:val="0"/>
        <w:widowControl/>
        <w:spacing w:line="245" w:lineRule="auto" w:before="0" w:after="0"/>
        <w:ind w:left="180" w:right="144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7. Treatments, interventions, dosage regimens, washout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period, concomitant therapies, etc.</w:t>
      </w:r>
    </w:p>
    <w:p>
      <w:pPr>
        <w:autoSpaceDN w:val="0"/>
        <w:autoSpaceDE w:val="0"/>
        <w:widowControl/>
        <w:spacing w:line="245" w:lineRule="auto" w:before="0" w:after="0"/>
        <w:ind w:left="450" w:right="154" w:hanging="270"/>
        <w:jc w:val="both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8. Clinical outcomes evaluated, measured, and collected,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delineating primary versus secondary endpoints, as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well as pre-specified versus post hoc analyses. When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applicable, information on surrogate endpoints should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also be provided (i.e., for expedited pathways). </w:t>
      </w:r>
    </w:p>
    <w:p>
      <w:pPr>
        <w:autoSpaceDN w:val="0"/>
        <w:autoSpaceDE w:val="0"/>
        <w:widowControl/>
        <w:spacing w:line="245" w:lineRule="auto" w:before="0" w:after="0"/>
        <w:ind w:left="450" w:right="154" w:hanging="270"/>
        <w:jc w:val="both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9. Measures of effect (e.g., risk difference, risk ratio, odds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ratio, number needed to treat), statistical significance </w:t>
      </w:r>
      <w:r>
        <w:rPr>
          <w:rFonts w:ascii="Lora" w:hAnsi="Lora" w:eastAsia="Lora"/>
          <w:b w:val="0"/>
          <w:i w:val="0"/>
          <w:color w:val="000000"/>
          <w:sz w:val="18"/>
        </w:rPr>
        <w:t>of outcomes, and power calculations.</w:t>
      </w:r>
    </w:p>
    <w:p>
      <w:pPr>
        <w:autoSpaceDN w:val="0"/>
        <w:autoSpaceDE w:val="0"/>
        <w:widowControl/>
        <w:spacing w:line="221" w:lineRule="auto" w:before="0" w:after="0"/>
        <w:ind w:left="180" w:right="0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>10. Validation of outcomes instruments (if applicable).</w:t>
      </w:r>
    </w:p>
    <w:p>
      <w:pPr>
        <w:autoSpaceDN w:val="0"/>
        <w:autoSpaceDE w:val="0"/>
        <w:widowControl/>
        <w:spacing w:line="221" w:lineRule="auto" w:before="0" w:after="0"/>
        <w:ind w:left="180" w:right="0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>11. Generalizability of the population treated.</w:t>
      </w:r>
    </w:p>
    <w:p>
      <w:pPr>
        <w:autoSpaceDN w:val="0"/>
        <w:autoSpaceDE w:val="0"/>
        <w:widowControl/>
        <w:spacing w:line="221" w:lineRule="auto" w:before="0" w:after="0"/>
        <w:ind w:left="180" w:right="0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>12. Study limitations, as stated by the authors.</w:t>
      </w:r>
    </w:p>
    <w:p>
      <w:pPr>
        <w:autoSpaceDN w:val="0"/>
        <w:tabs>
          <w:tab w:pos="180" w:val="left"/>
          <w:tab w:pos="360" w:val="left"/>
          <w:tab w:pos="720" w:val="left"/>
        </w:tabs>
        <w:autoSpaceDE w:val="0"/>
        <w:widowControl/>
        <w:spacing w:line="240" w:lineRule="exact" w:before="222" w:after="0"/>
        <w:ind w:left="0" w:right="144" w:firstLine="0"/>
        <w:jc w:val="left"/>
      </w:pPr>
      <w:r>
        <w:rPr>
          <w:rFonts w:ascii="Asap" w:hAnsi="Asap" w:eastAsia="Asap"/>
          <w:b/>
          <w:i w:val="0"/>
          <w:color w:val="14377D"/>
          <w:sz w:val="20"/>
        </w:rPr>
        <w:t xml:space="preserve">3.2C </w:t>
      </w:r>
      <w:r>
        <w:tab/>
      </w:r>
      <w:r>
        <w:rPr>
          <w:rFonts w:ascii="Asap" w:hAnsi="Asap" w:eastAsia="Asap"/>
          <w:b/>
          <w:i w:val="0"/>
          <w:color w:val="14377D"/>
          <w:sz w:val="20"/>
        </w:rPr>
        <w:t xml:space="preserve">EVIDENCE TABLES 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The recommended length of a row in the evidence table is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less than one page (maximum two) for each study.  Evidence </w:t>
      </w:r>
      <w:r>
        <w:rPr>
          <w:rFonts w:ascii="Lora" w:hAnsi="Lora" w:eastAsia="Lora"/>
          <w:b w:val="0"/>
          <w:i w:val="0"/>
          <w:color w:val="000000"/>
          <w:sz w:val="18"/>
        </w:rPr>
        <w:t>tables should include the following data elements:</w:t>
      </w:r>
      <w:r>
        <w:br/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• Citation (if unpublished, give abstract information or </w:t>
      </w:r>
      <w:r>
        <w:tab/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indicate “data on file”)</w:t>
      </w:r>
      <w:r>
        <w:br/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• Treatments</w:t>
      </w:r>
      <w:r>
        <w:br/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• Sample size and length of follow-up</w:t>
      </w:r>
      <w:r>
        <w:br/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• Inclusion and exclusion criteria</w:t>
      </w:r>
      <w:r>
        <w:br/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• Design</w:t>
      </w:r>
      <w:r>
        <w:br/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• Primary endpoints</w:t>
      </w:r>
      <w:r>
        <w:br/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• Secondary endpoints</w:t>
      </w:r>
      <w:r>
        <w:br/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• Results (provide an explicit statement of effect size, not </w:t>
      </w:r>
    </w:p>
    <w:p>
      <w:pPr>
        <w:sectPr>
          <w:type w:val="continuous"/>
          <w:pgSz w:w="11880" w:h="15660"/>
          <w:pgMar w:top="360" w:right="0" w:bottom="266" w:left="720" w:header="720" w:footer="720" w:gutter="0"/>
          <w:cols w:num="2" w:equalWidth="0">
            <w:col w:w="5242" w:space="0"/>
            <w:col w:w="5918" w:space="0"/>
          </w:cols>
          <w:docGrid w:linePitch="360"/>
        </w:sectPr>
      </w:pPr>
    </w:p>
    <w:p>
      <w:pPr>
        <w:autoSpaceDN w:val="0"/>
        <w:autoSpaceDE w:val="0"/>
        <w:widowControl/>
        <w:spacing w:line="223" w:lineRule="auto" w:before="0" w:after="0"/>
        <w:ind w:left="518" w:right="0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just relative risk reduction and statistical significance. </w:t>
      </w:r>
    </w:p>
    <w:p>
      <w:pPr>
        <w:autoSpaceDN w:val="0"/>
        <w:tabs>
          <w:tab w:pos="338" w:val="left"/>
          <w:tab w:pos="518" w:val="left"/>
        </w:tabs>
        <w:autoSpaceDE w:val="0"/>
        <w:widowControl/>
        <w:spacing w:line="245" w:lineRule="auto" w:before="0" w:after="0"/>
        <w:ind w:left="158" w:right="576" w:firstLine="0"/>
        <w:jc w:val="left"/>
      </w:pPr>
      <w:r>
        <w:tab/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Within the Results column, include a table of key </w:t>
      </w:r>
      <w:r>
        <w:tab/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results.)</w:t>
      </w:r>
      <w:r>
        <w:br/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• Statistical significance (e.g., p-value and confidence </w:t>
      </w:r>
      <w:r>
        <w:tab/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interval) </w:t>
      </w:r>
      <w:r>
        <w:br/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It may be helpful to display evidence tables in landscape </w:t>
      </w:r>
      <w:r>
        <w:rPr>
          <w:rFonts w:ascii="Lora" w:hAnsi="Lora" w:eastAsia="Lora"/>
          <w:b w:val="0"/>
          <w:i w:val="0"/>
          <w:color w:val="000000"/>
          <w:sz w:val="18"/>
        </w:rPr>
        <w:t>rather than portrait formats with appropriate use of abbre-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viations and other acceptable ways to display data in a clear, </w:t>
      </w:r>
      <w:r>
        <w:rPr>
          <w:rFonts w:ascii="Lora" w:hAnsi="Lora" w:eastAsia="Lora"/>
          <w:b w:val="0"/>
          <w:i w:val="0"/>
          <w:color w:val="000000"/>
          <w:sz w:val="18"/>
        </w:rPr>
        <w:t>objective, and concise way.</w:t>
      </w:r>
    </w:p>
    <w:p>
      <w:pPr>
        <w:autoSpaceDN w:val="0"/>
        <w:autoSpaceDE w:val="0"/>
        <w:widowControl/>
        <w:spacing w:line="360" w:lineRule="exact" w:before="216" w:after="0"/>
        <w:ind w:left="158" w:right="2016" w:firstLine="0"/>
        <w:jc w:val="left"/>
      </w:pPr>
      <w:r>
        <w:rPr>
          <w:rFonts w:ascii="Asap" w:hAnsi="Asap" w:eastAsia="Asap"/>
          <w:b/>
          <w:i w:val="0"/>
          <w:color w:val="6C146B"/>
          <w:sz w:val="32"/>
        </w:rPr>
        <w:t xml:space="preserve">4.0C Economic Value and </w:t>
      </w:r>
      <w:r>
        <w:rPr>
          <w:rFonts w:ascii="Asap" w:hAnsi="Asap" w:eastAsia="Asap"/>
          <w:b/>
          <w:i w:val="0"/>
          <w:color w:val="6C146B"/>
          <w:sz w:val="32"/>
        </w:rPr>
        <w:t>Modeling Report</w:t>
      </w:r>
    </w:p>
    <w:p>
      <w:pPr>
        <w:autoSpaceDN w:val="0"/>
        <w:autoSpaceDE w:val="0"/>
        <w:widowControl/>
        <w:spacing w:line="245" w:lineRule="auto" w:before="98" w:after="0"/>
        <w:ind w:left="158" w:right="576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The price of the product is already known for the approved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product and should be included in the Unapproved Use </w:t>
      </w:r>
      <w:r>
        <w:rPr>
          <w:rFonts w:ascii="Lora" w:hAnsi="Lora" w:eastAsia="Lora"/>
          <w:b w:val="0"/>
          <w:i w:val="0"/>
          <w:color w:val="000000"/>
          <w:sz w:val="18"/>
        </w:rPr>
        <w:t>Dossier. Product pricing information may help HCDMs con-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sider the potential economic impact and consequences of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the product. Describe any potential or anticipated changes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of pricing expected if the proposed indication is approved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by the FDA. </w:t>
      </w:r>
    </w:p>
    <w:p>
      <w:pPr>
        <w:autoSpaceDN w:val="0"/>
        <w:autoSpaceDE w:val="0"/>
        <w:widowControl/>
        <w:spacing w:line="245" w:lineRule="auto" w:before="0" w:after="0"/>
        <w:ind w:left="158" w:right="576" w:firstLine="18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>It is recognized that budget impact models and cost-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effective models may not be feasible to construct or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communicate before FDA approval of an unapproved use </w:t>
      </w:r>
      <w:r>
        <w:rPr>
          <w:rFonts w:ascii="Lora" w:hAnsi="Lora" w:eastAsia="Lora"/>
          <w:b w:val="0"/>
          <w:i w:val="0"/>
          <w:color w:val="000000"/>
          <w:sz w:val="18"/>
        </w:rPr>
        <w:t>because such models rely on certain outcomes and assump-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tions regarding effectiveness and safety of the product. No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characterizations or conclusions should be made regarding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the safety or effectiveness of the unapproved use of an </w:t>
      </w:r>
      <w:r>
        <w:rPr>
          <w:rFonts w:ascii="Lora" w:hAnsi="Lora" w:eastAsia="Lora"/>
          <w:b w:val="0"/>
          <w:i w:val="0"/>
          <w:color w:val="000000"/>
          <w:sz w:val="18"/>
        </w:rPr>
        <w:t>approved product.</w:t>
      </w:r>
    </w:p>
    <w:p>
      <w:pPr>
        <w:autoSpaceDN w:val="0"/>
        <w:autoSpaceDE w:val="0"/>
        <w:widowControl/>
        <w:spacing w:line="245" w:lineRule="auto" w:before="0" w:after="0"/>
        <w:ind w:left="158" w:right="672" w:firstLine="180"/>
        <w:jc w:val="both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When deemed necessary, manufacturers may request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execution of nondisclosure agreements so that sensitive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or confidential pricing information may be shared or </w:t>
      </w:r>
      <w:r>
        <w:rPr>
          <w:rFonts w:ascii="Lora" w:hAnsi="Lora" w:eastAsia="Lora"/>
          <w:b w:val="0"/>
          <w:i w:val="0"/>
          <w:color w:val="000000"/>
          <w:sz w:val="18"/>
        </w:rPr>
        <w:t>discussed in a manner that is protected.</w:t>
      </w:r>
    </w:p>
    <w:p>
      <w:pPr>
        <w:autoSpaceDN w:val="0"/>
        <w:tabs>
          <w:tab w:pos="338" w:val="left"/>
        </w:tabs>
        <w:autoSpaceDE w:val="0"/>
        <w:widowControl/>
        <w:spacing w:line="245" w:lineRule="auto" w:before="0" w:after="0"/>
        <w:ind w:left="158" w:right="576" w:firstLine="0"/>
        <w:jc w:val="left"/>
      </w:pP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Information on costs should be included, if anticipated to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differ from the current price. </w:t>
      </w:r>
    </w:p>
    <w:p>
      <w:pPr>
        <w:autoSpaceDN w:val="0"/>
        <w:autoSpaceDE w:val="0"/>
        <w:widowControl/>
        <w:spacing w:line="360" w:lineRule="exact" w:before="218" w:after="0"/>
        <w:ind w:left="158" w:right="1728" w:firstLine="0"/>
        <w:jc w:val="left"/>
      </w:pPr>
      <w:r>
        <w:rPr>
          <w:rFonts w:ascii="Asap" w:hAnsi="Asap" w:eastAsia="Asap"/>
          <w:b/>
          <w:i w:val="0"/>
          <w:color w:val="6C146B"/>
          <w:sz w:val="32"/>
        </w:rPr>
        <w:t xml:space="preserve">5.0C Additional Supporting </w:t>
      </w:r>
      <w:r>
        <w:rPr>
          <w:rFonts w:ascii="Asap" w:hAnsi="Asap" w:eastAsia="Asap"/>
          <w:b/>
          <w:i w:val="0"/>
          <w:color w:val="6C146B"/>
          <w:sz w:val="32"/>
        </w:rPr>
        <w:t>Evidence</w:t>
      </w:r>
    </w:p>
    <w:p>
      <w:pPr>
        <w:autoSpaceDN w:val="0"/>
        <w:autoSpaceDE w:val="0"/>
        <w:widowControl/>
        <w:spacing w:line="245" w:lineRule="auto" w:before="98" w:after="0"/>
        <w:ind w:left="158" w:right="576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The recommended length of Section 5.0C is two pages </w:t>
      </w:r>
      <w:r>
        <w:rPr>
          <w:rFonts w:ascii="Lora" w:hAnsi="Lora" w:eastAsia="Lora"/>
          <w:b w:val="0"/>
          <w:i w:val="0"/>
          <w:color w:val="000000"/>
          <w:sz w:val="18"/>
        </w:rPr>
        <w:t>(maximum five) for each study or source.</w:t>
      </w:r>
    </w:p>
    <w:p>
      <w:pPr>
        <w:autoSpaceDN w:val="0"/>
        <w:autoSpaceDE w:val="0"/>
        <w:widowControl/>
        <w:spacing w:line="245" w:lineRule="auto" w:before="0" w:after="0"/>
        <w:ind w:left="158" w:right="672" w:firstLine="180"/>
        <w:jc w:val="both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Section 5.0C should consist of all other types of evidence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and studies that do not fit in Section 3.0C that support the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unapproved use in a clear and concise format. Examples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include clinical practice guidelines, HTAs and systematic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reviews, compendia, modeling, and pharmacoeconomic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and pharmacoequity studies. Although the indication has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not been FDA approved, AMCP acknowledges that some of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these data may be available (e.g., National Comprehensive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Cancer Network [NCCN] may include recommendations </w:t>
      </w:r>
      <w:r>
        <w:rPr>
          <w:rFonts w:ascii="Lora" w:hAnsi="Lora" w:eastAsia="Lora"/>
          <w:b w:val="0"/>
          <w:i w:val="0"/>
          <w:color w:val="000000"/>
          <w:sz w:val="18"/>
        </w:rPr>
        <w:t>based on the product being approved in the U.S.).</w:t>
      </w:r>
    </w:p>
    <w:p>
      <w:pPr>
        <w:autoSpaceDN w:val="0"/>
        <w:autoSpaceDE w:val="0"/>
        <w:widowControl/>
        <w:spacing w:line="186" w:lineRule="exact" w:before="624" w:after="0"/>
        <w:ind w:left="0" w:right="742" w:firstLine="0"/>
        <w:jc w:val="right"/>
      </w:pPr>
      <w:r>
        <w:rPr>
          <w:rFonts w:ascii="Asap" w:hAnsi="Asap" w:eastAsia="Asap"/>
          <w:b w:val="0"/>
          <w:i w:val="0"/>
          <w:color w:val="474C55"/>
          <w:sz w:val="14"/>
        </w:rPr>
        <w:t>Vol. 30, No. 4-b</w:t>
      </w:r>
      <w:r>
        <w:rPr>
          <w:rFonts w:ascii="Asap" w:hAnsi="Asap" w:eastAsia="Asap"/>
          <w:b w:val="0"/>
          <w:i w:val="0"/>
          <w:color w:val="474C55"/>
          <w:sz w:val="14"/>
        </w:rPr>
        <w:t>|</w:t>
      </w:r>
      <w:r>
        <w:rPr>
          <w:rFonts w:ascii="Asap" w:hAnsi="Asap" w:eastAsia="Asap"/>
          <w:b w:val="0"/>
          <w:i w:val="0"/>
          <w:color w:val="474C55"/>
          <w:sz w:val="14"/>
        </w:rPr>
        <w:t>April 2024</w:t>
      </w:r>
      <w:r>
        <w:rPr>
          <w:rFonts w:ascii="Asap" w:hAnsi="Asap" w:eastAsia="Asap"/>
          <w:b w:val="0"/>
          <w:i w:val="0"/>
          <w:color w:val="474C55"/>
          <w:sz w:val="14"/>
        </w:rPr>
        <w:t>|</w:t>
      </w:r>
      <w:r>
        <w:rPr>
          <w:rFonts w:ascii="Asap" w:hAnsi="Asap" w:eastAsia="Asap"/>
          <w:b/>
          <w:i w:val="0"/>
          <w:color w:val="14377D"/>
          <w:sz w:val="14"/>
        </w:rPr>
        <w:t xml:space="preserve"> JMCP</w:t>
      </w:r>
      <w:r>
        <w:rPr>
          <w:rFonts w:ascii="Asap" w:hAnsi="Asap" w:eastAsia="Asap"/>
          <w:b w:val="0"/>
          <w:i w:val="0"/>
          <w:color w:val="14377D"/>
          <w:sz w:val="14"/>
        </w:rPr>
        <w:t>.org</w:t>
      </w:r>
    </w:p>
    <w:p>
      <w:pPr>
        <w:sectPr>
          <w:type w:val="nextColumn"/>
          <w:pgSz w:w="11880" w:h="15660"/>
          <w:pgMar w:top="360" w:right="0" w:bottom="266" w:left="720" w:header="720" w:footer="720" w:gutter="0"/>
          <w:cols w:num="2" w:equalWidth="0">
            <w:col w:w="5242" w:space="0"/>
            <w:col w:w="5918" w:space="0"/>
          </w:cols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883"/>
        <w:gridCol w:w="4883"/>
      </w:tblGrid>
      <w:tr>
        <w:trPr>
          <w:trHeight w:hRule="exact" w:val="362"/>
        </w:trPr>
        <w:tc>
          <w:tcPr>
            <w:tcW w:type="dxa" w:w="1094"/>
            <w:tcBorders/>
            <w:shd w:fill="6b146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4" w:after="0"/>
              <w:ind w:left="0" w:right="90" w:firstLine="0"/>
              <w:jc w:val="right"/>
            </w:pPr>
            <w:r>
              <w:rPr>
                <w:rFonts w:ascii="Asap" w:hAnsi="Asap" w:eastAsia="Asap"/>
                <w:b/>
                <w:i w:val="0"/>
                <w:color w:val="FFFFFF"/>
                <w:sz w:val="18"/>
              </w:rPr>
              <w:t>48</w:t>
            </w:r>
          </w:p>
        </w:tc>
        <w:tc>
          <w:tcPr>
            <w:tcW w:type="dxa" w:w="584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4" w:after="0"/>
              <w:ind w:left="90" w:right="0" w:firstLine="0"/>
              <w:jc w:val="left"/>
            </w:pPr>
            <w:r>
              <w:rPr>
                <w:rFonts w:ascii="Asap" w:hAnsi="Asap" w:eastAsia="Asap"/>
                <w:b/>
                <w:i w:val="0"/>
                <w:color w:val="474C55"/>
                <w:sz w:val="18"/>
              </w:rPr>
              <w:t>AMCP FORMAT 5.0</w:t>
            </w:r>
          </w:p>
        </w:tc>
      </w:tr>
    </w:tbl>
    <w:p>
      <w:pPr>
        <w:autoSpaceDN w:val="0"/>
        <w:autoSpaceDE w:val="0"/>
        <w:widowControl/>
        <w:spacing w:line="14" w:lineRule="exact" w:before="0" w:after="1038"/>
        <w:ind w:left="0" w:right="0"/>
      </w:pPr>
    </w:p>
    <w:p>
      <w:pPr>
        <w:sectPr>
          <w:pgSz w:w="11880" w:h="15660"/>
          <w:pgMar w:top="360" w:right="674" w:bottom="266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45" w:lineRule="auto" w:before="0" w:after="0"/>
        <w:ind w:left="698" w:right="144" w:firstLine="18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Similar to Section 3.0C, evidence reported in this section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may include the following relevancy criteria: FDA-approved </w:t>
      </w:r>
      <w:r>
        <w:rPr>
          <w:rFonts w:ascii="Lora" w:hAnsi="Lora" w:eastAsia="Lora"/>
          <w:b w:val="0"/>
          <w:i w:val="0"/>
          <w:color w:val="000000"/>
          <w:sz w:val="18"/>
        </w:rPr>
        <w:t>indications and unapproved uses; published and unpub-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lished studies and data; any study regardless of study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design; study results regardless of positive, negative, or null </w:t>
      </w:r>
      <w:r>
        <w:rPr>
          <w:rFonts w:ascii="Lora" w:hAnsi="Lora" w:eastAsia="Lora"/>
          <w:b w:val="0"/>
          <w:i w:val="0"/>
          <w:color w:val="000000"/>
          <w:sz w:val="18"/>
        </w:rPr>
        <w:t>findings; and studies inside and outside of the U.S.</w:t>
      </w:r>
    </w:p>
    <w:p>
      <w:pPr>
        <w:autoSpaceDN w:val="0"/>
        <w:tabs>
          <w:tab w:pos="1418" w:val="left"/>
        </w:tabs>
        <w:autoSpaceDE w:val="0"/>
        <w:widowControl/>
        <w:spacing w:line="240" w:lineRule="exact" w:before="220" w:after="0"/>
        <w:ind w:left="698" w:right="144" w:firstLine="0"/>
        <w:jc w:val="left"/>
      </w:pPr>
      <w:r>
        <w:rPr>
          <w:rFonts w:ascii="Asap" w:hAnsi="Asap" w:eastAsia="Asap"/>
          <w:b/>
          <w:i w:val="0"/>
          <w:color w:val="14377D"/>
          <w:sz w:val="20"/>
        </w:rPr>
        <w:t xml:space="preserve">5.1C </w:t>
      </w:r>
      <w:r>
        <w:tab/>
      </w:r>
      <w:r>
        <w:rPr>
          <w:rFonts w:ascii="Asap" w:hAnsi="Asap" w:eastAsia="Asap"/>
          <w:b/>
          <w:i w:val="0"/>
          <w:color w:val="14377D"/>
          <w:sz w:val="20"/>
        </w:rPr>
        <w:t xml:space="preserve">CLINICAL PRACTICE GUIDELINES 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Identify important clinical practice guidelines that have </w:t>
      </w:r>
      <w:r>
        <w:rPr>
          <w:rFonts w:ascii="Lora" w:hAnsi="Lora" w:eastAsia="Lora"/>
          <w:b w:val="0"/>
          <w:i w:val="0"/>
          <w:color w:val="000000"/>
          <w:sz w:val="18"/>
        </w:rPr>
        <w:t>been developed and published by medical societies, gov-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ernment agencies, and other national or international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organizations that are relevant to the unapproved use.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This may also include position statements, consensus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statements, clinical pathways, and other similarly termed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guidance that are evidence-based and provide specific </w:t>
      </w:r>
      <w:r>
        <w:rPr>
          <w:rFonts w:ascii="Lora" w:hAnsi="Lora" w:eastAsia="Lora"/>
          <w:b w:val="0"/>
          <w:i w:val="0"/>
          <w:color w:val="000000"/>
          <w:sz w:val="18"/>
        </w:rPr>
        <w:t>clinical recommendations. Focus on guideline recommen-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dations specific to the unapproved use, its comparators, the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disease state, and how the unapproved use is anticipated to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be included in or influenced by the guidelines. Summarize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information from clinical practice guidelines briefly and, if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feasible, provide a copy of the full guidelines on request or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provide links to the original guidelines. The manufacturer </w:t>
      </w:r>
      <w:r>
        <w:rPr>
          <w:rFonts w:ascii="Lora" w:hAnsi="Lora" w:eastAsia="Lora"/>
          <w:b w:val="0"/>
          <w:i w:val="0"/>
          <w:color w:val="000000"/>
          <w:sz w:val="18"/>
        </w:rPr>
        <w:t>should describe how it included or excluded clinical prac-</w:t>
      </w:r>
      <w:r>
        <w:rPr>
          <w:rFonts w:ascii="Lora" w:hAnsi="Lora" w:eastAsia="Lora"/>
          <w:b w:val="0"/>
          <w:i w:val="0"/>
          <w:color w:val="000000"/>
          <w:sz w:val="18"/>
        </w:rPr>
        <w:t>tice guidelines in this section.</w:t>
      </w:r>
    </w:p>
    <w:p>
      <w:pPr>
        <w:autoSpaceDN w:val="0"/>
        <w:tabs>
          <w:tab w:pos="1418" w:val="left"/>
        </w:tabs>
        <w:autoSpaceDE w:val="0"/>
        <w:widowControl/>
        <w:spacing w:line="240" w:lineRule="exact" w:before="222" w:after="0"/>
        <w:ind w:left="698" w:right="144" w:firstLine="0"/>
        <w:jc w:val="left"/>
      </w:pPr>
      <w:r>
        <w:rPr>
          <w:rFonts w:ascii="Asap" w:hAnsi="Asap" w:eastAsia="Asap"/>
          <w:b/>
          <w:i w:val="0"/>
          <w:color w:val="14377D"/>
          <w:sz w:val="20"/>
        </w:rPr>
        <w:t xml:space="preserve">5.2C </w:t>
      </w:r>
      <w:r>
        <w:tab/>
      </w:r>
      <w:r>
        <w:rPr>
          <w:rFonts w:ascii="Asap" w:hAnsi="Asap" w:eastAsia="Asap"/>
          <w:b/>
          <w:i w:val="0"/>
          <w:color w:val="14377D"/>
          <w:sz w:val="20"/>
        </w:rPr>
        <w:t xml:space="preserve">HTAS AND SYSTEMATIC REVIEWS 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>Summarize relevant HTAs, systematic reviews, and evi-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dence frameworks (also known as value frameworks) that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are available. Examples include Cochrane Collaboration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systematic reviews, formal systematic reviews published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in peer-reviewed journals, evidence reviews by AHRQ and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PCORI, reports from ICER, and HTAs from recognized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public or private organizations, including international </w:t>
      </w:r>
      <w:r>
        <w:rPr>
          <w:rFonts w:ascii="Lora" w:hAnsi="Lora" w:eastAsia="Lora"/>
          <w:b w:val="0"/>
          <w:i w:val="0"/>
          <w:color w:val="000000"/>
          <w:sz w:val="18"/>
        </w:rPr>
        <w:t>bodies such as NICE and CADTH. Summarize the informa-</w:t>
      </w:r>
      <w:r>
        <w:rPr>
          <w:rFonts w:ascii="Lora" w:hAnsi="Lora" w:eastAsia="Lora"/>
          <w:b w:val="0"/>
          <w:i w:val="0"/>
          <w:color w:val="000000"/>
          <w:sz w:val="18"/>
        </w:rPr>
        <w:t>tion that is relevant to the unapproved use.</w:t>
      </w:r>
    </w:p>
    <w:p>
      <w:pPr>
        <w:autoSpaceDN w:val="0"/>
        <w:tabs>
          <w:tab w:pos="1418" w:val="left"/>
        </w:tabs>
        <w:autoSpaceDE w:val="0"/>
        <w:widowControl/>
        <w:spacing w:line="240" w:lineRule="exact" w:before="220" w:after="0"/>
        <w:ind w:left="698" w:right="144" w:firstLine="0"/>
        <w:jc w:val="left"/>
      </w:pPr>
      <w:r>
        <w:rPr>
          <w:rFonts w:ascii="Asap" w:hAnsi="Asap" w:eastAsia="Asap"/>
          <w:b/>
          <w:i w:val="0"/>
          <w:color w:val="14377D"/>
          <w:sz w:val="20"/>
        </w:rPr>
        <w:t xml:space="preserve">5.3C </w:t>
      </w:r>
      <w:r>
        <w:tab/>
      </w:r>
      <w:r>
        <w:rPr>
          <w:rFonts w:ascii="Asap" w:hAnsi="Asap" w:eastAsia="Asap"/>
          <w:b/>
          <w:i w:val="0"/>
          <w:color w:val="14377D"/>
          <w:sz w:val="20"/>
        </w:rPr>
        <w:t xml:space="preserve">COMPENDIA 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Summarize important information found in compendia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that are officially recognized by the Secretary of Health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and Human Services that list the product. Since many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compendia publications are available only by subscription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and are protected by copyrights, companies may not be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able to provide PDF documents or reprints of the relevant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content, even if requested by HCDMs. Each manufacturer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may determine its own process for handling requests for </w:t>
      </w:r>
      <w:r>
        <w:rPr>
          <w:rFonts w:ascii="Lora" w:hAnsi="Lora" w:eastAsia="Lora"/>
          <w:b w:val="0"/>
          <w:i w:val="0"/>
          <w:color w:val="000000"/>
          <w:sz w:val="18"/>
        </w:rPr>
        <w:t>reprints or copies of compendia information.</w:t>
      </w:r>
    </w:p>
    <w:p>
      <w:pPr>
        <w:autoSpaceDN w:val="0"/>
        <w:tabs>
          <w:tab w:pos="1418" w:val="left"/>
        </w:tabs>
        <w:autoSpaceDE w:val="0"/>
        <w:widowControl/>
        <w:spacing w:line="242" w:lineRule="exact" w:before="218" w:after="0"/>
        <w:ind w:left="698" w:right="144" w:firstLine="0"/>
        <w:jc w:val="left"/>
      </w:pPr>
      <w:r>
        <w:rPr>
          <w:rFonts w:ascii="Asap" w:hAnsi="Asap" w:eastAsia="Asap"/>
          <w:b/>
          <w:i w:val="0"/>
          <w:color w:val="14377D"/>
          <w:sz w:val="20"/>
        </w:rPr>
        <w:t xml:space="preserve">5.4C </w:t>
      </w:r>
      <w:r>
        <w:tab/>
      </w:r>
      <w:r>
        <w:rPr>
          <w:rFonts w:ascii="Asap" w:hAnsi="Asap" w:eastAsia="Asap"/>
          <w:b/>
          <w:i w:val="0"/>
          <w:color w:val="14377D"/>
          <w:sz w:val="20"/>
        </w:rPr>
        <w:t xml:space="preserve">OTHER ECONOMIC OR OUTCOMES EVIDENCE </w:t>
      </w:r>
      <w:r>
        <w:rPr>
          <w:rFonts w:ascii="Lora" w:hAnsi="Lora" w:eastAsia="Lora"/>
          <w:b w:val="0"/>
          <w:i w:val="0"/>
          <w:color w:val="000000"/>
          <w:sz w:val="18"/>
        </w:rPr>
        <w:t>Include published studies that result in economic evi-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dence or other outcomes that do not fit in Section 3.0C,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for example, pharmacoeconomic, modeling, health care </w:t>
      </w:r>
    </w:p>
    <w:p>
      <w:pPr>
        <w:autoSpaceDN w:val="0"/>
        <w:autoSpaceDE w:val="0"/>
        <w:widowControl/>
        <w:spacing w:line="186" w:lineRule="exact" w:before="608" w:after="0"/>
        <w:ind w:left="740" w:right="0" w:firstLine="0"/>
        <w:jc w:val="left"/>
      </w:pPr>
      <w:r>
        <w:rPr>
          <w:rFonts w:ascii="Asap" w:hAnsi="Asap" w:eastAsia="Asap"/>
          <w:b/>
          <w:i w:val="0"/>
          <w:color w:val="14377D"/>
          <w:sz w:val="14"/>
        </w:rPr>
        <w:t>JMCP</w:t>
      </w:r>
      <w:r>
        <w:rPr>
          <w:rFonts w:ascii="Asap" w:hAnsi="Asap" w:eastAsia="Asap"/>
          <w:b w:val="0"/>
          <w:i w:val="0"/>
          <w:color w:val="14377D"/>
          <w:sz w:val="14"/>
        </w:rPr>
        <w:t>.org</w:t>
      </w:r>
      <w:r>
        <w:rPr>
          <w:rFonts w:ascii="Asap" w:hAnsi="Asap" w:eastAsia="Asap"/>
          <w:b w:val="0"/>
          <w:i w:val="0"/>
          <w:color w:val="474C55"/>
          <w:sz w:val="14"/>
        </w:rPr>
        <w:t>|</w:t>
      </w:r>
      <w:r>
        <w:rPr>
          <w:rFonts w:ascii="Asap" w:hAnsi="Asap" w:eastAsia="Asap"/>
          <w:b w:val="0"/>
          <w:i w:val="0"/>
          <w:color w:val="474C55"/>
          <w:sz w:val="14"/>
        </w:rPr>
        <w:t>April 2024</w:t>
      </w:r>
      <w:r>
        <w:rPr>
          <w:rFonts w:ascii="Asap" w:hAnsi="Asap" w:eastAsia="Asap"/>
          <w:b w:val="0"/>
          <w:i w:val="0"/>
          <w:color w:val="474C55"/>
          <w:sz w:val="14"/>
        </w:rPr>
        <w:t>|</w:t>
      </w:r>
      <w:r>
        <w:rPr>
          <w:rFonts w:ascii="Asap" w:hAnsi="Asap" w:eastAsia="Asap"/>
          <w:b w:val="0"/>
          <w:i w:val="0"/>
          <w:color w:val="474C55"/>
          <w:sz w:val="14"/>
        </w:rPr>
        <w:t>Vol. 30, No. 4-B</w:t>
      </w:r>
    </w:p>
    <w:p>
      <w:pPr>
        <w:sectPr>
          <w:type w:val="continuous"/>
          <w:pgSz w:w="11880" w:h="15660"/>
          <w:pgMar w:top="360" w:right="674" w:bottom="266" w:left="0" w:header="720" w:footer="720" w:gutter="0"/>
          <w:cols w:num="2" w:equalWidth="0">
            <w:col w:w="5940" w:space="0"/>
            <w:col w:w="5265" w:space="0"/>
          </w:cols>
          <w:docGrid w:linePitch="360"/>
        </w:sectPr>
      </w:pPr>
    </w:p>
    <w:p>
      <w:pPr>
        <w:autoSpaceDN w:val="0"/>
        <w:autoSpaceDE w:val="0"/>
        <w:widowControl/>
        <w:spacing w:line="245" w:lineRule="auto" w:before="0" w:after="0"/>
        <w:ind w:left="158" w:right="0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>utilization, pharmacoequity, productivity studies, and real-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world evidence. Conduct and reporting of studies in this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section should follow accepted practice as evidenced by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published methodology and reporting guidelines from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reputable professional societies or government agencies. </w:t>
      </w:r>
    </w:p>
    <w:p>
      <w:pPr>
        <w:autoSpaceDN w:val="0"/>
        <w:tabs>
          <w:tab w:pos="878" w:val="left"/>
        </w:tabs>
        <w:autoSpaceDE w:val="0"/>
        <w:widowControl/>
        <w:spacing w:line="240" w:lineRule="exact" w:before="220" w:after="0"/>
        <w:ind w:left="158" w:right="0" w:firstLine="0"/>
        <w:jc w:val="left"/>
      </w:pPr>
      <w:r>
        <w:rPr>
          <w:rFonts w:ascii="Asap" w:hAnsi="Asap" w:eastAsia="Asap"/>
          <w:b/>
          <w:i w:val="0"/>
          <w:color w:val="14377D"/>
          <w:sz w:val="20"/>
        </w:rPr>
        <w:t xml:space="preserve">5.5C </w:t>
      </w:r>
      <w:r>
        <w:tab/>
      </w:r>
      <w:r>
        <w:rPr>
          <w:rFonts w:ascii="Asap" w:hAnsi="Asap" w:eastAsia="Asap"/>
          <w:b/>
          <w:i w:val="0"/>
          <w:color w:val="14377D"/>
          <w:sz w:val="20"/>
        </w:rPr>
        <w:t xml:space="preserve">EFFECT ON EQUITY 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Phase III RCTs and cost-effectiveness analyses typically do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not address barriers to the equitable use of the product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for the unapproved use. Such barriers may include, but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are not limited to, access to specialists, health disparities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and social barriers, stigma, and the patient’s ability to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afford and utilize a medication. While health equity data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for new interventions may initially be very limited, equity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considerations often have implications for value assessment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and should be discussed. </w:t>
      </w:r>
    </w:p>
    <w:p>
      <w:pPr>
        <w:autoSpaceDN w:val="0"/>
        <w:tabs>
          <w:tab w:pos="878" w:val="left"/>
        </w:tabs>
        <w:autoSpaceDE w:val="0"/>
        <w:widowControl/>
        <w:spacing w:line="242" w:lineRule="exact" w:before="218" w:after="0"/>
        <w:ind w:left="158" w:right="0" w:firstLine="0"/>
        <w:jc w:val="left"/>
      </w:pPr>
      <w:r>
        <w:rPr>
          <w:rFonts w:ascii="Asap" w:hAnsi="Asap" w:eastAsia="Asap"/>
          <w:b/>
          <w:i w:val="0"/>
          <w:color w:val="14377D"/>
          <w:sz w:val="20"/>
        </w:rPr>
        <w:t xml:space="preserve">5.6C </w:t>
      </w:r>
      <w:r>
        <w:tab/>
      </w:r>
      <w:r>
        <w:rPr>
          <w:rFonts w:ascii="Asap" w:hAnsi="Asap" w:eastAsia="Asap"/>
          <w:b/>
          <w:i w:val="0"/>
          <w:color w:val="14377D"/>
          <w:sz w:val="20"/>
        </w:rPr>
        <w:t xml:space="preserve">EFFECT ON QUALITY MEASURES 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This section is to accommodate information and research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where the unapproved use of the product has a potential for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or demonstrated effect on quality measures that may not fit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into any other sections as described by the AMCP Format. If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no information exists, this section is not applicable. </w:t>
      </w:r>
    </w:p>
    <w:p>
      <w:pPr>
        <w:autoSpaceDN w:val="0"/>
        <w:tabs>
          <w:tab w:pos="878" w:val="left"/>
        </w:tabs>
        <w:autoSpaceDE w:val="0"/>
        <w:widowControl/>
        <w:spacing w:line="240" w:lineRule="exact" w:before="220" w:after="0"/>
        <w:ind w:left="158" w:right="0" w:firstLine="0"/>
        <w:jc w:val="left"/>
      </w:pPr>
      <w:r>
        <w:rPr>
          <w:rFonts w:ascii="Asap" w:hAnsi="Asap" w:eastAsia="Asap"/>
          <w:b/>
          <w:i w:val="0"/>
          <w:color w:val="14377D"/>
          <w:sz w:val="20"/>
        </w:rPr>
        <w:t xml:space="preserve">5.7C </w:t>
      </w:r>
      <w:r>
        <w:tab/>
      </w:r>
      <w:r>
        <w:rPr>
          <w:rFonts w:ascii="Asap" w:hAnsi="Asap" w:eastAsia="Asap"/>
          <w:b/>
          <w:i w:val="0"/>
          <w:color w:val="14377D"/>
          <w:sz w:val="20"/>
        </w:rPr>
        <w:t xml:space="preserve">OTHER EVIDENCE OR INFORMATION 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This section is to accommodate other important and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relevant evidence or information that may not fit into any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other sections as described by the AMCP Format. Examples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may include, but are not limited to, in vitro analytical tests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or animal studies that demonstrate pharmacokinetics for </w:t>
      </w:r>
      <w:r>
        <w:rPr>
          <w:rFonts w:ascii="Lora" w:hAnsi="Lora" w:eastAsia="Lora"/>
          <w:b w:val="0"/>
          <w:i w:val="0"/>
          <w:color w:val="000000"/>
          <w:sz w:val="18"/>
        </w:rPr>
        <w:t>biosimilar products; other ancillary evidence that demon-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strates the uniqueness, benefits, or value of the product;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or information regarding effects on patients’ families and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caregivers. If no information exists, this section is not </w:t>
      </w:r>
      <w:r>
        <w:rPr>
          <w:rFonts w:ascii="Lora" w:hAnsi="Lora" w:eastAsia="Lora"/>
          <w:b w:val="0"/>
          <w:i w:val="0"/>
          <w:color w:val="000000"/>
          <w:sz w:val="18"/>
        </w:rPr>
        <w:t>applicable.</w:t>
      </w:r>
    </w:p>
    <w:p>
      <w:pPr>
        <w:autoSpaceDN w:val="0"/>
        <w:autoSpaceDE w:val="0"/>
        <w:widowControl/>
        <w:spacing w:line="424" w:lineRule="exact" w:before="152" w:after="0"/>
        <w:ind w:left="158" w:right="0" w:firstLine="0"/>
        <w:jc w:val="left"/>
      </w:pPr>
      <w:r>
        <w:rPr>
          <w:rFonts w:ascii="Asap" w:hAnsi="Asap" w:eastAsia="Asap"/>
          <w:b/>
          <w:i w:val="0"/>
          <w:color w:val="6C146B"/>
          <w:sz w:val="32"/>
        </w:rPr>
        <w:t>6.0C DOSSIER APPENDICES</w:t>
      </w:r>
    </w:p>
    <w:p>
      <w:pPr>
        <w:autoSpaceDN w:val="0"/>
        <w:autoSpaceDE w:val="0"/>
        <w:widowControl/>
        <w:spacing w:line="245" w:lineRule="auto" w:before="98" w:after="0"/>
        <w:ind w:left="158" w:right="0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The following information is valuable to HCDMs and should </w:t>
      </w:r>
      <w:r>
        <w:rPr>
          <w:rFonts w:ascii="Lora" w:hAnsi="Lora" w:eastAsia="Lora"/>
          <w:b w:val="0"/>
          <w:i w:val="0"/>
          <w:color w:val="000000"/>
          <w:sz w:val="18"/>
        </w:rPr>
        <w:t>be included in Section 6.0C, when possible.</w:t>
      </w:r>
    </w:p>
    <w:p>
      <w:pPr>
        <w:autoSpaceDN w:val="0"/>
        <w:tabs>
          <w:tab w:pos="878" w:val="left"/>
        </w:tabs>
        <w:autoSpaceDE w:val="0"/>
        <w:widowControl/>
        <w:spacing w:line="242" w:lineRule="exact" w:before="218" w:after="0"/>
        <w:ind w:left="158" w:right="0" w:firstLine="0"/>
        <w:jc w:val="left"/>
      </w:pPr>
      <w:r>
        <w:rPr>
          <w:rFonts w:ascii="Asap" w:hAnsi="Asap" w:eastAsia="Asap"/>
          <w:b/>
          <w:i w:val="0"/>
          <w:color w:val="14377D"/>
          <w:sz w:val="20"/>
        </w:rPr>
        <w:t xml:space="preserve">6.1C </w:t>
      </w:r>
      <w:r>
        <w:tab/>
      </w:r>
      <w:r>
        <w:rPr>
          <w:rFonts w:ascii="Asap" w:hAnsi="Asap" w:eastAsia="Asap"/>
          <w:b/>
          <w:i w:val="0"/>
          <w:color w:val="14377D"/>
          <w:sz w:val="20"/>
        </w:rPr>
        <w:t xml:space="preserve">REFERENCES CONTAINED IN DOSSIERS 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Include citations for all known published clinical and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economic studies in the bibliography section. Reprints of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relevant published studies should be available on request,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and where possible, links should be provided to original </w:t>
      </w:r>
      <w:r>
        <w:rPr>
          <w:rFonts w:ascii="Lora" w:hAnsi="Lora" w:eastAsia="Lora"/>
          <w:b w:val="0"/>
          <w:i w:val="0"/>
          <w:color w:val="000000"/>
          <w:sz w:val="18"/>
        </w:rPr>
        <w:t>sources if they are free.</w:t>
      </w:r>
    </w:p>
    <w:p>
      <w:pPr>
        <w:autoSpaceDN w:val="0"/>
        <w:tabs>
          <w:tab w:pos="878" w:val="left"/>
        </w:tabs>
        <w:autoSpaceDE w:val="0"/>
        <w:widowControl/>
        <w:spacing w:line="246" w:lineRule="exact" w:before="214" w:after="0"/>
        <w:ind w:left="158" w:right="2448" w:firstLine="0"/>
        <w:jc w:val="left"/>
      </w:pPr>
      <w:r>
        <w:rPr>
          <w:rFonts w:ascii="Asap" w:hAnsi="Asap" w:eastAsia="Asap"/>
          <w:b/>
          <w:i w:val="0"/>
          <w:color w:val="14377D"/>
          <w:sz w:val="20"/>
        </w:rPr>
        <w:t xml:space="preserve">6.2C </w:t>
      </w:r>
      <w:r>
        <w:tab/>
      </w:r>
      <w:r>
        <w:rPr>
          <w:rFonts w:ascii="Asap" w:hAnsi="Asap" w:eastAsia="Asap"/>
          <w:b/>
          <w:i w:val="0"/>
          <w:color w:val="14377D"/>
          <w:sz w:val="20"/>
        </w:rPr>
        <w:t xml:space="preserve">ECONOMIC MODELS 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>Include economic models.</w:t>
      </w:r>
    </w:p>
    <w:p>
      <w:pPr>
        <w:sectPr>
          <w:type w:val="nextColumn"/>
          <w:pgSz w:w="11880" w:h="15660"/>
          <w:pgMar w:top="360" w:right="674" w:bottom="266" w:left="0" w:header="720" w:footer="720" w:gutter="0"/>
          <w:cols w:num="2" w:equalWidth="0">
            <w:col w:w="5940" w:space="0"/>
            <w:col w:w="5265" w:space="0"/>
          </w:cols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220.0" w:type="dxa"/>
      </w:tblPr>
      <w:tblGrid>
        <w:gridCol w:w="4860"/>
        <w:gridCol w:w="4860"/>
      </w:tblGrid>
      <w:tr>
        <w:trPr>
          <w:trHeight w:hRule="exact" w:val="362"/>
        </w:trPr>
        <w:tc>
          <w:tcPr>
            <w:tcW w:type="dxa" w:w="584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4" w:after="0"/>
              <w:ind w:left="0" w:right="90" w:firstLine="0"/>
              <w:jc w:val="right"/>
            </w:pPr>
            <w:r>
              <w:rPr>
                <w:rFonts w:ascii="Asap" w:hAnsi="Asap" w:eastAsia="Asap"/>
                <w:b/>
                <w:i w:val="0"/>
                <w:color w:val="474C55"/>
                <w:sz w:val="18"/>
              </w:rPr>
              <w:t>AMCP FORMAT 5.0</w:t>
            </w:r>
          </w:p>
        </w:tc>
        <w:tc>
          <w:tcPr>
            <w:tcW w:type="dxa" w:w="1094"/>
            <w:tcBorders/>
            <w:shd w:fill="6b146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72" w:after="0"/>
              <w:ind w:left="90" w:right="0" w:firstLine="0"/>
              <w:jc w:val="left"/>
            </w:pPr>
            <w:r>
              <w:rPr>
                <w:rFonts w:ascii="Asap" w:hAnsi="Asap" w:eastAsia="Asap"/>
                <w:b/>
                <w:i w:val="0"/>
                <w:color w:val="FFFFFF"/>
                <w:sz w:val="18"/>
              </w:rPr>
              <w:t>49</w:t>
            </w:r>
          </w:p>
        </w:tc>
      </w:tr>
    </w:tbl>
    <w:p>
      <w:pPr>
        <w:autoSpaceDN w:val="0"/>
        <w:autoSpaceDE w:val="0"/>
        <w:widowControl/>
        <w:spacing w:line="14" w:lineRule="exact" w:before="0" w:after="1032"/>
        <w:ind w:left="0" w:right="0"/>
      </w:pPr>
    </w:p>
    <w:p>
      <w:pPr>
        <w:sectPr>
          <w:pgSz w:w="11880" w:h="15660"/>
          <w:pgMar w:top="360" w:right="0" w:bottom="266" w:left="720" w:header="720" w:footer="720" w:gutter="0"/>
          <w:cols/>
          <w:docGrid w:linePitch="360"/>
        </w:sectPr>
      </w:pPr>
    </w:p>
    <w:p>
      <w:pPr>
        <w:autoSpaceDN w:val="0"/>
        <w:tabs>
          <w:tab w:pos="720" w:val="left"/>
        </w:tabs>
        <w:autoSpaceDE w:val="0"/>
        <w:widowControl/>
        <w:spacing w:line="244" w:lineRule="exact" w:before="22" w:after="0"/>
        <w:ind w:left="0" w:right="144" w:firstLine="0"/>
        <w:jc w:val="left"/>
      </w:pPr>
      <w:r>
        <w:rPr>
          <w:rFonts w:ascii="Asap" w:hAnsi="Asap" w:eastAsia="Asap"/>
          <w:b/>
          <w:i w:val="0"/>
          <w:color w:val="14377D"/>
          <w:sz w:val="20"/>
        </w:rPr>
        <w:t xml:space="preserve">6.3C </w:t>
      </w:r>
      <w:r>
        <w:tab/>
      </w:r>
      <w:r>
        <w:rPr>
          <w:rFonts w:ascii="Asap" w:hAnsi="Asap" w:eastAsia="Asap"/>
          <w:b/>
          <w:i w:val="0"/>
          <w:color w:val="14377D"/>
          <w:sz w:val="20"/>
        </w:rPr>
        <w:t xml:space="preserve">PRODUCT PRESCRIBING INFORMATION 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Include the FDA-approved PI and instructions for use for </w:t>
      </w:r>
      <w:r>
        <w:rPr>
          <w:rFonts w:ascii="Lora" w:hAnsi="Lora" w:eastAsia="Lora"/>
          <w:b w:val="0"/>
          <w:i w:val="0"/>
          <w:color w:val="000000"/>
          <w:sz w:val="18"/>
        </w:rPr>
        <w:t>the approved uses of the product.</w:t>
      </w:r>
    </w:p>
    <w:p>
      <w:pPr>
        <w:autoSpaceDN w:val="0"/>
        <w:tabs>
          <w:tab w:pos="720" w:val="left"/>
        </w:tabs>
        <w:autoSpaceDE w:val="0"/>
        <w:widowControl/>
        <w:spacing w:line="242" w:lineRule="exact" w:before="218" w:after="0"/>
        <w:ind w:left="0" w:right="144" w:firstLine="0"/>
        <w:jc w:val="left"/>
      </w:pPr>
      <w:r>
        <w:rPr>
          <w:rFonts w:ascii="Asap" w:hAnsi="Asap" w:eastAsia="Asap"/>
          <w:b/>
          <w:i w:val="0"/>
          <w:color w:val="14377D"/>
          <w:sz w:val="20"/>
        </w:rPr>
        <w:t xml:space="preserve">6.4C </w:t>
      </w:r>
      <w:r>
        <w:tab/>
      </w:r>
      <w:r>
        <w:rPr>
          <w:rFonts w:ascii="Asap" w:hAnsi="Asap" w:eastAsia="Asap"/>
          <w:b/>
          <w:i w:val="0"/>
          <w:color w:val="14377D"/>
          <w:sz w:val="20"/>
        </w:rPr>
        <w:t xml:space="preserve">PATIENT INFORMATION 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Include any patient information, such as patient PIs and </w:t>
      </w:r>
      <w:r>
        <w:rPr>
          <w:rFonts w:ascii="Lora" w:hAnsi="Lora" w:eastAsia="Lora"/>
          <w:b w:val="0"/>
          <w:i w:val="0"/>
          <w:color w:val="000000"/>
          <w:sz w:val="18"/>
        </w:rPr>
        <w:t>medication guides, for the approved uses of the product.</w:t>
      </w:r>
    </w:p>
    <w:p>
      <w:pPr>
        <w:autoSpaceDN w:val="0"/>
        <w:tabs>
          <w:tab w:pos="720" w:val="left"/>
        </w:tabs>
        <w:autoSpaceDE w:val="0"/>
        <w:widowControl/>
        <w:spacing w:line="244" w:lineRule="exact" w:before="216" w:after="0"/>
        <w:ind w:left="0" w:right="144" w:firstLine="0"/>
        <w:jc w:val="left"/>
      </w:pPr>
      <w:r>
        <w:rPr>
          <w:rFonts w:ascii="Asap" w:hAnsi="Asap" w:eastAsia="Asap"/>
          <w:b/>
          <w:i w:val="0"/>
          <w:color w:val="14377D"/>
          <w:sz w:val="20"/>
        </w:rPr>
        <w:t xml:space="preserve">6.5C </w:t>
      </w:r>
      <w:r>
        <w:tab/>
      </w:r>
      <w:r>
        <w:rPr>
          <w:rFonts w:ascii="Asap" w:hAnsi="Asap" w:eastAsia="Asap"/>
          <w:b/>
          <w:i w:val="0"/>
          <w:color w:val="14377D"/>
          <w:sz w:val="20"/>
        </w:rPr>
        <w:t xml:space="preserve">MATERIAL SAFETY DATA SHEET 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Include or link to a Material Safety Data Sheet for the </w:t>
      </w:r>
      <w:r>
        <w:rPr>
          <w:rFonts w:ascii="Lora" w:hAnsi="Lora" w:eastAsia="Lora"/>
          <w:b w:val="0"/>
          <w:i w:val="0"/>
          <w:color w:val="000000"/>
          <w:sz w:val="18"/>
        </w:rPr>
        <w:t>product.</w:t>
      </w:r>
    </w:p>
    <w:p>
      <w:pPr>
        <w:autoSpaceDN w:val="0"/>
        <w:tabs>
          <w:tab w:pos="720" w:val="left"/>
        </w:tabs>
        <w:autoSpaceDE w:val="0"/>
        <w:widowControl/>
        <w:spacing w:line="266" w:lineRule="exact" w:before="194" w:after="0"/>
        <w:ind w:left="0" w:right="0" w:firstLine="0"/>
        <w:jc w:val="left"/>
      </w:pPr>
      <w:r>
        <w:rPr>
          <w:rFonts w:ascii="Asap" w:hAnsi="Asap" w:eastAsia="Asap"/>
          <w:b/>
          <w:i w:val="0"/>
          <w:color w:val="14377D"/>
          <w:sz w:val="20"/>
        </w:rPr>
        <w:t xml:space="preserve">6.6C </w:t>
      </w:r>
      <w:r>
        <w:tab/>
      </w:r>
      <w:r>
        <w:rPr>
          <w:rFonts w:ascii="Asap" w:hAnsi="Asap" w:eastAsia="Asap"/>
          <w:b/>
          <w:i w:val="0"/>
          <w:color w:val="14377D"/>
          <w:sz w:val="20"/>
        </w:rPr>
        <w:t>APPENDICES SPECIFIC TO DTX PRODUCTS</w:t>
      </w:r>
    </w:p>
    <w:p>
      <w:pPr>
        <w:autoSpaceDN w:val="0"/>
        <w:autoSpaceDE w:val="0"/>
        <w:widowControl/>
        <w:spacing w:line="240" w:lineRule="exact" w:before="90" w:after="0"/>
        <w:ind w:left="180" w:right="144" w:firstLine="0"/>
        <w:jc w:val="left"/>
      </w:pPr>
      <w:r>
        <w:rPr>
          <w:rFonts w:ascii="Asap" w:hAnsi="Asap" w:eastAsia="Asap"/>
          <w:b w:val="0"/>
          <w:i w:val="0"/>
          <w:color w:val="007EC5"/>
          <w:sz w:val="18"/>
        </w:rPr>
        <w:t xml:space="preserve">Privacy and data security 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Information related to privacy and security is required to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be included in an AMCP dossier. Although the intended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audience of the dossier is HCDMs who may lack the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expertise needed to thoroughly evaluate the privacy and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data security specifications for DTx products, a thorough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evaluation of privacy and data security is required since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this is essential to a comprehensive evaluation. Moreover,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 review of privacy and safety may be performed prior to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an evaluation of the clinical evidence by a P&amp;T committee </w:t>
      </w:r>
      <w:r>
        <w:rPr>
          <w:rFonts w:ascii="Lora" w:hAnsi="Lora" w:eastAsia="Lora"/>
          <w:b w:val="0"/>
          <w:i w:val="0"/>
          <w:color w:val="000000"/>
          <w:sz w:val="18"/>
        </w:rPr>
        <w:t>or body. If needed, HCDMs may seek additional exper-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tise from data information technology/security experts,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establish a DTx subcommittee, or have a separate group,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such as an innovation center, assist with DTx evaluation.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DTx manufacturers may work directly with HCDMs to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integrate and implement DTx. Manufacturers may also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provide relevant links to related information (i.e., privacy </w:t>
      </w:r>
      <w:r>
        <w:rPr>
          <w:rFonts w:ascii="Lora" w:hAnsi="Lora" w:eastAsia="Lora"/>
          <w:b w:val="0"/>
          <w:i w:val="0"/>
          <w:color w:val="000000"/>
          <w:sz w:val="18"/>
        </w:rPr>
        <w:t>policies, terms of service).</w:t>
      </w:r>
    </w:p>
    <w:p>
      <w:pPr>
        <w:autoSpaceDN w:val="0"/>
        <w:tabs>
          <w:tab w:pos="360" w:val="left"/>
        </w:tabs>
        <w:autoSpaceDE w:val="0"/>
        <w:widowControl/>
        <w:spacing w:line="245" w:lineRule="auto" w:before="0" w:after="0"/>
        <w:ind w:left="180" w:right="144" w:firstLine="0"/>
        <w:jc w:val="left"/>
      </w:pP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Items to be addressed in a privacy and data security </w:t>
      </w:r>
      <w:r>
        <w:rPr>
          <w:rFonts w:ascii="Lora" w:hAnsi="Lora" w:eastAsia="Lora"/>
          <w:b w:val="0"/>
          <w:i w:val="0"/>
          <w:color w:val="000000"/>
          <w:sz w:val="18"/>
        </w:rPr>
        <w:t>appendix include the following: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• Certifications (e.g., SOC 2, HITRUST, PCI DSS, ITIL, ISO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27001, CIPP)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>• Data encryption: software supports SSL encryption</w:t>
      </w:r>
      <w:r>
        <w:rPr>
          <w:rFonts w:ascii="Lora" w:hAnsi="Lora" w:eastAsia="Lora"/>
          <w:b w:val="0"/>
          <w:i w:val="0"/>
          <w:color w:val="000000"/>
          <w:sz w:val="18"/>
        </w:rPr>
        <w:t>• Antivirus software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>• Data protection security measures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>• Security information and event management solu-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tions (SIEM), web application firewalls (WAF), SECOPS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monitoring, managed security providers (MSSPs), secu-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rity orchestration automation and response platforms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(SOAR)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>• Data backup and recovery solutions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>• Details on where data are stored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>• Processes for secure disposal of information technol-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ogy equipment and media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>• Intrusion detection systems (IDS) or intrusion preven-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tion systems (IPS) used.</w:t>
      </w:r>
    </w:p>
    <w:p>
      <w:pPr>
        <w:autoSpaceDN w:val="0"/>
        <w:autoSpaceDE w:val="0"/>
        <w:widowControl/>
        <w:spacing w:line="245" w:lineRule="auto" w:before="0" w:after="0"/>
        <w:ind w:left="180" w:right="2160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• Parental restrictions for minors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• Data integrity </w:t>
      </w:r>
    </w:p>
    <w:p>
      <w:pPr>
        <w:sectPr>
          <w:type w:val="continuous"/>
          <w:pgSz w:w="11880" w:h="15660"/>
          <w:pgMar w:top="360" w:right="0" w:bottom="266" w:left="720" w:header="720" w:footer="720" w:gutter="0"/>
          <w:cols w:num="2" w:equalWidth="0">
            <w:col w:w="5334" w:space="0"/>
            <w:col w:w="5826" w:space="0"/>
          </w:cols>
          <w:docGrid w:linePitch="360"/>
        </w:sectPr>
      </w:pPr>
    </w:p>
    <w:p>
      <w:pPr>
        <w:autoSpaceDN w:val="0"/>
        <w:autoSpaceDE w:val="0"/>
        <w:widowControl/>
        <w:spacing w:line="245" w:lineRule="auto" w:before="0" w:after="0"/>
        <w:ind w:left="246" w:right="2592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• Cybersecurity 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>• Data privacy processes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>• Multifactor authentication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>• Ransomware protection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>• Other hack prevention methods</w:t>
      </w:r>
    </w:p>
    <w:p>
      <w:pPr>
        <w:autoSpaceDN w:val="0"/>
        <w:autoSpaceDE w:val="0"/>
        <w:widowControl/>
        <w:spacing w:line="242" w:lineRule="exact" w:before="82" w:after="0"/>
        <w:ind w:left="246" w:right="576" w:firstLine="0"/>
        <w:jc w:val="left"/>
      </w:pPr>
      <w:r>
        <w:rPr>
          <w:rFonts w:ascii="Asap" w:hAnsi="Asap" w:eastAsia="Asap"/>
          <w:b w:val="0"/>
          <w:i w:val="0"/>
          <w:color w:val="007EC5"/>
          <w:sz w:val="18"/>
        </w:rPr>
        <w:t xml:space="preserve">Engagement 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Manufacturers may specify how they define engagement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in an optional appendix. Due to the wide variety of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DTx products available, measures for engagement, user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satisfaction, and active users have not been standardized.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Furthermore, standard measures used for traditional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products, such as adherence and persistence, may not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apply to DTx products. If engagement measures were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used in clinical trials or real-world evidence, they may be </w:t>
      </w:r>
      <w:r>
        <w:rPr>
          <w:rFonts w:ascii="Lora" w:hAnsi="Lora" w:eastAsia="Lora"/>
          <w:b w:val="0"/>
          <w:i w:val="0"/>
          <w:color w:val="000000"/>
          <w:sz w:val="18"/>
        </w:rPr>
        <w:t>addressed in Section 3.0C or Section 5.0C.</w:t>
      </w:r>
    </w:p>
    <w:p>
      <w:pPr>
        <w:autoSpaceDN w:val="0"/>
        <w:autoSpaceDE w:val="0"/>
        <w:widowControl/>
        <w:spacing w:line="244" w:lineRule="exact" w:before="78" w:after="0"/>
        <w:ind w:left="246" w:right="576" w:firstLine="0"/>
        <w:jc w:val="left"/>
      </w:pPr>
      <w:r>
        <w:rPr>
          <w:rFonts w:ascii="Asap" w:hAnsi="Asap" w:eastAsia="Asap"/>
          <w:b w:val="0"/>
          <w:i w:val="0"/>
          <w:color w:val="007EC5"/>
          <w:sz w:val="18"/>
        </w:rPr>
        <w:t xml:space="preserve">Screenshots 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Screenshots of the patient-facing or clinician-facing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application may be included in the dossier as an optional </w:t>
      </w:r>
      <w:r>
        <w:rPr>
          <w:rFonts w:ascii="Lora" w:hAnsi="Lora" w:eastAsia="Lora"/>
          <w:b w:val="0"/>
          <w:i w:val="0"/>
          <w:color w:val="000000"/>
          <w:sz w:val="18"/>
        </w:rPr>
        <w:t>appendix. If included, the version number of the applica-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tion must be stated. Links to external websites intended </w:t>
      </w:r>
      <w:r>
        <w:rPr>
          <w:rFonts w:ascii="Lora" w:hAnsi="Lora" w:eastAsia="Lora"/>
          <w:b w:val="0"/>
          <w:i w:val="0"/>
          <w:color w:val="000000"/>
          <w:sz w:val="18"/>
        </w:rPr>
        <w:t>for health care professionals may also be included.</w:t>
      </w:r>
    </w:p>
    <w:p>
      <w:pPr>
        <w:autoSpaceDN w:val="0"/>
        <w:autoSpaceDE w:val="0"/>
        <w:widowControl/>
        <w:spacing w:line="186" w:lineRule="exact" w:before="7554" w:after="0"/>
        <w:ind w:left="0" w:right="742" w:firstLine="0"/>
        <w:jc w:val="right"/>
      </w:pPr>
      <w:r>
        <w:rPr>
          <w:rFonts w:ascii="Asap" w:hAnsi="Asap" w:eastAsia="Asap"/>
          <w:b w:val="0"/>
          <w:i w:val="0"/>
          <w:color w:val="474C55"/>
          <w:sz w:val="14"/>
        </w:rPr>
        <w:t>Vol. 30, No. 4-b</w:t>
      </w:r>
      <w:r>
        <w:rPr>
          <w:rFonts w:ascii="Asap" w:hAnsi="Asap" w:eastAsia="Asap"/>
          <w:b w:val="0"/>
          <w:i w:val="0"/>
          <w:color w:val="474C55"/>
          <w:sz w:val="14"/>
        </w:rPr>
        <w:t>|</w:t>
      </w:r>
      <w:r>
        <w:rPr>
          <w:rFonts w:ascii="Asap" w:hAnsi="Asap" w:eastAsia="Asap"/>
          <w:b w:val="0"/>
          <w:i w:val="0"/>
          <w:color w:val="474C55"/>
          <w:sz w:val="14"/>
        </w:rPr>
        <w:t>April 2024</w:t>
      </w:r>
      <w:r>
        <w:rPr>
          <w:rFonts w:ascii="Asap" w:hAnsi="Asap" w:eastAsia="Asap"/>
          <w:b w:val="0"/>
          <w:i w:val="0"/>
          <w:color w:val="474C55"/>
          <w:sz w:val="14"/>
        </w:rPr>
        <w:t>|</w:t>
      </w:r>
      <w:r>
        <w:rPr>
          <w:rFonts w:ascii="Asap" w:hAnsi="Asap" w:eastAsia="Asap"/>
          <w:b/>
          <w:i w:val="0"/>
          <w:color w:val="14377D"/>
          <w:sz w:val="14"/>
        </w:rPr>
        <w:t xml:space="preserve"> JMCP</w:t>
      </w:r>
      <w:r>
        <w:rPr>
          <w:rFonts w:ascii="Asap" w:hAnsi="Asap" w:eastAsia="Asap"/>
          <w:b w:val="0"/>
          <w:i w:val="0"/>
          <w:color w:val="14377D"/>
          <w:sz w:val="14"/>
        </w:rPr>
        <w:t>.org</w:t>
      </w:r>
    </w:p>
    <w:p>
      <w:pPr>
        <w:sectPr>
          <w:type w:val="nextColumn"/>
          <w:pgSz w:w="11880" w:h="15660"/>
          <w:pgMar w:top="360" w:right="0" w:bottom="266" w:left="720" w:header="720" w:footer="720" w:gutter="0"/>
          <w:cols w:num="2" w:equalWidth="0">
            <w:col w:w="5334" w:space="0"/>
            <w:col w:w="5826" w:space="0"/>
          </w:cols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883"/>
        <w:gridCol w:w="4883"/>
      </w:tblGrid>
      <w:tr>
        <w:trPr>
          <w:trHeight w:hRule="exact" w:val="382"/>
        </w:trPr>
        <w:tc>
          <w:tcPr>
            <w:tcW w:type="dxa" w:w="1094"/>
            <w:tcBorders/>
            <w:shd w:fill="6b146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4" w:after="0"/>
              <w:ind w:left="0" w:right="90" w:firstLine="0"/>
              <w:jc w:val="right"/>
            </w:pPr>
            <w:r>
              <w:rPr>
                <w:rFonts w:ascii="Asap" w:hAnsi="Asap" w:eastAsia="Asap"/>
                <w:b/>
                <w:i w:val="0"/>
                <w:color w:val="FFFFFF"/>
                <w:sz w:val="18"/>
              </w:rPr>
              <w:t>50</w:t>
            </w:r>
          </w:p>
        </w:tc>
        <w:tc>
          <w:tcPr>
            <w:tcW w:type="dxa" w:w="584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4" w:after="0"/>
              <w:ind w:left="90" w:right="0" w:firstLine="0"/>
              <w:jc w:val="left"/>
            </w:pPr>
            <w:r>
              <w:rPr>
                <w:rFonts w:ascii="Asap" w:hAnsi="Asap" w:eastAsia="Asap"/>
                <w:b/>
                <w:i w:val="0"/>
                <w:color w:val="474C55"/>
                <w:sz w:val="18"/>
              </w:rPr>
              <w:t>AMCP FORMAT 5.0</w:t>
            </w:r>
          </w:p>
        </w:tc>
      </w:tr>
    </w:tbl>
    <w:p>
      <w:pPr>
        <w:autoSpaceDN w:val="0"/>
        <w:autoSpaceDE w:val="0"/>
        <w:widowControl/>
        <w:spacing w:line="560" w:lineRule="exact" w:before="964" w:after="130"/>
        <w:ind w:left="698" w:right="2448" w:firstLine="0"/>
        <w:jc w:val="left"/>
      </w:pPr>
      <w:r>
        <w:rPr>
          <w:rFonts w:ascii="Asap" w:hAnsi="Asap" w:eastAsia="Asap"/>
          <w:b w:val="0"/>
          <w:i w:val="0"/>
          <w:color w:val="14377D"/>
          <w:sz w:val="48"/>
        </w:rPr>
        <w:t xml:space="preserve">Appendix A  Pre-Approval Information </w:t>
      </w:r>
      <w:r>
        <w:rPr>
          <w:rFonts w:ascii="Asap" w:hAnsi="Asap" w:eastAsia="Asap"/>
          <w:b w:val="0"/>
          <w:i w:val="0"/>
          <w:color w:val="14377D"/>
          <w:sz w:val="48"/>
        </w:rPr>
        <w:t>Exchange Guidance</w:t>
      </w:r>
    </w:p>
    <w:p>
      <w:pPr>
        <w:sectPr>
          <w:pgSz w:w="11880" w:h="15660"/>
          <w:pgMar w:top="360" w:right="674" w:bottom="266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45" w:lineRule="auto" w:before="0" w:after="0"/>
        <w:ind w:left="698" w:right="144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>AMCP has a well-established history of supporting appropri-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ate PIE to provide opportunities for critical, early scientific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dialogue regarding new treatments and new indications for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existing treatments. As early as 2016 with the publication </w:t>
      </w:r>
      <w:r>
        <w:rPr>
          <w:rFonts w:ascii="Lora" w:hAnsi="Lora" w:eastAsia="Lora"/>
          <w:b w:val="0"/>
          <w:i w:val="0"/>
          <w:color w:val="000000"/>
          <w:sz w:val="18"/>
        </w:rPr>
        <w:t>of the AMCP Format Version 4.0,</w:t>
      </w:r>
      <w:r>
        <w:rPr>
          <w:w w:val="104.94000434875488"/>
          <w:rFonts w:ascii="Lora" w:hAnsi="Lora" w:eastAsia="Lora"/>
          <w:b w:val="0"/>
          <w:i w:val="0"/>
          <w:color w:val="000000"/>
          <w:sz w:val="10"/>
        </w:rPr>
        <w:t>75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 the AMCP Format has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addressed this need. More recently, the AMCP Format </w:t>
      </w:r>
      <w:r>
        <w:rPr>
          <w:rFonts w:ascii="Lora" w:hAnsi="Lora" w:eastAsia="Lora"/>
          <w:b w:val="0"/>
          <w:i w:val="0"/>
          <w:color w:val="000000"/>
          <w:sz w:val="18"/>
        </w:rPr>
        <w:t>Version 4.1</w:t>
      </w:r>
      <w:r>
        <w:rPr>
          <w:w w:val="104.94000434875488"/>
          <w:rFonts w:ascii="Lora" w:hAnsi="Lora" w:eastAsia="Lora"/>
          <w:b w:val="0"/>
          <w:i w:val="0"/>
          <w:color w:val="000000"/>
          <w:sz w:val="10"/>
        </w:rPr>
        <w:t>10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 provided detailed guidance for unapproved </w:t>
      </w:r>
      <w:r>
        <w:rPr>
          <w:rFonts w:ascii="Lora" w:hAnsi="Lora" w:eastAsia="Lora"/>
          <w:b w:val="0"/>
          <w:i w:val="0"/>
          <w:color w:val="000000"/>
          <w:sz w:val="18"/>
        </w:rPr>
        <w:t>products and unapproved uses.</w:t>
      </w:r>
    </w:p>
    <w:p>
      <w:pPr>
        <w:autoSpaceDN w:val="0"/>
        <w:tabs>
          <w:tab w:pos="878" w:val="left"/>
        </w:tabs>
        <w:autoSpaceDE w:val="0"/>
        <w:widowControl/>
        <w:spacing w:line="245" w:lineRule="auto" w:before="0" w:after="0"/>
        <w:ind w:left="698" w:right="144" w:firstLine="0"/>
        <w:jc w:val="left"/>
      </w:pP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Today, many manufacturers have pursued PIE with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HCDMs, using the AMCP Format, as well as other means </w:t>
      </w:r>
      <w:r>
        <w:rPr>
          <w:rFonts w:ascii="Lora" w:hAnsi="Lora" w:eastAsia="Lora"/>
          <w:b w:val="0"/>
          <w:i w:val="0"/>
          <w:color w:val="000000"/>
          <w:sz w:val="18"/>
        </w:rPr>
        <w:t>such as with the use of PIE communication tools.</w:t>
      </w:r>
      <w:r>
        <w:rPr>
          <w:w w:val="104.94000434875488"/>
          <w:rFonts w:ascii="Lora" w:hAnsi="Lora" w:eastAsia="Lora"/>
          <w:b w:val="0"/>
          <w:i w:val="0"/>
          <w:color w:val="000000"/>
          <w:sz w:val="10"/>
        </w:rPr>
        <w:t>76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 These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tools support useful bi-directional communication. Two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external milestones have provided additional support for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pre-approval dialogue between manufacturers and HCDMs. </w:t>
      </w:r>
      <w:r>
        <w:rPr>
          <w:rFonts w:ascii="Lora" w:hAnsi="Lora" w:eastAsia="Lora"/>
          <w:b w:val="0"/>
          <w:i w:val="0"/>
          <w:color w:val="000000"/>
          <w:sz w:val="18"/>
        </w:rPr>
        <w:t>First, in 2018, the FDA published guidance on appropri-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ate communications between manufacturers and payers, </w:t>
      </w:r>
      <w:r>
        <w:rPr>
          <w:rFonts w:ascii="Lora" w:hAnsi="Lora" w:eastAsia="Lora"/>
          <w:b w:val="0"/>
          <w:i w:val="0"/>
          <w:color w:val="000000"/>
          <w:sz w:val="18"/>
        </w:rPr>
        <w:t>including PIE.</w:t>
      </w:r>
      <w:r>
        <w:rPr>
          <w:w w:val="104.94000434875488"/>
          <w:rFonts w:ascii="Lora" w:hAnsi="Lora" w:eastAsia="Lora"/>
          <w:b w:val="0"/>
          <w:i w:val="0"/>
          <w:color w:val="000000"/>
          <w:sz w:val="10"/>
        </w:rPr>
        <w:t>3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 Second, the PIE Act was passed in December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2022, amending the Federal Food, Drug, and Cosmetic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Act to provide explicit legal protection for manufacturers </w:t>
      </w:r>
      <w:r>
        <w:rPr>
          <w:rFonts w:ascii="Lora" w:hAnsi="Lora" w:eastAsia="Lora"/>
          <w:b w:val="0"/>
          <w:i w:val="0"/>
          <w:color w:val="000000"/>
          <w:sz w:val="18"/>
        </w:rPr>
        <w:t>conveying certain information about products in develop-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ment to HCDMs, including unapproved uses of approved </w:t>
      </w:r>
      <w:r>
        <w:rPr>
          <w:rFonts w:ascii="Lora" w:hAnsi="Lora" w:eastAsia="Lora"/>
          <w:b w:val="0"/>
          <w:i w:val="0"/>
          <w:color w:val="000000"/>
          <w:sz w:val="18"/>
        </w:rPr>
        <w:t>products.</w:t>
      </w:r>
      <w:r>
        <w:rPr>
          <w:w w:val="104.94000434875488"/>
          <w:rFonts w:ascii="Lora" w:hAnsi="Lora" w:eastAsia="Lora"/>
          <w:b w:val="0"/>
          <w:i w:val="0"/>
          <w:color w:val="000000"/>
          <w:sz w:val="10"/>
        </w:rPr>
        <w:t xml:space="preserve">4,77 </w:t>
      </w:r>
      <w:r>
        <w:br/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AMCP applauds the passage of the PIE Act and rec-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ognizes the important balance of maintaining flexibility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for manufacturer communications with HCDM needs. </w:t>
      </w:r>
      <w:r>
        <w:rPr>
          <w:rFonts w:ascii="Lora" w:hAnsi="Lora" w:eastAsia="Lora"/>
          <w:b w:val="0"/>
          <w:i w:val="0"/>
          <w:color w:val="000000"/>
          <w:sz w:val="18"/>
        </w:rPr>
        <w:t>Notwithstanding the vehicle for pre-approval communica-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tions, AMCP urges manufacturers to keep HCDM priorities </w:t>
      </w:r>
      <w:r>
        <w:rPr>
          <w:rFonts w:ascii="Lora" w:hAnsi="Lora" w:eastAsia="Lora"/>
          <w:b w:val="0"/>
          <w:i w:val="0"/>
          <w:color w:val="000000"/>
          <w:sz w:val="18"/>
        </w:rPr>
        <w:t>in mind and provide accurate, balanced, scientific informa-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tion that is transparent in its disclosure of limitations and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uncertainties. This will help enable payer decision-making, </w:t>
      </w:r>
      <w:r>
        <w:rPr>
          <w:rFonts w:ascii="Lora" w:hAnsi="Lora" w:eastAsia="Lora"/>
          <w:b w:val="0"/>
          <w:i w:val="0"/>
          <w:color w:val="000000"/>
          <w:sz w:val="18"/>
        </w:rPr>
        <w:t>ultimately expediting patient access to new, needed medi-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cations.  While the AMCP Format is a more holistic approach </w:t>
      </w:r>
      <w:r>
        <w:rPr>
          <w:rFonts w:ascii="Lora" w:hAnsi="Lora" w:eastAsia="Lora"/>
          <w:b w:val="0"/>
          <w:i w:val="0"/>
          <w:color w:val="000000"/>
          <w:sz w:val="18"/>
        </w:rPr>
        <w:t>to conveying pre-approval product information, AMCP sup-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ports the use of PIE communication tools as an alternative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that aligns with the goals of the PIE Act. </w:t>
      </w:r>
    </w:p>
    <w:p>
      <w:pPr>
        <w:autoSpaceDN w:val="0"/>
        <w:autoSpaceDE w:val="0"/>
        <w:widowControl/>
        <w:spacing w:line="245" w:lineRule="auto" w:before="0" w:after="0"/>
        <w:ind w:left="698" w:right="144" w:firstLine="18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Given the importance of PIE to HCDMs in carrying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out their responsibilities regarding budget forecasting,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formulary decision-making, and facilitating patient access, </w:t>
      </w:r>
      <w:r>
        <w:rPr>
          <w:rFonts w:ascii="Lora" w:hAnsi="Lora" w:eastAsia="Lora"/>
          <w:b w:val="0"/>
          <w:i w:val="0"/>
          <w:color w:val="000000"/>
          <w:sz w:val="18"/>
        </w:rPr>
        <w:t>manufacturers should prioritize early, meaningful com-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munications about products expected to have significant </w:t>
      </w:r>
      <w:r>
        <w:rPr>
          <w:rFonts w:ascii="Lora" w:hAnsi="Lora" w:eastAsia="Lora"/>
          <w:b w:val="0"/>
          <w:i w:val="0"/>
          <w:color w:val="000000"/>
          <w:sz w:val="18"/>
        </w:rPr>
        <w:t>impact on organizational budgets.  This may include prod-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ucts targeting a clinical area that previously did not have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treatment options, chronic disease states with increasing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prevalence, and products with novel mechanisms of action.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Because products in development will differ in terms of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their budget impact to HCDMs, communication timelines </w:t>
      </w:r>
    </w:p>
    <w:p>
      <w:pPr>
        <w:autoSpaceDN w:val="0"/>
        <w:autoSpaceDE w:val="0"/>
        <w:widowControl/>
        <w:spacing w:line="186" w:lineRule="exact" w:before="576" w:after="0"/>
        <w:ind w:left="740" w:right="0" w:firstLine="0"/>
        <w:jc w:val="left"/>
      </w:pPr>
      <w:r>
        <w:rPr>
          <w:rFonts w:ascii="Asap" w:hAnsi="Asap" w:eastAsia="Asap"/>
          <w:b/>
          <w:i w:val="0"/>
          <w:color w:val="14377D"/>
          <w:sz w:val="14"/>
        </w:rPr>
        <w:t>JMCP</w:t>
      </w:r>
      <w:r>
        <w:rPr>
          <w:rFonts w:ascii="Asap" w:hAnsi="Asap" w:eastAsia="Asap"/>
          <w:b w:val="0"/>
          <w:i w:val="0"/>
          <w:color w:val="14377D"/>
          <w:sz w:val="14"/>
        </w:rPr>
        <w:t>.org</w:t>
      </w:r>
      <w:r>
        <w:rPr>
          <w:rFonts w:ascii="Asap" w:hAnsi="Asap" w:eastAsia="Asap"/>
          <w:b w:val="0"/>
          <w:i w:val="0"/>
          <w:color w:val="474C55"/>
          <w:sz w:val="14"/>
        </w:rPr>
        <w:t>|</w:t>
      </w:r>
      <w:r>
        <w:rPr>
          <w:rFonts w:ascii="Asap" w:hAnsi="Asap" w:eastAsia="Asap"/>
          <w:b w:val="0"/>
          <w:i w:val="0"/>
          <w:color w:val="474C55"/>
          <w:sz w:val="14"/>
        </w:rPr>
        <w:t>April 2024</w:t>
      </w:r>
      <w:r>
        <w:rPr>
          <w:rFonts w:ascii="Asap" w:hAnsi="Asap" w:eastAsia="Asap"/>
          <w:b w:val="0"/>
          <w:i w:val="0"/>
          <w:color w:val="474C55"/>
          <w:sz w:val="14"/>
        </w:rPr>
        <w:t>|</w:t>
      </w:r>
      <w:r>
        <w:rPr>
          <w:rFonts w:ascii="Asap" w:hAnsi="Asap" w:eastAsia="Asap"/>
          <w:b w:val="0"/>
          <w:i w:val="0"/>
          <w:color w:val="474C55"/>
          <w:sz w:val="14"/>
        </w:rPr>
        <w:t>Vol. 30, No. 4-B</w:t>
      </w:r>
    </w:p>
    <w:p>
      <w:pPr>
        <w:sectPr>
          <w:type w:val="continuous"/>
          <w:pgSz w:w="11880" w:h="15660"/>
          <w:pgMar w:top="360" w:right="674" w:bottom="266" w:left="0" w:header="720" w:footer="720" w:gutter="0"/>
          <w:cols w:num="2" w:equalWidth="0">
            <w:col w:w="5942" w:space="0"/>
            <w:col w:w="5263" w:space="0"/>
          </w:cols>
          <w:docGrid w:linePitch="360"/>
        </w:sectPr>
      </w:pPr>
    </w:p>
    <w:p>
      <w:pPr>
        <w:autoSpaceDN w:val="0"/>
        <w:tabs>
          <w:tab w:pos="336" w:val="left"/>
          <w:tab w:pos="516" w:val="left"/>
          <w:tab w:pos="696" w:val="left"/>
        </w:tabs>
        <w:autoSpaceDE w:val="0"/>
        <w:widowControl/>
        <w:spacing w:line="245" w:lineRule="auto" w:before="0" w:after="0"/>
        <w:ind w:left="156" w:right="0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and content should be tailored to reflect those impacts.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Manufacturers are encouraged to proactively engage with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HCDMs in a timely fashion to support critical planning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processes. The communication timeline could vary from 6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to 12 months prior to anticipated FDA approval, depending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on product characteristics and potential budget impact.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Information included in PIE should include the following: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• Information from ongoing and completed trials </w:t>
      </w:r>
      <w:r>
        <w:br/>
      </w:r>
      <w:r>
        <w:tab/>
      </w:r>
      <w:r>
        <w:tab/>
      </w:r>
      <w:r>
        <w:rPr>
          <w:rFonts w:ascii="AppleSymbols" w:hAnsi="AppleSymbols" w:eastAsia="AppleSymbols"/>
          <w:b w:val="0"/>
          <w:i w:val="0"/>
          <w:color w:val="000000"/>
          <w:sz w:val="18"/>
        </w:rPr>
        <w:t>⚬</w:t>
      </w:r>
      <w:r>
        <w:rPr>
          <w:rFonts w:ascii="Lora" w:hAnsi="Lora" w:eastAsia="Lora"/>
          <w:b w:val="0"/>
          <w:i w:val="0"/>
          <w:color w:val="000000"/>
          <w:sz w:val="18"/>
        </w:rPr>
        <w:t>Unmet need/epidemiology</w:t>
      </w:r>
      <w:r>
        <w:br/>
      </w:r>
      <w:r>
        <w:tab/>
      </w:r>
      <w:r>
        <w:tab/>
      </w:r>
      <w:r>
        <w:rPr>
          <w:rFonts w:ascii="AppleSymbols" w:hAnsi="AppleSymbols" w:eastAsia="AppleSymbols"/>
          <w:b w:val="0"/>
          <w:i w:val="0"/>
          <w:color w:val="000000"/>
          <w:sz w:val="18"/>
        </w:rPr>
        <w:t>⚬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Inclusion and exclusion criteria </w:t>
      </w:r>
      <w:r>
        <w:br/>
      </w:r>
      <w:r>
        <w:tab/>
      </w:r>
      <w:r>
        <w:tab/>
      </w:r>
      <w:r>
        <w:rPr>
          <w:rFonts w:ascii="AppleSymbols" w:hAnsi="AppleSymbols" w:eastAsia="AppleSymbols"/>
          <w:b w:val="0"/>
          <w:i w:val="0"/>
          <w:color w:val="000000"/>
          <w:sz w:val="18"/>
        </w:rPr>
        <w:t>⚬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Study design and interventions </w:t>
      </w:r>
      <w:r>
        <w:br/>
      </w:r>
      <w:r>
        <w:tab/>
      </w:r>
      <w:r>
        <w:tab/>
      </w:r>
      <w:r>
        <w:rPr>
          <w:rFonts w:ascii="AppleSymbols" w:hAnsi="AppleSymbols" w:eastAsia="AppleSymbols"/>
          <w:b w:val="0"/>
          <w:i w:val="0"/>
          <w:color w:val="000000"/>
          <w:sz w:val="18"/>
        </w:rPr>
        <w:t>⚬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Primary and secondary endpoints </w:t>
      </w:r>
      <w:r>
        <w:br/>
      </w:r>
      <w:r>
        <w:tab/>
      </w:r>
      <w:r>
        <w:tab/>
      </w:r>
      <w:r>
        <w:rPr>
          <w:rFonts w:ascii="AppleSymbols" w:hAnsi="AppleSymbols" w:eastAsia="AppleSymbols"/>
          <w:b w:val="0"/>
          <w:i w:val="0"/>
          <w:color w:val="000000"/>
          <w:sz w:val="18"/>
        </w:rPr>
        <w:t>⚬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Known results </w:t>
      </w:r>
      <w:r>
        <w:br/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• Important timeline information </w:t>
      </w:r>
      <w:r>
        <w:br/>
      </w:r>
      <w:r>
        <w:tab/>
      </w:r>
      <w:r>
        <w:tab/>
      </w:r>
      <w:r>
        <w:rPr>
          <w:rFonts w:ascii="AppleSymbols" w:hAnsi="AppleSymbols" w:eastAsia="AppleSymbols"/>
          <w:b w:val="0"/>
          <w:i w:val="0"/>
          <w:color w:val="000000"/>
          <w:sz w:val="18"/>
        </w:rPr>
        <w:t>⚬</w:t>
      </w:r>
      <w:r>
        <w:rPr>
          <w:rFonts w:ascii="Lora" w:hAnsi="Lora" w:eastAsia="Lora"/>
          <w:b w:val="0"/>
          <w:i w:val="0"/>
          <w:color w:val="000000"/>
          <w:sz w:val="18"/>
        </w:rPr>
        <w:t>Anticipated FDA submissions</w:t>
      </w:r>
      <w:r>
        <w:br/>
      </w:r>
      <w:r>
        <w:tab/>
      </w:r>
      <w:r>
        <w:tab/>
      </w:r>
      <w:r>
        <w:rPr>
          <w:rFonts w:ascii="AppleSymbols" w:hAnsi="AppleSymbols" w:eastAsia="AppleSymbols"/>
          <w:b w:val="0"/>
          <w:i w:val="0"/>
          <w:color w:val="000000"/>
          <w:sz w:val="18"/>
        </w:rPr>
        <w:t>⚬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Expected approval and launch dates </w:t>
      </w:r>
      <w:r>
        <w:br/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• Information relevant to patient access </w:t>
      </w:r>
      <w:r>
        <w:br/>
      </w:r>
      <w:r>
        <w:tab/>
      </w:r>
      <w:r>
        <w:tab/>
      </w:r>
      <w:r>
        <w:rPr>
          <w:rFonts w:ascii="AppleSymbols" w:hAnsi="AppleSymbols" w:eastAsia="AppleSymbols"/>
          <w:b w:val="0"/>
          <w:i w:val="0"/>
          <w:color w:val="000000"/>
          <w:sz w:val="18"/>
        </w:rPr>
        <w:t>⚬</w:t>
      </w:r>
      <w:r>
        <w:rPr>
          <w:rFonts w:ascii="Lora" w:hAnsi="Lora" w:eastAsia="Lora"/>
          <w:b w:val="0"/>
          <w:i w:val="0"/>
          <w:color w:val="000000"/>
          <w:sz w:val="18"/>
        </w:rPr>
        <w:t>REMS</w:t>
      </w:r>
      <w:r>
        <w:br/>
      </w:r>
      <w:r>
        <w:tab/>
      </w:r>
      <w:r>
        <w:tab/>
      </w:r>
      <w:r>
        <w:rPr>
          <w:rFonts w:ascii="AppleSymbols" w:hAnsi="AppleSymbols" w:eastAsia="AppleSymbols"/>
          <w:b w:val="0"/>
          <w:i w:val="0"/>
          <w:color w:val="000000"/>
          <w:sz w:val="18"/>
        </w:rPr>
        <w:t>⚬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Limited or restricted distribution plans </w:t>
      </w:r>
      <w:r>
        <w:br/>
      </w:r>
      <w:r>
        <w:tab/>
      </w:r>
      <w:r>
        <w:tab/>
      </w:r>
      <w:r>
        <w:rPr>
          <w:rFonts w:ascii="AppleSymbols" w:hAnsi="AppleSymbols" w:eastAsia="AppleSymbols"/>
          <w:b w:val="0"/>
          <w:i w:val="0"/>
          <w:color w:val="000000"/>
          <w:sz w:val="18"/>
        </w:rPr>
        <w:t>⚬</w:t>
      </w:r>
      <w:r>
        <w:rPr>
          <w:rFonts w:ascii="Lora" w:hAnsi="Lora" w:eastAsia="Lora"/>
          <w:b w:val="0"/>
          <w:i w:val="0"/>
          <w:color w:val="000000"/>
          <w:sz w:val="18"/>
        </w:rPr>
        <w:t>Anticipated limitations on pharmacies or administra-</w:t>
      </w:r>
      <w:r>
        <w:tab/>
      </w:r>
      <w:r>
        <w:tab/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tion sites </w:t>
      </w:r>
      <w:r>
        <w:br/>
      </w:r>
      <w:r>
        <w:tab/>
      </w:r>
      <w:r>
        <w:tab/>
      </w:r>
      <w:r>
        <w:rPr>
          <w:rFonts w:ascii="AppleSymbols" w:hAnsi="AppleSymbols" w:eastAsia="AppleSymbols"/>
          <w:b w:val="0"/>
          <w:i w:val="0"/>
          <w:color w:val="000000"/>
          <w:sz w:val="18"/>
        </w:rPr>
        <w:t>⚬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Unusual monitoring or administration requirements </w:t>
      </w:r>
      <w:r>
        <w:tab/>
      </w:r>
      <w:r>
        <w:tab/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(e.g., first-dose monitoring, novel observation proce-</w:t>
      </w:r>
      <w:r>
        <w:tab/>
      </w:r>
      <w:r>
        <w:tab/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dures, prolonged administration times) </w:t>
      </w:r>
      <w:r>
        <w:br/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AMCP encourages a continuing dialogue between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manufacturers and HCDMs as new information becomes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available.  These interactions should be viewed holistically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with regard to conveying the previously identified PIE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concepts, and manufacturers should ensure that follow-up </w:t>
      </w:r>
      <w:r>
        <w:rPr>
          <w:rFonts w:ascii="Lora" w:hAnsi="Lora" w:eastAsia="Lora"/>
          <w:b w:val="0"/>
          <w:i w:val="0"/>
          <w:color w:val="000000"/>
          <w:sz w:val="18"/>
        </w:rPr>
        <w:t>interactions with HCDMs are efficient in updating informa-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tion previously provided. </w:t>
      </w:r>
    </w:p>
    <w:p>
      <w:pPr>
        <w:autoSpaceDN w:val="0"/>
        <w:autoSpaceDE w:val="0"/>
        <w:widowControl/>
        <w:spacing w:line="245" w:lineRule="auto" w:before="0" w:after="0"/>
        <w:ind w:left="156" w:right="0" w:firstLine="18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>Manufacturers should be mindful of prior communica-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tions with HCDMs and provide meaningful, timely updates </w:t>
      </w:r>
      <w:r>
        <w:rPr>
          <w:rFonts w:ascii="Lora" w:hAnsi="Lora" w:eastAsia="Lora"/>
          <w:b w:val="0"/>
          <w:i w:val="0"/>
          <w:color w:val="000000"/>
          <w:sz w:val="18"/>
        </w:rPr>
        <w:t>as appropriate.</w:t>
      </w:r>
    </w:p>
    <w:p>
      <w:pPr>
        <w:sectPr>
          <w:type w:val="nextColumn"/>
          <w:pgSz w:w="11880" w:h="15660"/>
          <w:pgMar w:top="360" w:right="674" w:bottom="266" w:left="0" w:header="720" w:footer="720" w:gutter="0"/>
          <w:cols w:num="2" w:equalWidth="0">
            <w:col w:w="5942" w:space="0"/>
            <w:col w:w="5263" w:space="0"/>
          </w:cols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242.0" w:type="dxa"/>
      </w:tblPr>
      <w:tblGrid>
        <w:gridCol w:w="4871"/>
        <w:gridCol w:w="4871"/>
      </w:tblGrid>
      <w:tr>
        <w:trPr>
          <w:trHeight w:hRule="exact" w:val="382"/>
        </w:trPr>
        <w:tc>
          <w:tcPr>
            <w:tcW w:type="dxa" w:w="584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4" w:after="0"/>
              <w:ind w:left="0" w:right="90" w:firstLine="0"/>
              <w:jc w:val="right"/>
            </w:pPr>
            <w:r>
              <w:rPr>
                <w:rFonts w:ascii="Asap" w:hAnsi="Asap" w:eastAsia="Asap"/>
                <w:b/>
                <w:i w:val="0"/>
                <w:color w:val="474C55"/>
                <w:sz w:val="18"/>
              </w:rPr>
              <w:t>AMCP FORMAT 5.0</w:t>
            </w:r>
          </w:p>
        </w:tc>
        <w:tc>
          <w:tcPr>
            <w:tcW w:type="dxa" w:w="1094"/>
            <w:tcBorders/>
            <w:shd w:fill="6b146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72" w:after="0"/>
              <w:ind w:left="90" w:right="0" w:firstLine="0"/>
              <w:jc w:val="left"/>
            </w:pPr>
            <w:r>
              <w:rPr>
                <w:rFonts w:ascii="Asap" w:hAnsi="Asap" w:eastAsia="Asap"/>
                <w:b/>
                <w:i w:val="0"/>
                <w:color w:val="FFFFFF"/>
                <w:sz w:val="18"/>
              </w:rPr>
              <w:t>51</w:t>
            </w:r>
          </w:p>
        </w:tc>
      </w:tr>
    </w:tbl>
    <w:p>
      <w:pPr>
        <w:autoSpaceDN w:val="0"/>
        <w:autoSpaceDE w:val="0"/>
        <w:widowControl/>
        <w:spacing w:line="622" w:lineRule="exact" w:before="902" w:after="116"/>
        <w:ind w:left="0" w:right="0" w:firstLine="0"/>
        <w:jc w:val="left"/>
      </w:pPr>
      <w:r>
        <w:rPr>
          <w:rFonts w:ascii="Asap" w:hAnsi="Asap" w:eastAsia="Asap"/>
          <w:b w:val="0"/>
          <w:i w:val="0"/>
          <w:color w:val="14377D"/>
          <w:sz w:val="48"/>
        </w:rPr>
        <w:t>Appendix B  Additional Terms and Definitions</w:t>
      </w:r>
    </w:p>
    <w:p>
      <w:pPr>
        <w:sectPr>
          <w:pgSz w:w="11880" w:h="15660"/>
          <w:pgMar w:top="360" w:right="0" w:bottom="266" w:left="698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45" w:lineRule="auto" w:before="0" w:after="0"/>
        <w:ind w:left="22" w:right="156" w:firstLine="0"/>
        <w:jc w:val="both"/>
      </w:pPr>
      <w:r>
        <w:rPr>
          <w:rFonts w:ascii="Lora" w:hAnsi="Lora" w:eastAsia="Lora"/>
          <w:b/>
          <w:i w:val="0"/>
          <w:color w:val="000000"/>
          <w:sz w:val="18"/>
        </w:rPr>
        <w:t>Biosimilar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: A biosimilar is a biological product that “is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highly similar to the reference product notwithstanding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minor differences in clinically inactive components” and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has “no clinically meaningful differences between the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biological product and the reference product in terms of </w:t>
      </w:r>
      <w:r>
        <w:rPr>
          <w:rFonts w:ascii="Lora" w:hAnsi="Lora" w:eastAsia="Lora"/>
          <w:b w:val="0"/>
          <w:i w:val="0"/>
          <w:color w:val="000000"/>
          <w:sz w:val="18"/>
        </w:rPr>
        <w:t>the safety, purity, and potency of the product.”</w:t>
      </w:r>
      <w:r>
        <w:rPr>
          <w:w w:val="104.94000434875488"/>
          <w:rFonts w:ascii="Lora" w:hAnsi="Lora" w:eastAsia="Lora"/>
          <w:b w:val="0"/>
          <w:i w:val="0"/>
          <w:color w:val="000000"/>
          <w:sz w:val="10"/>
        </w:rPr>
        <w:t>15</w:t>
      </w:r>
    </w:p>
    <w:p>
      <w:pPr>
        <w:autoSpaceDN w:val="0"/>
        <w:autoSpaceDE w:val="0"/>
        <w:widowControl/>
        <w:spacing w:line="245" w:lineRule="auto" w:before="66" w:after="0"/>
        <w:ind w:left="22" w:right="156" w:firstLine="0"/>
        <w:jc w:val="both"/>
      </w:pPr>
      <w:r>
        <w:rPr>
          <w:rFonts w:ascii="Lora" w:hAnsi="Lora" w:eastAsia="Lora"/>
          <w:b/>
          <w:i w:val="0"/>
          <w:color w:val="000000"/>
          <w:sz w:val="18"/>
        </w:rPr>
        <w:t>Budget Impact Models: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 A budget impact model estimates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the expected changes in the expenditure of a health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care system after the adoption of a new intervention in a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payer-relevant time frame. Budget impact models provide a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means of synthesizing available knowledge to estimate the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likely financial consequences of adopting an intervention, </w:t>
      </w:r>
      <w:r>
        <w:rPr>
          <w:rFonts w:ascii="Lora" w:hAnsi="Lora" w:eastAsia="Lora"/>
          <w:b w:val="0"/>
          <w:i w:val="0"/>
          <w:color w:val="000000"/>
          <w:sz w:val="18"/>
        </w:rPr>
        <w:t>typically from a payer perspective.</w:t>
      </w:r>
    </w:p>
    <w:p>
      <w:pPr>
        <w:autoSpaceDN w:val="0"/>
        <w:autoSpaceDE w:val="0"/>
        <w:widowControl/>
        <w:spacing w:line="245" w:lineRule="auto" w:before="64" w:after="0"/>
        <w:ind w:left="22" w:right="156" w:firstLine="0"/>
        <w:jc w:val="both"/>
      </w:pPr>
      <w:r>
        <w:rPr>
          <w:rFonts w:ascii="Lora" w:hAnsi="Lora" w:eastAsia="Lora"/>
          <w:b/>
          <w:i w:val="0"/>
          <w:color w:val="000000"/>
          <w:sz w:val="18"/>
        </w:rPr>
        <w:t>Care Pathways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: Care pathways have been used widely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in health care, and while definitions vary, care pathways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are generally characterized as a method of patient care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management that is based on clinical practice guidelines,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with the objectives of improving quality of care, reducing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variation in clinical practice, and improving the allocation </w:t>
      </w:r>
      <w:r>
        <w:rPr>
          <w:rFonts w:ascii="Lora" w:hAnsi="Lora" w:eastAsia="Lora"/>
          <w:b w:val="0"/>
          <w:i w:val="0"/>
          <w:color w:val="000000"/>
          <w:sz w:val="18"/>
        </w:rPr>
        <w:t>of health care resources.</w:t>
      </w:r>
      <w:r>
        <w:rPr>
          <w:w w:val="104.94000434875488"/>
          <w:rFonts w:ascii="Lora" w:hAnsi="Lora" w:eastAsia="Lora"/>
          <w:b w:val="0"/>
          <w:i w:val="0"/>
          <w:color w:val="000000"/>
          <w:sz w:val="10"/>
        </w:rPr>
        <w:t>78</w:t>
      </w:r>
    </w:p>
    <w:p>
      <w:pPr>
        <w:autoSpaceDN w:val="0"/>
        <w:autoSpaceDE w:val="0"/>
        <w:widowControl/>
        <w:spacing w:line="245" w:lineRule="auto" w:before="66" w:after="0"/>
        <w:ind w:left="22" w:right="144" w:firstLine="0"/>
        <w:jc w:val="left"/>
      </w:pPr>
      <w:r>
        <w:rPr>
          <w:rFonts w:ascii="Lora" w:hAnsi="Lora" w:eastAsia="Lora"/>
          <w:b/>
          <w:i w:val="0"/>
          <w:color w:val="000000"/>
          <w:sz w:val="18"/>
        </w:rPr>
        <w:t>Comparative Effectiveness Research (CER)</w:t>
      </w:r>
      <w:r>
        <w:rPr>
          <w:rFonts w:ascii="Lora" w:hAnsi="Lora" w:eastAsia="Lora"/>
          <w:b w:val="0"/>
          <w:i w:val="0"/>
          <w:color w:val="000000"/>
          <w:sz w:val="18"/>
        </w:rPr>
        <w:t>: The genera-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tion and synthesis of evidence that compares the benefits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and harms of alternative methods to prevent, diagnose,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treat, and monitor a clinical condition or to improve the </w:t>
      </w:r>
      <w:r>
        <w:rPr>
          <w:rFonts w:ascii="Lora" w:hAnsi="Lora" w:eastAsia="Lora"/>
          <w:b w:val="0"/>
          <w:i w:val="0"/>
          <w:color w:val="000000"/>
          <w:sz w:val="18"/>
        </w:rPr>
        <w:t>delivery of care. The purpose of CER is to assist consum-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ers, clinicians, purchasers, and policymakers with making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informed decisions that will improve health care at both the </w:t>
      </w:r>
      <w:r>
        <w:rPr>
          <w:rFonts w:ascii="Lora" w:hAnsi="Lora" w:eastAsia="Lora"/>
          <w:b w:val="0"/>
          <w:i w:val="0"/>
          <w:color w:val="000000"/>
          <w:sz w:val="18"/>
        </w:rPr>
        <w:t>individual and  population levels.</w:t>
      </w:r>
      <w:r>
        <w:rPr>
          <w:w w:val="104.94000434875488"/>
          <w:rFonts w:ascii="Lora" w:hAnsi="Lora" w:eastAsia="Lora"/>
          <w:b w:val="0"/>
          <w:i w:val="0"/>
          <w:color w:val="000000"/>
          <w:sz w:val="10"/>
        </w:rPr>
        <w:t>79</w:t>
      </w:r>
    </w:p>
    <w:p>
      <w:pPr>
        <w:autoSpaceDN w:val="0"/>
        <w:autoSpaceDE w:val="0"/>
        <w:widowControl/>
        <w:spacing w:line="245" w:lineRule="auto" w:before="66" w:after="0"/>
        <w:ind w:left="22" w:right="144" w:firstLine="0"/>
        <w:jc w:val="left"/>
      </w:pPr>
      <w:r>
        <w:rPr>
          <w:rFonts w:ascii="Lora" w:hAnsi="Lora" w:eastAsia="Lora"/>
          <w:b/>
          <w:i w:val="0"/>
          <w:color w:val="000000"/>
          <w:sz w:val="18"/>
        </w:rPr>
        <w:t>Companion Diagnostic Test (CDT)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: CDTs have been defined </w:t>
      </w:r>
      <w:r>
        <w:rPr>
          <w:rFonts w:ascii="Lora" w:hAnsi="Lora" w:eastAsia="Lora"/>
          <w:b w:val="0"/>
          <w:i w:val="0"/>
          <w:color w:val="000000"/>
          <w:sz w:val="18"/>
        </w:rPr>
        <w:t>in various ways.</w:t>
      </w:r>
    </w:p>
    <w:p>
      <w:pPr>
        <w:autoSpaceDN w:val="0"/>
        <w:tabs>
          <w:tab w:pos="202" w:val="left"/>
          <w:tab w:pos="382" w:val="left"/>
        </w:tabs>
        <w:autoSpaceDE w:val="0"/>
        <w:widowControl/>
        <w:spacing w:line="245" w:lineRule="auto" w:before="0" w:after="0"/>
        <w:ind w:left="22" w:right="144" w:firstLine="0"/>
        <w:jc w:val="left"/>
      </w:pP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The FDA describes a CDT as one that provides information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essential for the safe and effective use of a corresponding </w:t>
      </w:r>
      <w:r>
        <w:rPr>
          <w:rFonts w:ascii="Lora" w:hAnsi="Lora" w:eastAsia="Lora"/>
          <w:b w:val="0"/>
          <w:i w:val="0"/>
          <w:color w:val="000000"/>
          <w:sz w:val="18"/>
        </w:rPr>
        <w:t>therapeutic product.</w:t>
      </w:r>
      <w:r>
        <w:rPr>
          <w:w w:val="104.94000434875488"/>
          <w:rFonts w:ascii="Lora" w:hAnsi="Lora" w:eastAsia="Lora"/>
          <w:b w:val="0"/>
          <w:i w:val="0"/>
          <w:color w:val="000000"/>
          <w:sz w:val="10"/>
        </w:rPr>
        <w:t>24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 More generally, a CDT is defined as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 test that provides information that improves the safety or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effectiveness of a pharmaceutical or biologic. CDTs can be </w:t>
      </w:r>
      <w:r>
        <w:rPr>
          <w:rFonts w:ascii="Lora" w:hAnsi="Lora" w:eastAsia="Lora"/>
          <w:b w:val="0"/>
          <w:i w:val="0"/>
          <w:color w:val="000000"/>
          <w:sz w:val="18"/>
        </w:rPr>
        <w:t>used to:</w:t>
      </w:r>
      <w:r>
        <w:br/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• Identify patients who are most likely to benefit from a </w:t>
      </w:r>
      <w:r>
        <w:tab/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particular therapeutic product.</w:t>
      </w:r>
    </w:p>
    <w:p>
      <w:pPr>
        <w:autoSpaceDN w:val="0"/>
        <w:autoSpaceDE w:val="0"/>
        <w:widowControl/>
        <w:spacing w:line="245" w:lineRule="auto" w:before="0" w:after="0"/>
        <w:ind w:left="382" w:right="156" w:hanging="180"/>
        <w:jc w:val="both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• Identify patients likely to be at an increased risk for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serious adverse reactions because of treatment with a </w:t>
      </w:r>
      <w:r>
        <w:rPr>
          <w:rFonts w:ascii="Lora" w:hAnsi="Lora" w:eastAsia="Lora"/>
          <w:b w:val="0"/>
          <w:i w:val="0"/>
          <w:color w:val="000000"/>
          <w:sz w:val="18"/>
        </w:rPr>
        <w:t>therapeutic product.</w:t>
      </w:r>
    </w:p>
    <w:p>
      <w:pPr>
        <w:autoSpaceDN w:val="0"/>
        <w:tabs>
          <w:tab w:pos="202" w:val="left"/>
          <w:tab w:pos="382" w:val="left"/>
        </w:tabs>
        <w:autoSpaceDE w:val="0"/>
        <w:widowControl/>
        <w:spacing w:line="245" w:lineRule="auto" w:before="0" w:after="0"/>
        <w:ind w:left="22" w:right="144" w:firstLine="0"/>
        <w:jc w:val="left"/>
      </w:pP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• Monitor patient response to treatment for the purpose </w:t>
      </w:r>
      <w:r>
        <w:tab/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of adjusting the treatment (e.g., schedule, dose, discon-</w:t>
      </w:r>
      <w:r>
        <w:tab/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tinuation) to achieve improved safety or effectiveness.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CDTs (both in vitro diagnostic and medical imaging) may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assess the presence of molecular biomarkers including the </w:t>
      </w:r>
      <w:r>
        <w:rPr>
          <w:rFonts w:ascii="Lora" w:hAnsi="Lora" w:eastAsia="Lora"/>
          <w:b w:val="0"/>
          <w:i w:val="0"/>
          <w:color w:val="000000"/>
          <w:sz w:val="18"/>
        </w:rPr>
        <w:t>following forms:</w:t>
      </w:r>
    </w:p>
    <w:p>
      <w:pPr>
        <w:sectPr>
          <w:type w:val="continuous"/>
          <w:pgSz w:w="11880" w:h="15660"/>
          <w:pgMar w:top="360" w:right="0" w:bottom="266" w:left="698" w:header="720" w:footer="720" w:gutter="0"/>
          <w:cols w:num="2" w:equalWidth="0">
            <w:col w:w="5266" w:space="0"/>
            <w:col w:w="5916" w:space="0"/>
          </w:cols>
          <w:docGrid w:linePitch="360"/>
        </w:sectPr>
      </w:pPr>
    </w:p>
    <w:p>
      <w:pPr>
        <w:autoSpaceDN w:val="0"/>
        <w:tabs>
          <w:tab w:pos="516" w:val="left"/>
        </w:tabs>
        <w:autoSpaceDE w:val="0"/>
        <w:widowControl/>
        <w:spacing w:line="245" w:lineRule="auto" w:before="0" w:after="0"/>
        <w:ind w:left="336" w:right="576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• Genomic/epigenomic (deoxyribonucleic acid-based)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biomarkers.</w:t>
      </w:r>
    </w:p>
    <w:p>
      <w:pPr>
        <w:autoSpaceDN w:val="0"/>
        <w:autoSpaceDE w:val="0"/>
        <w:widowControl/>
        <w:spacing w:line="245" w:lineRule="auto" w:before="0" w:after="0"/>
        <w:ind w:left="336" w:right="864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>• Transcriptomic (ribonucleic acid-based) biomarkers.</w:t>
      </w:r>
      <w:r>
        <w:rPr>
          <w:rFonts w:ascii="Lora" w:hAnsi="Lora" w:eastAsia="Lora"/>
          <w:b w:val="0"/>
          <w:i w:val="0"/>
          <w:color w:val="000000"/>
          <w:sz w:val="18"/>
        </w:rPr>
        <w:t>• Proteomic (protein-based) biomarkers.</w:t>
      </w:r>
    </w:p>
    <w:p>
      <w:pPr>
        <w:autoSpaceDN w:val="0"/>
        <w:autoSpaceDE w:val="0"/>
        <w:widowControl/>
        <w:spacing w:line="223" w:lineRule="auto" w:before="0" w:after="0"/>
        <w:ind w:left="336" w:right="0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>• Metabolomic (metabolite-based) biomarkers.</w:t>
      </w:r>
    </w:p>
    <w:p>
      <w:pPr>
        <w:autoSpaceDN w:val="0"/>
        <w:autoSpaceDE w:val="0"/>
        <w:widowControl/>
        <w:spacing w:line="245" w:lineRule="auto" w:before="64" w:after="0"/>
        <w:ind w:left="156" w:right="672" w:firstLine="0"/>
        <w:jc w:val="both"/>
      </w:pPr>
      <w:r>
        <w:rPr>
          <w:rFonts w:ascii="Lora" w:hAnsi="Lora" w:eastAsia="Lora"/>
          <w:b/>
          <w:i w:val="0"/>
          <w:color w:val="000000"/>
          <w:sz w:val="18"/>
        </w:rPr>
        <w:t>Cost-benefit Analysis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: An analytical technique derived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from economic theory that enumerates and compares the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net costs of a health care intervention with the benefits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that arise because of applying that intervention. For this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technique, both the net costs and the benefits of the health </w:t>
      </w:r>
      <w:r>
        <w:rPr>
          <w:rFonts w:ascii="Lora" w:hAnsi="Lora" w:eastAsia="Lora"/>
          <w:b w:val="0"/>
          <w:i w:val="0"/>
          <w:color w:val="000000"/>
          <w:sz w:val="18"/>
        </w:rPr>
        <w:t>intervention are expressed in monetary units.</w:t>
      </w:r>
      <w:r>
        <w:rPr>
          <w:w w:val="104.94000434875488"/>
          <w:rFonts w:ascii="Lora" w:hAnsi="Lora" w:eastAsia="Lora"/>
          <w:b w:val="0"/>
          <w:i w:val="0"/>
          <w:color w:val="000000"/>
          <w:sz w:val="10"/>
        </w:rPr>
        <w:t>80</w:t>
      </w:r>
    </w:p>
    <w:p>
      <w:pPr>
        <w:autoSpaceDN w:val="0"/>
        <w:autoSpaceDE w:val="0"/>
        <w:widowControl/>
        <w:spacing w:line="245" w:lineRule="auto" w:before="64" w:after="0"/>
        <w:ind w:left="156" w:right="672" w:firstLine="0"/>
        <w:jc w:val="both"/>
      </w:pPr>
      <w:r>
        <w:rPr>
          <w:rFonts w:ascii="Lora" w:hAnsi="Lora" w:eastAsia="Lora"/>
          <w:b/>
          <w:i w:val="0"/>
          <w:color w:val="000000"/>
          <w:sz w:val="18"/>
        </w:rPr>
        <w:t>Cost-consequence Analysis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: An analytical technique that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compares the health intervention of interest to one or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more relevant alternatives, listing the cost components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and various outcomes of each intervention separately. This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type of economic analysis does not indicate the relative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importance of the components listed and leaves it to the </w:t>
      </w:r>
      <w:r>
        <w:rPr>
          <w:rFonts w:ascii="Lora" w:hAnsi="Lora" w:eastAsia="Lora"/>
          <w:b w:val="0"/>
          <w:i w:val="0"/>
          <w:color w:val="000000"/>
          <w:sz w:val="18"/>
        </w:rPr>
        <w:t>decision-maker to form their own view.</w:t>
      </w:r>
      <w:r>
        <w:rPr>
          <w:w w:val="104.94000434875488"/>
          <w:rFonts w:ascii="Lora" w:hAnsi="Lora" w:eastAsia="Lora"/>
          <w:b w:val="0"/>
          <w:i w:val="0"/>
          <w:color w:val="000000"/>
          <w:sz w:val="10"/>
        </w:rPr>
        <w:t>80</w:t>
      </w:r>
    </w:p>
    <w:p>
      <w:pPr>
        <w:autoSpaceDN w:val="0"/>
        <w:autoSpaceDE w:val="0"/>
        <w:widowControl/>
        <w:spacing w:line="245" w:lineRule="auto" w:before="64" w:after="0"/>
        <w:ind w:left="144" w:right="576" w:firstLine="0"/>
        <w:jc w:val="center"/>
      </w:pPr>
      <w:r>
        <w:rPr>
          <w:rFonts w:ascii="Lora" w:hAnsi="Lora" w:eastAsia="Lora"/>
          <w:b/>
          <w:i w:val="0"/>
          <w:color w:val="000000"/>
          <w:sz w:val="18"/>
        </w:rPr>
        <w:t>Cost-effectiveness Analysis</w:t>
      </w:r>
      <w:r>
        <w:rPr>
          <w:rFonts w:ascii="Lora" w:hAnsi="Lora" w:eastAsia="Lora"/>
          <w:b w:val="0"/>
          <w:i w:val="0"/>
          <w:color w:val="000000"/>
          <w:sz w:val="18"/>
        </w:rPr>
        <w:t>: A systematic method of com-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paring two or more alternative programs by measuring the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costs and consequences of each. A distinguishing feature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of cost-effectiveness analysis is that the consequences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(health outcomes) of all programs to be compared must be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measured in the same common units—natural units related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to the clinical objective of the programs (e.g., symptom-free </w:t>
      </w:r>
      <w:r>
        <w:rPr>
          <w:rFonts w:ascii="Lora" w:hAnsi="Lora" w:eastAsia="Lora"/>
          <w:b w:val="0"/>
          <w:i w:val="0"/>
          <w:color w:val="000000"/>
          <w:sz w:val="18"/>
        </w:rPr>
        <w:t>days gained, cases prevented, quality of life-years gained).</w:t>
      </w:r>
      <w:r>
        <w:rPr>
          <w:w w:val="104.94000434875488"/>
          <w:rFonts w:ascii="Lora" w:hAnsi="Lora" w:eastAsia="Lora"/>
          <w:b w:val="0"/>
          <w:i w:val="0"/>
          <w:color w:val="000000"/>
          <w:sz w:val="10"/>
        </w:rPr>
        <w:t>80</w:t>
      </w:r>
    </w:p>
    <w:p>
      <w:pPr>
        <w:autoSpaceDN w:val="0"/>
        <w:autoSpaceDE w:val="0"/>
        <w:widowControl/>
        <w:spacing w:line="245" w:lineRule="auto" w:before="64" w:after="0"/>
        <w:ind w:left="156" w:right="672" w:firstLine="0"/>
        <w:jc w:val="both"/>
      </w:pPr>
      <w:r>
        <w:rPr>
          <w:rFonts w:ascii="Lora" w:hAnsi="Lora" w:eastAsia="Lora"/>
          <w:b/>
          <w:i w:val="0"/>
          <w:color w:val="000000"/>
          <w:sz w:val="18"/>
        </w:rPr>
        <w:t>Cost-minimization Analysis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: A type of pharmacoeconomic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analysis comparing two alternative therapies only in terms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of costs because their outcomes (effectiveness and safety) </w:t>
      </w:r>
      <w:r>
        <w:rPr>
          <w:rFonts w:ascii="Lora" w:hAnsi="Lora" w:eastAsia="Lora"/>
          <w:b w:val="0"/>
          <w:i w:val="0"/>
          <w:color w:val="000000"/>
          <w:sz w:val="18"/>
        </w:rPr>
        <w:t>are found to be or expected to be identical.</w:t>
      </w:r>
      <w:r>
        <w:rPr>
          <w:w w:val="104.94000434875488"/>
          <w:rFonts w:ascii="Lora" w:hAnsi="Lora" w:eastAsia="Lora"/>
          <w:b w:val="0"/>
          <w:i w:val="0"/>
          <w:color w:val="000000"/>
          <w:sz w:val="10"/>
        </w:rPr>
        <w:t>80</w:t>
      </w:r>
    </w:p>
    <w:p>
      <w:pPr>
        <w:autoSpaceDN w:val="0"/>
        <w:autoSpaceDE w:val="0"/>
        <w:widowControl/>
        <w:spacing w:line="245" w:lineRule="auto" w:before="64" w:after="0"/>
        <w:ind w:left="156" w:right="672" w:firstLine="0"/>
        <w:jc w:val="both"/>
      </w:pPr>
      <w:r>
        <w:rPr>
          <w:rFonts w:ascii="Lora" w:hAnsi="Lora" w:eastAsia="Lora"/>
          <w:b/>
          <w:i w:val="0"/>
          <w:color w:val="000000"/>
          <w:sz w:val="18"/>
        </w:rPr>
        <w:t>Cost-utility Analysis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: A specific type of cost-effectiveness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analysis that compares two or more alternative choices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in terms of both their costs and outcomes, where the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outcomes are measures of utility or preference, often as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quality-adjusted life-years gained. Cost-utility analysis has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been considered the standard methodology for evaluating </w:t>
      </w:r>
      <w:r>
        <w:rPr>
          <w:rFonts w:ascii="Lora" w:hAnsi="Lora" w:eastAsia="Lora"/>
          <w:b w:val="0"/>
          <w:i w:val="0"/>
          <w:color w:val="000000"/>
          <w:sz w:val="18"/>
        </w:rPr>
        <w:t>the cost-effectiveness of health care choices.</w:t>
      </w:r>
      <w:r>
        <w:rPr>
          <w:w w:val="104.94000434875488"/>
          <w:rFonts w:ascii="Lora" w:hAnsi="Lora" w:eastAsia="Lora"/>
          <w:b w:val="0"/>
          <w:i w:val="0"/>
          <w:color w:val="000000"/>
          <w:sz w:val="10"/>
        </w:rPr>
        <w:t>80</w:t>
      </w:r>
    </w:p>
    <w:p>
      <w:pPr>
        <w:autoSpaceDN w:val="0"/>
        <w:autoSpaceDE w:val="0"/>
        <w:widowControl/>
        <w:spacing w:line="245" w:lineRule="auto" w:before="64" w:after="0"/>
        <w:ind w:left="156" w:right="576" w:firstLine="0"/>
        <w:jc w:val="left"/>
      </w:pPr>
      <w:r>
        <w:rPr>
          <w:rFonts w:ascii="Lora" w:hAnsi="Lora" w:eastAsia="Lora"/>
          <w:b/>
          <w:i w:val="0"/>
          <w:color w:val="000000"/>
          <w:sz w:val="18"/>
        </w:rPr>
        <w:t>Decision Analysis</w:t>
      </w:r>
      <w:r>
        <w:rPr>
          <w:rFonts w:ascii="Lora" w:hAnsi="Lora" w:eastAsia="Lora"/>
          <w:b w:val="0"/>
          <w:i w:val="0"/>
          <w:color w:val="000000"/>
          <w:sz w:val="18"/>
        </w:rPr>
        <w:t>: A quantitative approach to decision-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making under conditions of uncertainty in which all relevant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elements of the decision—alternative actions, chance events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(along with their probabilities of occurrence), and final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consequences—are stated explicitly in a model. Multiple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types of data can be incorporated from a variety of sources.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This model typically takes the form of a decision tree or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an influence diagram and permits the decision-maker to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systematically determine the relative value of alternative </w:t>
      </w:r>
      <w:r>
        <w:rPr>
          <w:rFonts w:ascii="Lora" w:hAnsi="Lora" w:eastAsia="Lora"/>
          <w:b w:val="0"/>
          <w:i w:val="0"/>
          <w:color w:val="000000"/>
          <w:sz w:val="18"/>
        </w:rPr>
        <w:t>courses of action.</w:t>
      </w:r>
      <w:r>
        <w:rPr>
          <w:w w:val="104.94000434875488"/>
          <w:rFonts w:ascii="Lora" w:hAnsi="Lora" w:eastAsia="Lora"/>
          <w:b w:val="0"/>
          <w:i w:val="0"/>
          <w:color w:val="000000"/>
          <w:sz w:val="10"/>
        </w:rPr>
        <w:t>80</w:t>
      </w:r>
    </w:p>
    <w:p>
      <w:pPr>
        <w:autoSpaceDN w:val="0"/>
        <w:autoSpaceDE w:val="0"/>
        <w:widowControl/>
        <w:spacing w:line="186" w:lineRule="exact" w:before="354" w:after="0"/>
        <w:ind w:left="0" w:right="742" w:firstLine="0"/>
        <w:jc w:val="right"/>
      </w:pPr>
      <w:r>
        <w:rPr>
          <w:rFonts w:ascii="Asap" w:hAnsi="Asap" w:eastAsia="Asap"/>
          <w:b w:val="0"/>
          <w:i w:val="0"/>
          <w:color w:val="474C55"/>
          <w:sz w:val="14"/>
        </w:rPr>
        <w:t>Vol. 30, No. 4-b</w:t>
      </w:r>
      <w:r>
        <w:rPr>
          <w:rFonts w:ascii="Asap" w:hAnsi="Asap" w:eastAsia="Asap"/>
          <w:b w:val="0"/>
          <w:i w:val="0"/>
          <w:color w:val="474C55"/>
          <w:sz w:val="14"/>
        </w:rPr>
        <w:t>|</w:t>
      </w:r>
      <w:r>
        <w:rPr>
          <w:rFonts w:ascii="Asap" w:hAnsi="Asap" w:eastAsia="Asap"/>
          <w:b w:val="0"/>
          <w:i w:val="0"/>
          <w:color w:val="474C55"/>
          <w:sz w:val="14"/>
        </w:rPr>
        <w:t>April 2024</w:t>
      </w:r>
      <w:r>
        <w:rPr>
          <w:rFonts w:ascii="Asap" w:hAnsi="Asap" w:eastAsia="Asap"/>
          <w:b w:val="0"/>
          <w:i w:val="0"/>
          <w:color w:val="474C55"/>
          <w:sz w:val="14"/>
        </w:rPr>
        <w:t>|</w:t>
      </w:r>
      <w:r>
        <w:rPr>
          <w:rFonts w:ascii="Asap" w:hAnsi="Asap" w:eastAsia="Asap"/>
          <w:b/>
          <w:i w:val="0"/>
          <w:color w:val="14377D"/>
          <w:sz w:val="14"/>
        </w:rPr>
        <w:t xml:space="preserve"> JMCP</w:t>
      </w:r>
      <w:r>
        <w:rPr>
          <w:rFonts w:ascii="Asap" w:hAnsi="Asap" w:eastAsia="Asap"/>
          <w:b w:val="0"/>
          <w:i w:val="0"/>
          <w:color w:val="14377D"/>
          <w:sz w:val="14"/>
        </w:rPr>
        <w:t>.org</w:t>
      </w:r>
    </w:p>
    <w:p>
      <w:pPr>
        <w:sectPr>
          <w:type w:val="nextColumn"/>
          <w:pgSz w:w="11880" w:h="15660"/>
          <w:pgMar w:top="360" w:right="0" w:bottom="266" w:left="698" w:header="720" w:footer="720" w:gutter="0"/>
          <w:cols w:num="2" w:equalWidth="0">
            <w:col w:w="5266" w:space="0"/>
            <w:col w:w="5916" w:space="0"/>
          </w:cols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883"/>
        <w:gridCol w:w="4883"/>
      </w:tblGrid>
      <w:tr>
        <w:trPr>
          <w:trHeight w:hRule="exact" w:val="362"/>
        </w:trPr>
        <w:tc>
          <w:tcPr>
            <w:tcW w:type="dxa" w:w="1094"/>
            <w:tcBorders/>
            <w:shd w:fill="6b146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4" w:after="0"/>
              <w:ind w:left="0" w:right="90" w:firstLine="0"/>
              <w:jc w:val="right"/>
            </w:pPr>
            <w:r>
              <w:rPr>
                <w:rFonts w:ascii="Asap" w:hAnsi="Asap" w:eastAsia="Asap"/>
                <w:b/>
                <w:i w:val="0"/>
                <w:color w:val="FFFFFF"/>
                <w:sz w:val="18"/>
              </w:rPr>
              <w:t>52</w:t>
            </w:r>
          </w:p>
        </w:tc>
        <w:tc>
          <w:tcPr>
            <w:tcW w:type="dxa" w:w="584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4" w:after="0"/>
              <w:ind w:left="90" w:right="0" w:firstLine="0"/>
              <w:jc w:val="left"/>
            </w:pPr>
            <w:r>
              <w:rPr>
                <w:rFonts w:ascii="Asap" w:hAnsi="Asap" w:eastAsia="Asap"/>
                <w:b/>
                <w:i w:val="0"/>
                <w:color w:val="474C55"/>
                <w:sz w:val="18"/>
              </w:rPr>
              <w:t>AMCP FORMAT 5.0</w:t>
            </w:r>
          </w:p>
        </w:tc>
      </w:tr>
    </w:tbl>
    <w:p>
      <w:pPr>
        <w:autoSpaceDN w:val="0"/>
        <w:autoSpaceDE w:val="0"/>
        <w:widowControl/>
        <w:spacing w:line="14" w:lineRule="exact" w:before="0" w:after="1022"/>
        <w:ind w:left="0" w:right="0"/>
      </w:pPr>
    </w:p>
    <w:p>
      <w:pPr>
        <w:sectPr>
          <w:pgSz w:w="11880" w:h="15660"/>
          <w:pgMar w:top="360" w:right="674" w:bottom="266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45" w:lineRule="auto" w:before="0" w:after="0"/>
        <w:ind w:left="698" w:right="156" w:firstLine="0"/>
        <w:jc w:val="both"/>
      </w:pPr>
      <w:r>
        <w:rPr>
          <w:rFonts w:ascii="Lora" w:hAnsi="Lora" w:eastAsia="Lora"/>
          <w:b/>
          <w:i w:val="0"/>
          <w:color w:val="000000"/>
          <w:sz w:val="18"/>
        </w:rPr>
        <w:t>Decision Tree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: A schematic diagram depicting the logical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structure of a choice under conditions of uncertainty,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including all relevant alternative decisions available to the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decision-maker as well as the values and probabilities of all </w:t>
      </w:r>
      <w:r>
        <w:rPr>
          <w:rFonts w:ascii="Lora" w:hAnsi="Lora" w:eastAsia="Lora"/>
          <w:b w:val="0"/>
          <w:i w:val="0"/>
          <w:color w:val="000000"/>
          <w:sz w:val="18"/>
        </w:rPr>
        <w:t>relevant downstream consequences.</w:t>
      </w:r>
      <w:r>
        <w:rPr>
          <w:w w:val="104.94000434875488"/>
          <w:rFonts w:ascii="Lora" w:hAnsi="Lora" w:eastAsia="Lora"/>
          <w:b w:val="0"/>
          <w:i w:val="0"/>
          <w:color w:val="000000"/>
          <w:sz w:val="10"/>
        </w:rPr>
        <w:t>80</w:t>
      </w:r>
    </w:p>
    <w:p>
      <w:pPr>
        <w:autoSpaceDN w:val="0"/>
        <w:autoSpaceDE w:val="0"/>
        <w:widowControl/>
        <w:spacing w:line="245" w:lineRule="auto" w:before="64" w:after="0"/>
        <w:ind w:left="698" w:right="156" w:firstLine="0"/>
        <w:jc w:val="both"/>
      </w:pPr>
      <w:r>
        <w:rPr>
          <w:rFonts w:ascii="Lora" w:hAnsi="Lora" w:eastAsia="Lora"/>
          <w:b/>
          <w:i w:val="0"/>
          <w:color w:val="000000"/>
          <w:sz w:val="18"/>
        </w:rPr>
        <w:t>Digital Therapeutics: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 Health software intended to treat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or alleviate a disease, disorder, condition, or injury by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generating and delivering a medical intervention that has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demonstrable positive therapeutic impact on a patient’s </w:t>
      </w:r>
      <w:r>
        <w:rPr>
          <w:rFonts w:ascii="Lora" w:hAnsi="Lora" w:eastAsia="Lora"/>
          <w:b w:val="0"/>
          <w:i w:val="0"/>
          <w:color w:val="000000"/>
          <w:sz w:val="18"/>
        </w:rPr>
        <w:t>health.</w:t>
      </w:r>
      <w:r>
        <w:rPr>
          <w:w w:val="104.94000434875488"/>
          <w:rFonts w:ascii="Lora" w:hAnsi="Lora" w:eastAsia="Lora"/>
          <w:b w:val="0"/>
          <w:i w:val="0"/>
          <w:color w:val="000000"/>
          <w:sz w:val="10"/>
        </w:rPr>
        <w:t>54,81</w:t>
      </w:r>
    </w:p>
    <w:p>
      <w:pPr>
        <w:autoSpaceDN w:val="0"/>
        <w:autoSpaceDE w:val="0"/>
        <w:widowControl/>
        <w:spacing w:line="245" w:lineRule="auto" w:before="64" w:after="0"/>
        <w:ind w:left="698" w:right="144" w:firstLine="0"/>
        <w:jc w:val="left"/>
      </w:pPr>
      <w:r>
        <w:rPr>
          <w:rFonts w:ascii="Lora" w:hAnsi="Lora" w:eastAsia="Lora"/>
          <w:b/>
          <w:i w:val="0"/>
          <w:color w:val="000000"/>
          <w:sz w:val="18"/>
        </w:rPr>
        <w:t>Effectiveness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: The actual effects of treatment by the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product under “real life” conditions (e.g., patients not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always remembering to take their doses, physicians often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prescribing doses less than the lowest FDA recommended </w:t>
      </w:r>
      <w:r>
        <w:rPr>
          <w:rFonts w:ascii="Lora" w:hAnsi="Lora" w:eastAsia="Lora"/>
          <w:b w:val="0"/>
          <w:i w:val="0"/>
          <w:color w:val="000000"/>
          <w:sz w:val="18"/>
        </w:rPr>
        <w:t>dose, side effects not all controlled). Head-to-head effec-</w:t>
      </w:r>
      <w:r>
        <w:rPr>
          <w:rFonts w:ascii="Lora" w:hAnsi="Lora" w:eastAsia="Lora"/>
          <w:b w:val="0"/>
          <w:i w:val="0"/>
          <w:color w:val="000000"/>
          <w:sz w:val="18"/>
        </w:rPr>
        <w:t>tiveness studies with similar products are preferable.</w:t>
      </w:r>
    </w:p>
    <w:p>
      <w:pPr>
        <w:autoSpaceDN w:val="0"/>
        <w:autoSpaceDE w:val="0"/>
        <w:widowControl/>
        <w:spacing w:line="245" w:lineRule="auto" w:before="64" w:after="0"/>
        <w:ind w:left="698" w:right="144" w:firstLine="0"/>
        <w:jc w:val="left"/>
      </w:pPr>
      <w:r>
        <w:rPr>
          <w:rFonts w:ascii="Lora" w:hAnsi="Lora" w:eastAsia="Lora"/>
          <w:b/>
          <w:i w:val="0"/>
          <w:color w:val="000000"/>
          <w:sz w:val="18"/>
        </w:rPr>
        <w:t>Efficacy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: The </w:t>
      </w:r>
      <w:r>
        <w:rPr>
          <w:rFonts w:ascii="Lora" w:hAnsi="Lora" w:eastAsia="Lora"/>
          <w:b w:val="0"/>
          <w:i/>
          <w:color w:val="000000"/>
          <w:sz w:val="18"/>
        </w:rPr>
        <w:t>potential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 effects of treatment by the product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under optimal circumstances (e.g., patients all taking their </w:t>
      </w:r>
      <w:r>
        <w:rPr>
          <w:rFonts w:ascii="Lora" w:hAnsi="Lora" w:eastAsia="Lora"/>
          <w:b w:val="0"/>
          <w:i w:val="0"/>
          <w:color w:val="000000"/>
          <w:sz w:val="18"/>
        </w:rPr>
        <w:t>doses at the right times, physicians prescribing FDA-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recommended doses, side effects appropriately monitored).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Efficacy studies are typically the foundation of product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submissions to the FDA. Studies that compare the efficacy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of therapeutic alternatives, rather than to placebo, are </w:t>
      </w:r>
      <w:r>
        <w:rPr>
          <w:rFonts w:ascii="Lora" w:hAnsi="Lora" w:eastAsia="Lora"/>
          <w:b w:val="0"/>
          <w:i w:val="0"/>
          <w:color w:val="000000"/>
          <w:sz w:val="18"/>
        </w:rPr>
        <w:t>preferable.</w:t>
      </w:r>
    </w:p>
    <w:p>
      <w:pPr>
        <w:autoSpaceDN w:val="0"/>
        <w:autoSpaceDE w:val="0"/>
        <w:widowControl/>
        <w:spacing w:line="245" w:lineRule="auto" w:before="64" w:after="0"/>
        <w:ind w:left="698" w:right="144" w:firstLine="0"/>
        <w:jc w:val="left"/>
      </w:pPr>
      <w:r>
        <w:rPr>
          <w:rFonts w:ascii="Lora" w:hAnsi="Lora" w:eastAsia="Lora"/>
          <w:b/>
          <w:i w:val="0"/>
          <w:color w:val="000000"/>
          <w:sz w:val="18"/>
        </w:rPr>
        <w:t>Evidence-based Medicine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: An approach to health care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decision-making in which the decision-maker is aware of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all the relevant evidence and its strengths and weaknesses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and is then able to apply that knowledge to decisions.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Evidence-based medicine, therefore, consists of clinical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expertise and patient preferences combined with critical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appraisal of clinical research, with the goal of providing </w:t>
      </w:r>
      <w:r>
        <w:rPr>
          <w:rFonts w:ascii="Lora" w:hAnsi="Lora" w:eastAsia="Lora"/>
          <w:b w:val="0"/>
          <w:i w:val="0"/>
          <w:color w:val="000000"/>
          <w:sz w:val="18"/>
        </w:rPr>
        <w:t>optimal individual patient care. Optimal care thus consid-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ers patient outcomes and the relative efficiencies among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competing alternatives, as demonstrated in the medical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literature. This approach to patient care demands that the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decision-maker’s expertise and the appraisal of the clinical </w:t>
      </w:r>
      <w:r>
        <w:rPr>
          <w:rFonts w:ascii="Lora" w:hAnsi="Lora" w:eastAsia="Lora"/>
          <w:b w:val="0"/>
          <w:i w:val="0"/>
          <w:color w:val="000000"/>
          <w:sz w:val="18"/>
        </w:rPr>
        <w:t>evidence base are up to date.</w:t>
      </w:r>
      <w:r>
        <w:rPr>
          <w:w w:val="104.94000434875488"/>
          <w:rFonts w:ascii="Lora" w:hAnsi="Lora" w:eastAsia="Lora"/>
          <w:b w:val="0"/>
          <w:i w:val="0"/>
          <w:color w:val="000000"/>
          <w:sz w:val="10"/>
        </w:rPr>
        <w:t>82</w:t>
      </w:r>
    </w:p>
    <w:p>
      <w:pPr>
        <w:autoSpaceDN w:val="0"/>
        <w:autoSpaceDE w:val="0"/>
        <w:widowControl/>
        <w:spacing w:line="245" w:lineRule="auto" w:before="66" w:after="0"/>
        <w:ind w:left="698" w:right="144" w:firstLine="0"/>
        <w:jc w:val="left"/>
      </w:pPr>
      <w:r>
        <w:rPr>
          <w:rFonts w:ascii="Lora" w:hAnsi="Lora" w:eastAsia="Lora"/>
          <w:b/>
          <w:i w:val="0"/>
          <w:color w:val="000000"/>
          <w:sz w:val="18"/>
        </w:rPr>
        <w:t>Evidence-based Medicine—Alternative Definition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: The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conscientious, explicit, and judicious use of current best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evidence in making decisions about the care of individual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patients. The practice of evidence- based medicine means </w:t>
      </w:r>
      <w:r>
        <w:rPr>
          <w:rFonts w:ascii="Lora" w:hAnsi="Lora" w:eastAsia="Lora"/>
          <w:b w:val="0"/>
          <w:i w:val="0"/>
          <w:color w:val="000000"/>
          <w:sz w:val="18"/>
        </w:rPr>
        <w:t>integrating individual clinical expertise with the best avail-</w:t>
      </w:r>
      <w:r>
        <w:rPr>
          <w:rFonts w:ascii="Lora" w:hAnsi="Lora" w:eastAsia="Lora"/>
          <w:b w:val="0"/>
          <w:i w:val="0"/>
          <w:color w:val="000000"/>
          <w:sz w:val="18"/>
        </w:rPr>
        <w:t>able external clinical evidence from systematic research.</w:t>
      </w:r>
    </w:p>
    <w:p>
      <w:pPr>
        <w:autoSpaceDN w:val="0"/>
        <w:autoSpaceDE w:val="0"/>
        <w:widowControl/>
        <w:spacing w:line="245" w:lineRule="auto" w:before="64" w:after="0"/>
        <w:ind w:left="698" w:right="144" w:firstLine="0"/>
        <w:jc w:val="left"/>
      </w:pPr>
      <w:r>
        <w:rPr>
          <w:rFonts w:ascii="Lora" w:hAnsi="Lora" w:eastAsia="Lora"/>
          <w:b/>
          <w:i w:val="0"/>
          <w:color w:val="000000"/>
          <w:sz w:val="18"/>
        </w:rPr>
        <w:t>Formulary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: A periodically updated list of medications and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related products and therapies that includes information </w:t>
      </w:r>
      <w:r>
        <w:rPr>
          <w:rFonts w:ascii="Lora" w:hAnsi="Lora" w:eastAsia="Lora"/>
          <w:b w:val="0"/>
          <w:i w:val="0"/>
          <w:color w:val="000000"/>
          <w:sz w:val="18"/>
        </w:rPr>
        <w:t>representing the clinical judgment of physicians, pharma-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cists, and other experts in the diagnosis and treatment of </w:t>
      </w:r>
      <w:r>
        <w:rPr>
          <w:rFonts w:ascii="Lora" w:hAnsi="Lora" w:eastAsia="Lora"/>
          <w:b w:val="0"/>
          <w:i w:val="0"/>
          <w:color w:val="000000"/>
          <w:sz w:val="18"/>
        </w:rPr>
        <w:t>disease and promotion of health.</w:t>
      </w:r>
    </w:p>
    <w:p>
      <w:pPr>
        <w:autoSpaceDN w:val="0"/>
        <w:autoSpaceDE w:val="0"/>
        <w:widowControl/>
        <w:spacing w:line="186" w:lineRule="exact" w:before="732" w:after="0"/>
        <w:ind w:left="740" w:right="0" w:firstLine="0"/>
        <w:jc w:val="left"/>
      </w:pPr>
      <w:r>
        <w:rPr>
          <w:rFonts w:ascii="Asap" w:hAnsi="Asap" w:eastAsia="Asap"/>
          <w:b/>
          <w:i w:val="0"/>
          <w:color w:val="14377D"/>
          <w:sz w:val="14"/>
        </w:rPr>
        <w:t>JMCP</w:t>
      </w:r>
      <w:r>
        <w:rPr>
          <w:rFonts w:ascii="Asap" w:hAnsi="Asap" w:eastAsia="Asap"/>
          <w:b w:val="0"/>
          <w:i w:val="0"/>
          <w:color w:val="14377D"/>
          <w:sz w:val="14"/>
        </w:rPr>
        <w:t>.org</w:t>
      </w:r>
      <w:r>
        <w:rPr>
          <w:rFonts w:ascii="Asap" w:hAnsi="Asap" w:eastAsia="Asap"/>
          <w:b w:val="0"/>
          <w:i w:val="0"/>
          <w:color w:val="474C55"/>
          <w:sz w:val="14"/>
        </w:rPr>
        <w:t>|</w:t>
      </w:r>
      <w:r>
        <w:rPr>
          <w:rFonts w:ascii="Asap" w:hAnsi="Asap" w:eastAsia="Asap"/>
          <w:b w:val="0"/>
          <w:i w:val="0"/>
          <w:color w:val="474C55"/>
          <w:sz w:val="14"/>
        </w:rPr>
        <w:t>April 2024</w:t>
      </w:r>
      <w:r>
        <w:rPr>
          <w:rFonts w:ascii="Asap" w:hAnsi="Asap" w:eastAsia="Asap"/>
          <w:b w:val="0"/>
          <w:i w:val="0"/>
          <w:color w:val="474C55"/>
          <w:sz w:val="14"/>
        </w:rPr>
        <w:t>|</w:t>
      </w:r>
      <w:r>
        <w:rPr>
          <w:rFonts w:ascii="Asap" w:hAnsi="Asap" w:eastAsia="Asap"/>
          <w:b w:val="0"/>
          <w:i w:val="0"/>
          <w:color w:val="474C55"/>
          <w:sz w:val="14"/>
        </w:rPr>
        <w:t>Vol. 30, No. 4-B</w:t>
      </w:r>
    </w:p>
    <w:p>
      <w:pPr>
        <w:sectPr>
          <w:type w:val="continuous"/>
          <w:pgSz w:w="11880" w:h="15660"/>
          <w:pgMar w:top="360" w:right="674" w:bottom="266" w:left="0" w:header="720" w:footer="720" w:gutter="0"/>
          <w:cols w:num="2" w:equalWidth="0">
            <w:col w:w="5942" w:space="0"/>
            <w:col w:w="5263" w:space="0"/>
          </w:cols>
          <w:docGrid w:linePitch="360"/>
        </w:sectPr>
      </w:pPr>
    </w:p>
    <w:p>
      <w:pPr>
        <w:autoSpaceDN w:val="0"/>
        <w:autoSpaceDE w:val="0"/>
        <w:widowControl/>
        <w:spacing w:line="245" w:lineRule="auto" w:before="0" w:after="0"/>
        <w:ind w:left="156" w:right="20" w:firstLine="0"/>
        <w:jc w:val="both"/>
      </w:pPr>
      <w:r>
        <w:rPr>
          <w:rFonts w:ascii="Lora" w:hAnsi="Lora" w:eastAsia="Lora"/>
          <w:b/>
          <w:i w:val="0"/>
          <w:color w:val="000000"/>
          <w:sz w:val="18"/>
        </w:rPr>
        <w:t>Formulary System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: An ongoing process whereby a health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care system, through its physicians, pharmacists, and other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health care professionals, identifies and establishes policies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on the use of drugs and related products and therapies that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are the most medically appropriate and cost-effective to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best serve the health interests of the patient populations it </w:t>
      </w:r>
      <w:r>
        <w:rPr>
          <w:rFonts w:ascii="Lora" w:hAnsi="Lora" w:eastAsia="Lora"/>
          <w:b w:val="0"/>
          <w:i w:val="0"/>
          <w:color w:val="000000"/>
          <w:sz w:val="18"/>
        </w:rPr>
        <w:t>represents.</w:t>
      </w:r>
    </w:p>
    <w:p>
      <w:pPr>
        <w:autoSpaceDN w:val="0"/>
        <w:autoSpaceDE w:val="0"/>
        <w:widowControl/>
        <w:spacing w:line="245" w:lineRule="auto" w:before="64" w:after="0"/>
        <w:ind w:left="156" w:right="20" w:firstLine="0"/>
        <w:jc w:val="both"/>
      </w:pPr>
      <w:r>
        <w:rPr>
          <w:rFonts w:ascii="Lora" w:hAnsi="Lora" w:eastAsia="Lora"/>
          <w:b/>
          <w:i w:val="0"/>
          <w:color w:val="000000"/>
          <w:sz w:val="18"/>
        </w:rPr>
        <w:t>Health Economics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: A discipline that analyzes the economic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aspects of health and health care and that usually focuses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on the costs (inputs) and the consequences (outputs) of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health care interventions using methods and theories from </w:t>
      </w:r>
      <w:r>
        <w:rPr>
          <w:rFonts w:ascii="Lora" w:hAnsi="Lora" w:eastAsia="Lora"/>
          <w:b w:val="0"/>
          <w:i w:val="0"/>
          <w:color w:val="000000"/>
          <w:sz w:val="18"/>
        </w:rPr>
        <w:t>economics and medicine.</w:t>
      </w:r>
      <w:r>
        <w:rPr>
          <w:w w:val="104.94000434875488"/>
          <w:rFonts w:ascii="Lora" w:hAnsi="Lora" w:eastAsia="Lora"/>
          <w:b w:val="0"/>
          <w:i w:val="0"/>
          <w:color w:val="000000"/>
          <w:sz w:val="10"/>
        </w:rPr>
        <w:t>80</w:t>
      </w:r>
    </w:p>
    <w:p>
      <w:pPr>
        <w:autoSpaceDN w:val="0"/>
        <w:autoSpaceDE w:val="0"/>
        <w:widowControl/>
        <w:spacing w:line="245" w:lineRule="auto" w:before="64" w:after="0"/>
        <w:ind w:left="156" w:right="0" w:firstLine="0"/>
        <w:jc w:val="left"/>
      </w:pPr>
      <w:r>
        <w:rPr>
          <w:rFonts w:ascii="Lora" w:hAnsi="Lora" w:eastAsia="Lora"/>
          <w:b/>
          <w:i w:val="0"/>
          <w:color w:val="000000"/>
          <w:sz w:val="18"/>
        </w:rPr>
        <w:t>Health-related Quality of Life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: A broad theoretical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construct developed to explain and organize measures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concerned with the evaluation of health status, attitudes, </w:t>
      </w:r>
      <w:r>
        <w:rPr>
          <w:rFonts w:ascii="Lora" w:hAnsi="Lora" w:eastAsia="Lora"/>
          <w:b w:val="0"/>
          <w:i w:val="0"/>
          <w:color w:val="000000"/>
          <w:sz w:val="18"/>
        </w:rPr>
        <w:t>values, perceived levels of satisfaction, and general well-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being with respect to either specific health conditions or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life from the individual’s perspective. (See Patient-reported </w:t>
      </w:r>
      <w:r>
        <w:rPr>
          <w:rFonts w:ascii="Lora" w:hAnsi="Lora" w:eastAsia="Lora"/>
          <w:b w:val="0"/>
          <w:i w:val="0"/>
          <w:color w:val="000000"/>
          <w:sz w:val="18"/>
        </w:rPr>
        <w:t>Outcomes.)</w:t>
      </w:r>
      <w:r>
        <w:rPr>
          <w:w w:val="104.94000434875488"/>
          <w:rFonts w:ascii="Lora" w:hAnsi="Lora" w:eastAsia="Lora"/>
          <w:b w:val="0"/>
          <w:i w:val="0"/>
          <w:color w:val="000000"/>
          <w:sz w:val="10"/>
        </w:rPr>
        <w:t>80</w:t>
      </w:r>
    </w:p>
    <w:p>
      <w:pPr>
        <w:autoSpaceDN w:val="0"/>
        <w:autoSpaceDE w:val="0"/>
        <w:widowControl/>
        <w:spacing w:line="245" w:lineRule="auto" w:before="64" w:after="0"/>
        <w:ind w:left="156" w:right="0" w:firstLine="0"/>
        <w:jc w:val="left"/>
      </w:pPr>
      <w:r>
        <w:rPr>
          <w:rFonts w:ascii="Lora" w:hAnsi="Lora" w:eastAsia="Lora"/>
          <w:b/>
          <w:i w:val="0"/>
          <w:color w:val="000000"/>
          <w:sz w:val="18"/>
        </w:rPr>
        <w:t>Incremental Cost-effectiveness Ratio (ICER)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: ICER is a </w:t>
      </w:r>
      <w:r>
        <w:rPr>
          <w:rFonts w:ascii="Lora" w:hAnsi="Lora" w:eastAsia="Lora"/>
          <w:b w:val="0"/>
          <w:i w:val="0"/>
          <w:color w:val="000000"/>
          <w:sz w:val="18"/>
        </w:rPr>
        <w:t>common metric used to evaluate results of cost-effective-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ness and cost-utility analyses. ICER is the difference in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costs divided by the difference in outcomes between two </w:t>
      </w:r>
      <w:r>
        <w:rPr>
          <w:rFonts w:ascii="Lora" w:hAnsi="Lora" w:eastAsia="Lora"/>
          <w:b w:val="0"/>
          <w:i w:val="0"/>
          <w:color w:val="000000"/>
          <w:sz w:val="18"/>
        </w:rPr>
        <w:t>comparators.</w:t>
      </w:r>
      <w:r>
        <w:rPr>
          <w:w w:val="104.94000434875488"/>
          <w:rFonts w:ascii="Lora" w:hAnsi="Lora" w:eastAsia="Lora"/>
          <w:b w:val="0"/>
          <w:i w:val="0"/>
          <w:color w:val="000000"/>
          <w:sz w:val="10"/>
        </w:rPr>
        <w:t>80</w:t>
      </w:r>
    </w:p>
    <w:p>
      <w:pPr>
        <w:autoSpaceDN w:val="0"/>
        <w:autoSpaceDE w:val="0"/>
        <w:widowControl/>
        <w:spacing w:line="245" w:lineRule="auto" w:before="64" w:after="0"/>
        <w:ind w:left="156" w:right="0" w:firstLine="0"/>
        <w:jc w:val="left"/>
      </w:pPr>
      <w:r>
        <w:rPr>
          <w:rFonts w:ascii="Lora" w:hAnsi="Lora" w:eastAsia="Lora"/>
          <w:b/>
          <w:i w:val="0"/>
          <w:color w:val="000000"/>
          <w:sz w:val="18"/>
        </w:rPr>
        <w:t>Interchangeable Biosimilar</w:t>
      </w:r>
      <w:r>
        <w:rPr>
          <w:rFonts w:ascii="Lora" w:hAnsi="Lora" w:eastAsia="Lora"/>
          <w:b w:val="0"/>
          <w:i w:val="0"/>
          <w:color w:val="000000"/>
          <w:sz w:val="18"/>
        </w:rPr>
        <w:t>: The standard for “interchange-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ability” includes (1) biosimilarity to the reference product,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(2) demonstration that the product “can be expected to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produce the same clinical result as the reference product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in any given patient,” and (3) proof that the risk in terms of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safety or diminishing efficacy of alternating between the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biosimilar and reference product is not greater than the risk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of continuous use of the reference product. Interchangeable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biosimilars may be substituted for the reference product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without prescriber intervention, though differences in state </w:t>
      </w:r>
      <w:r>
        <w:rPr>
          <w:rFonts w:ascii="Lora" w:hAnsi="Lora" w:eastAsia="Lora"/>
          <w:b w:val="0"/>
          <w:i w:val="0"/>
          <w:color w:val="000000"/>
          <w:sz w:val="18"/>
        </w:rPr>
        <w:t>laws limit the generalizability of automatic substitution.</w:t>
      </w:r>
      <w:r>
        <w:rPr>
          <w:w w:val="104.94000434875488"/>
          <w:rFonts w:ascii="Lora" w:hAnsi="Lora" w:eastAsia="Lora"/>
          <w:b w:val="0"/>
          <w:i w:val="0"/>
          <w:color w:val="000000"/>
          <w:sz w:val="10"/>
        </w:rPr>
        <w:t>15</w:t>
      </w:r>
    </w:p>
    <w:p>
      <w:pPr>
        <w:autoSpaceDN w:val="0"/>
        <w:autoSpaceDE w:val="0"/>
        <w:widowControl/>
        <w:spacing w:line="245" w:lineRule="auto" w:before="64" w:after="0"/>
        <w:ind w:left="156" w:right="20" w:firstLine="0"/>
        <w:jc w:val="both"/>
      </w:pPr>
      <w:r>
        <w:rPr>
          <w:rFonts w:ascii="Lora" w:hAnsi="Lora" w:eastAsia="Lora"/>
          <w:b/>
          <w:i w:val="0"/>
          <w:color w:val="000000"/>
          <w:sz w:val="18"/>
        </w:rPr>
        <w:t>Markov Model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: A complex health economics treatment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model that describes the natural history of particular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diseases, with or without treatment. To capture all critical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events, Markov models can categorize health status with a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higher level of detail and divide the model’s time perspective </w:t>
      </w:r>
      <w:r>
        <w:rPr>
          <w:rFonts w:ascii="Lora" w:hAnsi="Lora" w:eastAsia="Lora"/>
          <w:b w:val="0"/>
          <w:i w:val="0"/>
          <w:color w:val="000000"/>
          <w:sz w:val="18"/>
        </w:rPr>
        <w:t>into finer intervals than is possible with decision trees.</w:t>
      </w:r>
      <w:r>
        <w:rPr>
          <w:w w:val="104.94000434875488"/>
          <w:rFonts w:ascii="Lora" w:hAnsi="Lora" w:eastAsia="Lora"/>
          <w:b w:val="0"/>
          <w:i w:val="0"/>
          <w:color w:val="000000"/>
          <w:sz w:val="10"/>
        </w:rPr>
        <w:t>80</w:t>
      </w:r>
    </w:p>
    <w:p>
      <w:pPr>
        <w:autoSpaceDN w:val="0"/>
        <w:autoSpaceDE w:val="0"/>
        <w:widowControl/>
        <w:spacing w:line="245" w:lineRule="auto" w:before="40" w:after="0"/>
        <w:ind w:left="156" w:right="20" w:firstLine="0"/>
        <w:jc w:val="both"/>
      </w:pPr>
      <w:r>
        <w:rPr>
          <w:rFonts w:ascii="Lora" w:hAnsi="Lora" w:eastAsia="Lora"/>
          <w:b/>
          <w:i w:val="0"/>
          <w:color w:val="000000"/>
          <w:sz w:val="18"/>
        </w:rPr>
        <w:t>Model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: In the context of health care evaluation, a model is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an analytic methodology that accounts for events over time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and across populations, that is based on data drawn from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primary and secondary sources, and whose purpose is to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estimate the effects of an intervention on valued health </w:t>
      </w:r>
      <w:r>
        <w:rPr>
          <w:rFonts w:ascii="Lora" w:hAnsi="Lora" w:eastAsia="Lora"/>
          <w:b w:val="0"/>
          <w:i w:val="0"/>
          <w:color w:val="000000"/>
          <w:sz w:val="18"/>
        </w:rPr>
        <w:t>consequences and costs.</w:t>
      </w:r>
      <w:r>
        <w:rPr>
          <w:w w:val="104.94000434875488"/>
          <w:rFonts w:ascii="Lora" w:hAnsi="Lora" w:eastAsia="Lora"/>
          <w:b w:val="0"/>
          <w:i w:val="0"/>
          <w:color w:val="000000"/>
          <w:sz w:val="10"/>
        </w:rPr>
        <w:t>83</w:t>
      </w:r>
    </w:p>
    <w:p>
      <w:pPr>
        <w:autoSpaceDN w:val="0"/>
        <w:autoSpaceDE w:val="0"/>
        <w:widowControl/>
        <w:spacing w:line="245" w:lineRule="auto" w:before="64" w:after="0"/>
        <w:ind w:left="156" w:right="0" w:firstLine="0"/>
        <w:jc w:val="left"/>
      </w:pPr>
      <w:r>
        <w:rPr>
          <w:rFonts w:ascii="Lora" w:hAnsi="Lora" w:eastAsia="Lora"/>
          <w:b/>
          <w:i w:val="0"/>
          <w:color w:val="000000"/>
          <w:sz w:val="18"/>
        </w:rPr>
        <w:t>Modeling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: The development of a simplified representation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of a system (e.g., population). A particular model may be </w:t>
      </w:r>
    </w:p>
    <w:p>
      <w:pPr>
        <w:sectPr>
          <w:type w:val="nextColumn"/>
          <w:pgSz w:w="11880" w:h="15660"/>
          <w:pgMar w:top="360" w:right="674" w:bottom="266" w:left="0" w:header="720" w:footer="720" w:gutter="0"/>
          <w:cols w:num="2" w:equalWidth="0">
            <w:col w:w="5942" w:space="0"/>
            <w:col w:w="5263" w:space="0"/>
          </w:cols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220.0" w:type="dxa"/>
      </w:tblPr>
      <w:tblGrid>
        <w:gridCol w:w="4860"/>
        <w:gridCol w:w="4860"/>
      </w:tblGrid>
      <w:tr>
        <w:trPr>
          <w:trHeight w:hRule="exact" w:val="362"/>
        </w:trPr>
        <w:tc>
          <w:tcPr>
            <w:tcW w:type="dxa" w:w="584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4" w:after="0"/>
              <w:ind w:left="0" w:right="90" w:firstLine="0"/>
              <w:jc w:val="right"/>
            </w:pPr>
            <w:r>
              <w:rPr>
                <w:rFonts w:ascii="Asap" w:hAnsi="Asap" w:eastAsia="Asap"/>
                <w:b/>
                <w:i w:val="0"/>
                <w:color w:val="474C55"/>
                <w:sz w:val="18"/>
              </w:rPr>
              <w:t>AMCP FORMAT 5.0</w:t>
            </w:r>
          </w:p>
        </w:tc>
        <w:tc>
          <w:tcPr>
            <w:tcW w:type="dxa" w:w="1094"/>
            <w:tcBorders/>
            <w:shd w:fill="6b146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72" w:after="0"/>
              <w:ind w:left="90" w:right="0" w:firstLine="0"/>
              <w:jc w:val="left"/>
            </w:pPr>
            <w:r>
              <w:rPr>
                <w:rFonts w:ascii="Asap" w:hAnsi="Asap" w:eastAsia="Asap"/>
                <w:b/>
                <w:i w:val="0"/>
                <w:color w:val="FFFFFF"/>
                <w:sz w:val="18"/>
              </w:rPr>
              <w:t>53</w:t>
            </w:r>
          </w:p>
        </w:tc>
      </w:tr>
    </w:tbl>
    <w:p>
      <w:pPr>
        <w:autoSpaceDN w:val="0"/>
        <w:autoSpaceDE w:val="0"/>
        <w:widowControl/>
        <w:spacing w:line="14" w:lineRule="exact" w:before="0" w:after="1038"/>
        <w:ind w:left="0" w:right="0"/>
      </w:pPr>
    </w:p>
    <w:p>
      <w:pPr>
        <w:sectPr>
          <w:pgSz w:w="11880" w:h="15660"/>
          <w:pgMar w:top="360" w:right="0" w:bottom="266" w:left="72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45" w:lineRule="auto" w:before="0" w:after="0"/>
        <w:ind w:left="0" w:right="144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>analytical, visual, or both. In pharmacoeconomics specifi-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cally, or health economics in general, analytical models can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be used to pose and answer questions about interventions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that cannot be directly answered by clinical trials because </w:t>
      </w:r>
      <w:r>
        <w:rPr>
          <w:rFonts w:ascii="Lora" w:hAnsi="Lora" w:eastAsia="Lora"/>
          <w:b w:val="0"/>
          <w:i w:val="0"/>
          <w:color w:val="000000"/>
          <w:sz w:val="18"/>
        </w:rPr>
        <w:t>of time and financial constraints.</w:t>
      </w:r>
      <w:r>
        <w:rPr>
          <w:w w:val="104.94000434875488"/>
          <w:rFonts w:ascii="Lora" w:hAnsi="Lora" w:eastAsia="Lora"/>
          <w:b w:val="0"/>
          <w:i w:val="0"/>
          <w:color w:val="000000"/>
          <w:sz w:val="10"/>
        </w:rPr>
        <w:t>80</w:t>
      </w:r>
    </w:p>
    <w:p>
      <w:pPr>
        <w:autoSpaceDN w:val="0"/>
        <w:autoSpaceDE w:val="0"/>
        <w:widowControl/>
        <w:spacing w:line="245" w:lineRule="auto" w:before="64" w:after="0"/>
        <w:ind w:left="0" w:right="144" w:firstLine="0"/>
        <w:jc w:val="left"/>
      </w:pPr>
      <w:r>
        <w:rPr>
          <w:rFonts w:ascii="Lora" w:hAnsi="Lora" w:eastAsia="Lora"/>
          <w:b/>
          <w:i w:val="0"/>
          <w:color w:val="000000"/>
          <w:sz w:val="18"/>
        </w:rPr>
        <w:t>Outcomes Research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: The scientific discipline that evaluates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the effect of health care interventions on patient-related,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if not patient-specific, clinical, humanistic, and economic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outcomes. Outcomes research is generally based on the </w:t>
      </w:r>
      <w:r>
        <w:rPr>
          <w:rFonts w:ascii="Lora" w:hAnsi="Lora" w:eastAsia="Lora"/>
          <w:b w:val="0"/>
          <w:i w:val="0"/>
          <w:color w:val="000000"/>
          <w:sz w:val="18"/>
        </w:rPr>
        <w:t>conceptual framework that evaluation of treatment alter-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natives involves the simultaneous assessment of multiple </w:t>
      </w:r>
      <w:r>
        <w:rPr>
          <w:rFonts w:ascii="Lora" w:hAnsi="Lora" w:eastAsia="Lora"/>
          <w:b w:val="0"/>
          <w:i w:val="0"/>
          <w:color w:val="000000"/>
          <w:sz w:val="18"/>
        </w:rPr>
        <w:t>types of outcomes that are disease related.</w:t>
      </w:r>
      <w:r>
        <w:rPr>
          <w:w w:val="104.94000434875488"/>
          <w:rFonts w:ascii="Lora" w:hAnsi="Lora" w:eastAsia="Lora"/>
          <w:b w:val="0"/>
          <w:i w:val="0"/>
          <w:color w:val="000000"/>
          <w:sz w:val="10"/>
        </w:rPr>
        <w:t>80</w:t>
      </w:r>
    </w:p>
    <w:p>
      <w:pPr>
        <w:autoSpaceDN w:val="0"/>
        <w:autoSpaceDE w:val="0"/>
        <w:widowControl/>
        <w:spacing w:line="245" w:lineRule="auto" w:before="64" w:after="0"/>
        <w:ind w:left="0" w:right="144" w:firstLine="0"/>
        <w:jc w:val="left"/>
      </w:pPr>
      <w:r>
        <w:rPr>
          <w:rFonts w:ascii="Lora" w:hAnsi="Lora" w:eastAsia="Lora"/>
          <w:b/>
          <w:i w:val="0"/>
          <w:color w:val="000000"/>
          <w:sz w:val="18"/>
        </w:rPr>
        <w:t>Patient-reported Outcomes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: An umbrella term that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includes outcome data reported directly by the patient. It is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one source of data that may be used to describe a patient’s </w:t>
      </w:r>
      <w:r>
        <w:rPr>
          <w:rFonts w:ascii="Lora" w:hAnsi="Lora" w:eastAsia="Lora"/>
          <w:b w:val="0"/>
          <w:i w:val="0"/>
          <w:color w:val="000000"/>
          <w:sz w:val="18"/>
        </w:rPr>
        <w:t>condition and response to treatment. It includes such out-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comes as global impressions, functional status, well-being,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symptoms, health-related quality of life, satisfaction with </w:t>
      </w:r>
      <w:r>
        <w:rPr>
          <w:rFonts w:ascii="Lora" w:hAnsi="Lora" w:eastAsia="Lora"/>
          <w:b w:val="0"/>
          <w:i w:val="0"/>
          <w:color w:val="000000"/>
          <w:sz w:val="18"/>
        </w:rPr>
        <w:t>treatment, and treatment adherence.</w:t>
      </w:r>
      <w:r>
        <w:rPr>
          <w:w w:val="104.94000434875488"/>
          <w:rFonts w:ascii="Lora" w:hAnsi="Lora" w:eastAsia="Lora"/>
          <w:b w:val="0"/>
          <w:i w:val="0"/>
          <w:color w:val="000000"/>
          <w:sz w:val="10"/>
        </w:rPr>
        <w:t>80</w:t>
      </w:r>
    </w:p>
    <w:p>
      <w:pPr>
        <w:autoSpaceDN w:val="0"/>
        <w:autoSpaceDE w:val="0"/>
        <w:widowControl/>
        <w:spacing w:line="245" w:lineRule="auto" w:before="64" w:after="0"/>
        <w:ind w:left="0" w:right="156" w:firstLine="0"/>
        <w:jc w:val="both"/>
      </w:pPr>
      <w:r>
        <w:rPr>
          <w:rFonts w:ascii="Lora" w:hAnsi="Lora" w:eastAsia="Lora"/>
          <w:b/>
          <w:i w:val="0"/>
          <w:color w:val="000000"/>
          <w:sz w:val="18"/>
        </w:rPr>
        <w:t>Pharmacoeconomics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: The scientific discipline that assesses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the overall value of pharmaceutical health care products,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services, and programs. Of necessity, it addresses the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clinical, humanistic, and economic aspects of health care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interventions in the prevention, diagnosis, treatment, and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management of disease. Pharmacoeconomics thus provides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information critical to the optimal allocation of health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care resources. The field encompasses experts in health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economics, risk analysis, technology assessment, clinical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evaluation, epidemiology, decision analysis, and health </w:t>
      </w:r>
      <w:r>
        <w:rPr>
          <w:rFonts w:ascii="Lora" w:hAnsi="Lora" w:eastAsia="Lora"/>
          <w:b w:val="0"/>
          <w:i w:val="0"/>
          <w:color w:val="000000"/>
          <w:sz w:val="18"/>
        </w:rPr>
        <w:t>services research.</w:t>
      </w:r>
      <w:r>
        <w:rPr>
          <w:w w:val="104.94000434875488"/>
          <w:rFonts w:ascii="Lora" w:hAnsi="Lora" w:eastAsia="Lora"/>
          <w:b w:val="0"/>
          <w:i w:val="0"/>
          <w:color w:val="000000"/>
          <w:sz w:val="10"/>
        </w:rPr>
        <w:t>80</w:t>
      </w:r>
    </w:p>
    <w:p>
      <w:pPr>
        <w:autoSpaceDN w:val="0"/>
        <w:autoSpaceDE w:val="0"/>
        <w:widowControl/>
        <w:spacing w:line="245" w:lineRule="auto" w:before="64" w:after="0"/>
        <w:ind w:left="0" w:right="156" w:firstLine="0"/>
        <w:jc w:val="both"/>
      </w:pPr>
      <w:r>
        <w:rPr>
          <w:rFonts w:ascii="Lora" w:hAnsi="Lora" w:eastAsia="Lora"/>
          <w:b/>
          <w:i w:val="0"/>
          <w:color w:val="000000"/>
          <w:sz w:val="18"/>
        </w:rPr>
        <w:t>Pharmacoequity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: Ensuring that all individuals, regardless </w:t>
      </w:r>
      <w:r>
        <w:rPr>
          <w:rFonts w:ascii="Lora" w:hAnsi="Lora" w:eastAsia="Lora"/>
          <w:b w:val="0"/>
          <w:i w:val="0"/>
          <w:color w:val="000000"/>
          <w:sz w:val="18"/>
        </w:rPr>
        <w:t>of race and ethnicity,</w:t>
      </w:r>
      <w:r>
        <w:rPr>
          <w:w w:val="104.94000434875488"/>
          <w:rFonts w:ascii="Lora" w:hAnsi="Lora" w:eastAsia="Lora"/>
          <w:b w:val="0"/>
          <w:i w:val="0"/>
          <w:color w:val="000000"/>
          <w:sz w:val="10"/>
        </w:rPr>
        <w:t>80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 socioeconomic status, or availability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of resources, have access to the highest-quality medical </w:t>
      </w:r>
      <w:r>
        <w:rPr>
          <w:rFonts w:ascii="Lora" w:hAnsi="Lora" w:eastAsia="Lora"/>
          <w:b w:val="0"/>
          <w:i w:val="0"/>
          <w:color w:val="000000"/>
          <w:sz w:val="18"/>
        </w:rPr>
        <w:t>therapy required to manage their health needs.</w:t>
      </w:r>
      <w:r>
        <w:rPr>
          <w:w w:val="104.94000434875488"/>
          <w:rFonts w:ascii="Lora" w:hAnsi="Lora" w:eastAsia="Lora"/>
          <w:b w:val="0"/>
          <w:i w:val="0"/>
          <w:color w:val="000000"/>
          <w:sz w:val="10"/>
        </w:rPr>
        <w:t>84,85</w:t>
      </w:r>
    </w:p>
    <w:p>
      <w:pPr>
        <w:autoSpaceDN w:val="0"/>
        <w:autoSpaceDE w:val="0"/>
        <w:widowControl/>
        <w:spacing w:line="245" w:lineRule="auto" w:before="64" w:after="0"/>
        <w:ind w:left="0" w:right="156" w:firstLine="0"/>
        <w:jc w:val="both"/>
      </w:pPr>
      <w:r>
        <w:rPr>
          <w:rFonts w:ascii="Lora" w:hAnsi="Lora" w:eastAsia="Lora"/>
          <w:b/>
          <w:i w:val="0"/>
          <w:color w:val="000000"/>
          <w:sz w:val="18"/>
        </w:rPr>
        <w:t>Prescription Digital Therapeutics (PDTs)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: Product, device,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internet application, or other technology that (1) is cleared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or approved under section 510(k), 513(f)(2), or 515 of the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Federal Food, Drug, and Cosmetic Act; (2) has a cleared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or approved indication for the prevention, management,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or treatment of a medical disease, condition, or disorder;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(3) primarily uses software to achieve its intended result;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and (4) is a device that is exempt from section 502(f)(1) of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the Federal Food, Drug, and Cosmetic Act under section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801.109 of title 21 of the Code of Federal Regulations (or any </w:t>
      </w:r>
      <w:r>
        <w:rPr>
          <w:rFonts w:ascii="Lora" w:hAnsi="Lora" w:eastAsia="Lora"/>
          <w:b w:val="0"/>
          <w:i w:val="0"/>
          <w:color w:val="000000"/>
          <w:sz w:val="18"/>
        </w:rPr>
        <w:t>successor regulation).</w:t>
      </w:r>
      <w:r>
        <w:rPr>
          <w:w w:val="104.94000434875488"/>
          <w:rFonts w:ascii="Lora" w:hAnsi="Lora" w:eastAsia="Lora"/>
          <w:b w:val="0"/>
          <w:i w:val="0"/>
          <w:color w:val="000000"/>
          <w:sz w:val="10"/>
        </w:rPr>
        <w:t>86,87</w:t>
      </w:r>
    </w:p>
    <w:p>
      <w:pPr>
        <w:autoSpaceDN w:val="0"/>
        <w:autoSpaceDE w:val="0"/>
        <w:widowControl/>
        <w:spacing w:line="245" w:lineRule="auto" w:before="64" w:after="0"/>
        <w:ind w:left="0" w:right="156" w:firstLine="0"/>
        <w:jc w:val="both"/>
      </w:pPr>
      <w:r>
        <w:rPr>
          <w:rFonts w:ascii="Lora" w:hAnsi="Lora" w:eastAsia="Lora"/>
          <w:b/>
          <w:i w:val="0"/>
          <w:color w:val="000000"/>
          <w:sz w:val="18"/>
        </w:rPr>
        <w:t>Quality-adjusted Life-year (QALY)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: A universal health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outcome measure applicable to all individuals and all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diseases, thereby enabling comparisons across diseases and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across programs. A QALY combines, in a single measure, </w:t>
      </w:r>
    </w:p>
    <w:p>
      <w:pPr>
        <w:sectPr>
          <w:type w:val="continuous"/>
          <w:pgSz w:w="11880" w:h="15660"/>
          <w:pgMar w:top="360" w:right="0" w:bottom="266" w:left="720" w:header="720" w:footer="720" w:gutter="0"/>
          <w:cols w:num="2" w:equalWidth="0">
            <w:col w:w="5244" w:space="0"/>
            <w:col w:w="5916" w:space="0"/>
          </w:cols>
          <w:docGrid w:linePitch="360"/>
        </w:sectPr>
      </w:pPr>
    </w:p>
    <w:p>
      <w:pPr>
        <w:autoSpaceDN w:val="0"/>
        <w:autoSpaceDE w:val="0"/>
        <w:widowControl/>
        <w:spacing w:line="245" w:lineRule="auto" w:before="0" w:after="0"/>
        <w:ind w:left="156" w:right="576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gains or losses in both quantity of life (mortality) and quality </w:t>
      </w:r>
      <w:r>
        <w:rPr>
          <w:rFonts w:ascii="Lora" w:hAnsi="Lora" w:eastAsia="Lora"/>
          <w:b w:val="0"/>
          <w:i w:val="0"/>
          <w:color w:val="000000"/>
          <w:sz w:val="18"/>
        </w:rPr>
        <w:t>of life (morbidity).</w:t>
      </w:r>
      <w:r>
        <w:rPr>
          <w:w w:val="104.94000434875488"/>
          <w:rFonts w:ascii="Lora" w:hAnsi="Lora" w:eastAsia="Lora"/>
          <w:b w:val="0"/>
          <w:i w:val="0"/>
          <w:color w:val="000000"/>
          <w:sz w:val="10"/>
        </w:rPr>
        <w:t>72</w:t>
      </w:r>
    </w:p>
    <w:p>
      <w:pPr>
        <w:autoSpaceDN w:val="0"/>
        <w:autoSpaceDE w:val="0"/>
        <w:widowControl/>
        <w:spacing w:line="245" w:lineRule="auto" w:before="64" w:after="0"/>
        <w:ind w:left="156" w:right="672" w:firstLine="0"/>
        <w:jc w:val="both"/>
      </w:pPr>
      <w:r>
        <w:rPr>
          <w:rFonts w:ascii="Lora" w:hAnsi="Lora" w:eastAsia="Lora"/>
          <w:b/>
          <w:i w:val="0"/>
          <w:color w:val="000000"/>
          <w:sz w:val="18"/>
        </w:rPr>
        <w:t>Real-world Data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: Data relating to patient health status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and/or the delivery of health care routinely collected from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 variety of sources. Examples of real-world data include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data derived from electronic health records, medical claims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data, data from product or disease registries, and data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gathered from other sources (such as DHTs) that can inform </w:t>
      </w:r>
      <w:r>
        <w:rPr>
          <w:rFonts w:ascii="Lora" w:hAnsi="Lora" w:eastAsia="Lora"/>
          <w:b w:val="0"/>
          <w:i w:val="0"/>
          <w:color w:val="000000"/>
          <w:sz w:val="18"/>
        </w:rPr>
        <w:t>on health status.</w:t>
      </w:r>
      <w:r>
        <w:rPr>
          <w:w w:val="104.94000434875488"/>
          <w:rFonts w:ascii="Lora" w:hAnsi="Lora" w:eastAsia="Lora"/>
          <w:b w:val="0"/>
          <w:i w:val="0"/>
          <w:color w:val="000000"/>
          <w:sz w:val="10"/>
        </w:rPr>
        <w:t>88</w:t>
      </w:r>
    </w:p>
    <w:p>
      <w:pPr>
        <w:autoSpaceDN w:val="0"/>
        <w:autoSpaceDE w:val="0"/>
        <w:widowControl/>
        <w:spacing w:line="245" w:lineRule="auto" w:before="64" w:after="0"/>
        <w:ind w:left="156" w:right="672" w:firstLine="0"/>
        <w:jc w:val="both"/>
      </w:pPr>
      <w:r>
        <w:rPr>
          <w:rFonts w:ascii="Lora" w:hAnsi="Lora" w:eastAsia="Lora"/>
          <w:b/>
          <w:i w:val="0"/>
          <w:color w:val="000000"/>
          <w:sz w:val="18"/>
        </w:rPr>
        <w:t>Real-world Evidence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: The clinical evidence about the usage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and potential benefits or risks of a medical product derived </w:t>
      </w:r>
      <w:r>
        <w:rPr>
          <w:rFonts w:ascii="Lora" w:hAnsi="Lora" w:eastAsia="Lora"/>
          <w:b w:val="0"/>
          <w:i w:val="0"/>
          <w:color w:val="000000"/>
          <w:sz w:val="18"/>
        </w:rPr>
        <w:t>from analysis of real-world data.</w:t>
      </w:r>
      <w:r>
        <w:rPr>
          <w:w w:val="104.94000434875488"/>
          <w:rFonts w:ascii="Lora" w:hAnsi="Lora" w:eastAsia="Lora"/>
          <w:b w:val="0"/>
          <w:i w:val="0"/>
          <w:color w:val="000000"/>
          <w:sz w:val="10"/>
        </w:rPr>
        <w:t>88</w:t>
      </w:r>
    </w:p>
    <w:p>
      <w:pPr>
        <w:autoSpaceDN w:val="0"/>
        <w:tabs>
          <w:tab w:pos="336" w:val="left"/>
          <w:tab w:pos="516" w:val="left"/>
        </w:tabs>
        <w:autoSpaceDE w:val="0"/>
        <w:widowControl/>
        <w:spacing w:line="245" w:lineRule="auto" w:before="64" w:after="0"/>
        <w:ind w:left="156" w:right="576" w:firstLine="0"/>
        <w:jc w:val="left"/>
      </w:pPr>
      <w:r>
        <w:rPr>
          <w:rFonts w:ascii="Lora" w:hAnsi="Lora" w:eastAsia="Lora"/>
          <w:b/>
          <w:i w:val="0"/>
          <w:color w:val="000000"/>
          <w:sz w:val="18"/>
        </w:rPr>
        <w:t>Rule of Rescue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: A term applied to the ethical imperative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to save individual lives regardless of the cost if rescue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measures are available. Regarding the distribution of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health care services, the rule of rescue supplements rather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than substitutes for the evidence-based consideration of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comparative cost-effectiveness. For example, Australia’s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Pharmaceutical Benefits Advisory Committee considers the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rule of  rescue a relevant factor when the cost-effectiveness </w:t>
      </w:r>
      <w:r>
        <w:rPr>
          <w:rFonts w:ascii="Lora" w:hAnsi="Lora" w:eastAsia="Lora"/>
          <w:b w:val="0"/>
          <w:i w:val="0"/>
          <w:color w:val="000000"/>
          <w:sz w:val="18"/>
        </w:rPr>
        <w:t>level is unacceptable, along with the following:</w:t>
      </w:r>
      <w:r>
        <w:br/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• No alternative pharmacological or nonpharmacological </w:t>
      </w:r>
      <w:r>
        <w:tab/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intervention exists to treat patients with the identified </w:t>
      </w:r>
      <w:r>
        <w:tab/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condition.</w:t>
      </w:r>
    </w:p>
    <w:p>
      <w:pPr>
        <w:autoSpaceDN w:val="0"/>
        <w:tabs>
          <w:tab w:pos="516" w:val="left"/>
        </w:tabs>
        <w:autoSpaceDE w:val="0"/>
        <w:widowControl/>
        <w:spacing w:line="245" w:lineRule="auto" w:before="0" w:after="0"/>
        <w:ind w:left="336" w:right="576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• The defined condition must be severe, progressive, and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expected to lead to premature death.</w:t>
      </w:r>
    </w:p>
    <w:p>
      <w:pPr>
        <w:autoSpaceDN w:val="0"/>
        <w:tabs>
          <w:tab w:pos="516" w:val="left"/>
        </w:tabs>
        <w:autoSpaceDE w:val="0"/>
        <w:widowControl/>
        <w:spacing w:line="245" w:lineRule="auto" w:before="0" w:after="0"/>
        <w:ind w:left="336" w:right="576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• The defined condition applies to only a very small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number of patients.</w:t>
      </w:r>
      <w:r>
        <w:rPr>
          <w:w w:val="104.94000434875488"/>
          <w:rFonts w:ascii="Lora" w:hAnsi="Lora" w:eastAsia="Lora"/>
          <w:b w:val="0"/>
          <w:i w:val="0"/>
          <w:color w:val="000000"/>
          <w:sz w:val="10"/>
        </w:rPr>
        <w:t>89</w:t>
      </w:r>
    </w:p>
    <w:p>
      <w:pPr>
        <w:autoSpaceDN w:val="0"/>
        <w:autoSpaceDE w:val="0"/>
        <w:widowControl/>
        <w:spacing w:line="245" w:lineRule="auto" w:before="66" w:after="0"/>
        <w:ind w:left="156" w:right="576" w:firstLine="0"/>
        <w:jc w:val="left"/>
      </w:pPr>
      <w:r>
        <w:rPr>
          <w:rFonts w:ascii="Lora" w:hAnsi="Lora" w:eastAsia="Lora"/>
          <w:b/>
          <w:i w:val="0"/>
          <w:color w:val="000000"/>
          <w:sz w:val="18"/>
        </w:rPr>
        <w:t>Sensitivity Analysis</w:t>
      </w:r>
      <w:r>
        <w:rPr>
          <w:rFonts w:ascii="Lora" w:hAnsi="Lora" w:eastAsia="Lora"/>
          <w:b w:val="0"/>
          <w:i w:val="0"/>
          <w:color w:val="000000"/>
          <w:sz w:val="18"/>
        </w:rPr>
        <w:t>: A way to analyze the effect of uncer-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tainty in an economic analysis or a decision (see Decision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Analysis and Modeling). The simplest form of sensitivity </w:t>
      </w:r>
      <w:r>
        <w:rPr>
          <w:rFonts w:ascii="Lora" w:hAnsi="Lora" w:eastAsia="Lora"/>
          <w:b w:val="0"/>
          <w:i w:val="0"/>
          <w:color w:val="000000"/>
          <w:sz w:val="18"/>
        </w:rPr>
        <w:t>analysis is a one-way analysis where the value of one vari-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able is changed while keeping the other variables constant, </w:t>
      </w:r>
      <w:r>
        <w:rPr>
          <w:rFonts w:ascii="Lora" w:hAnsi="Lora" w:eastAsia="Lora"/>
          <w:b w:val="0"/>
          <w:i w:val="0"/>
          <w:color w:val="000000"/>
          <w:sz w:val="18"/>
        </w:rPr>
        <w:t>and the effect on results is evaluated.</w:t>
      </w:r>
      <w:r>
        <w:rPr>
          <w:w w:val="104.94000434875488"/>
          <w:rFonts w:ascii="Lora" w:hAnsi="Lora" w:eastAsia="Lora"/>
          <w:b w:val="0"/>
          <w:i w:val="0"/>
          <w:color w:val="000000"/>
          <w:sz w:val="10"/>
        </w:rPr>
        <w:t>80</w:t>
      </w:r>
    </w:p>
    <w:p>
      <w:pPr>
        <w:autoSpaceDN w:val="0"/>
        <w:autoSpaceDE w:val="0"/>
        <w:widowControl/>
        <w:spacing w:line="245" w:lineRule="auto" w:before="64" w:after="0"/>
        <w:ind w:left="156" w:right="576" w:firstLine="0"/>
        <w:jc w:val="left"/>
      </w:pPr>
      <w:r>
        <w:rPr>
          <w:rFonts w:ascii="Lora" w:hAnsi="Lora" w:eastAsia="Lora"/>
          <w:b/>
          <w:i w:val="0"/>
          <w:color w:val="000000"/>
          <w:sz w:val="18"/>
        </w:rPr>
        <w:t>Specialty Pharmaceuticals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: There is no generally accepted </w:t>
      </w:r>
      <w:r>
        <w:rPr>
          <w:rFonts w:ascii="Lora" w:hAnsi="Lora" w:eastAsia="Lora"/>
          <w:b w:val="0"/>
          <w:i w:val="0"/>
          <w:color w:val="000000"/>
          <w:sz w:val="18"/>
        </w:rPr>
        <w:t>definition of specialty pharmaceuticals; however, for pur-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poses of the AMCP Format, a product may be considered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 specialty pharmaceutical if it requires a difficult or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unusual process of delivery to the patient (preparation,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handling, storage, inventory, distribution, REMS programs,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data collection, or administration) or patient management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before or following administration (monitoring, disease, or </w:t>
      </w:r>
      <w:r>
        <w:rPr>
          <w:rFonts w:ascii="Lora" w:hAnsi="Lora" w:eastAsia="Lora"/>
          <w:b w:val="0"/>
          <w:i w:val="0"/>
          <w:color w:val="000000"/>
          <w:sz w:val="18"/>
        </w:rPr>
        <w:t>therapeutic support systems).</w:t>
      </w:r>
      <w:r>
        <w:rPr>
          <w:w w:val="104.94000434875488"/>
          <w:rFonts w:ascii="Lora" w:hAnsi="Lora" w:eastAsia="Lora"/>
          <w:b w:val="0"/>
          <w:i w:val="0"/>
          <w:color w:val="000000"/>
          <w:sz w:val="10"/>
        </w:rPr>
        <w:t>90</w:t>
      </w:r>
    </w:p>
    <w:p>
      <w:pPr>
        <w:autoSpaceDN w:val="0"/>
        <w:autoSpaceDE w:val="0"/>
        <w:widowControl/>
        <w:spacing w:line="245" w:lineRule="auto" w:before="40" w:after="0"/>
        <w:ind w:left="156" w:right="672" w:firstLine="0"/>
        <w:jc w:val="both"/>
      </w:pPr>
      <w:r>
        <w:rPr>
          <w:rFonts w:ascii="Lora" w:hAnsi="Lora" w:eastAsia="Lora"/>
          <w:b/>
          <w:i w:val="0"/>
          <w:color w:val="000000"/>
          <w:sz w:val="18"/>
        </w:rPr>
        <w:t>Tornado Diagram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: A set of one-way sensitivity analyses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displayed in a single graph, with the most critical variable in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terms of effect at the top of the graph and the rest ranked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according to their effect thereafter, hence, the “tornado” or </w:t>
      </w:r>
      <w:r>
        <w:rPr>
          <w:rFonts w:ascii="Lora" w:hAnsi="Lora" w:eastAsia="Lora"/>
          <w:b w:val="0"/>
          <w:i w:val="0"/>
          <w:color w:val="000000"/>
          <w:sz w:val="18"/>
        </w:rPr>
        <w:t>funnel appearance of the graph.</w:t>
      </w:r>
      <w:r>
        <w:rPr>
          <w:w w:val="104.94000434875488"/>
          <w:rFonts w:ascii="Lora" w:hAnsi="Lora" w:eastAsia="Lora"/>
          <w:b w:val="0"/>
          <w:i w:val="0"/>
          <w:color w:val="000000"/>
          <w:sz w:val="10"/>
        </w:rPr>
        <w:t>80</w:t>
      </w:r>
    </w:p>
    <w:p>
      <w:pPr>
        <w:autoSpaceDN w:val="0"/>
        <w:autoSpaceDE w:val="0"/>
        <w:widowControl/>
        <w:spacing w:line="186" w:lineRule="exact" w:before="858" w:after="0"/>
        <w:ind w:left="0" w:right="742" w:firstLine="0"/>
        <w:jc w:val="right"/>
      </w:pPr>
      <w:r>
        <w:rPr>
          <w:rFonts w:ascii="Asap" w:hAnsi="Asap" w:eastAsia="Asap"/>
          <w:b w:val="0"/>
          <w:i w:val="0"/>
          <w:color w:val="474C55"/>
          <w:sz w:val="14"/>
        </w:rPr>
        <w:t>Vol. 30, No. 4-b</w:t>
      </w:r>
      <w:r>
        <w:rPr>
          <w:rFonts w:ascii="Asap" w:hAnsi="Asap" w:eastAsia="Asap"/>
          <w:b w:val="0"/>
          <w:i w:val="0"/>
          <w:color w:val="474C55"/>
          <w:sz w:val="14"/>
        </w:rPr>
        <w:t>|</w:t>
      </w:r>
      <w:r>
        <w:rPr>
          <w:rFonts w:ascii="Asap" w:hAnsi="Asap" w:eastAsia="Asap"/>
          <w:b w:val="0"/>
          <w:i w:val="0"/>
          <w:color w:val="474C55"/>
          <w:sz w:val="14"/>
        </w:rPr>
        <w:t>April 2024</w:t>
      </w:r>
      <w:r>
        <w:rPr>
          <w:rFonts w:ascii="Asap" w:hAnsi="Asap" w:eastAsia="Asap"/>
          <w:b w:val="0"/>
          <w:i w:val="0"/>
          <w:color w:val="474C55"/>
          <w:sz w:val="14"/>
        </w:rPr>
        <w:t>|</w:t>
      </w:r>
      <w:r>
        <w:rPr>
          <w:rFonts w:ascii="Asap" w:hAnsi="Asap" w:eastAsia="Asap"/>
          <w:b/>
          <w:i w:val="0"/>
          <w:color w:val="14377D"/>
          <w:sz w:val="14"/>
        </w:rPr>
        <w:t xml:space="preserve"> JMCP</w:t>
      </w:r>
      <w:r>
        <w:rPr>
          <w:rFonts w:ascii="Asap" w:hAnsi="Asap" w:eastAsia="Asap"/>
          <w:b w:val="0"/>
          <w:i w:val="0"/>
          <w:color w:val="14377D"/>
          <w:sz w:val="14"/>
        </w:rPr>
        <w:t>.org</w:t>
      </w:r>
    </w:p>
    <w:p>
      <w:pPr>
        <w:sectPr>
          <w:type w:val="nextColumn"/>
          <w:pgSz w:w="11880" w:h="15660"/>
          <w:pgMar w:top="360" w:right="0" w:bottom="266" w:left="720" w:header="720" w:footer="720" w:gutter="0"/>
          <w:cols w:num="2" w:equalWidth="0">
            <w:col w:w="5244" w:space="0"/>
            <w:col w:w="5916" w:space="0"/>
          </w:cols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262"/>
        <w:gridCol w:w="3262"/>
        <w:gridCol w:w="3262"/>
      </w:tblGrid>
      <w:tr>
        <w:trPr>
          <w:trHeight w:hRule="exact" w:val="382"/>
        </w:trPr>
        <w:tc>
          <w:tcPr>
            <w:tcW w:type="dxa" w:w="1094"/>
            <w:tcBorders/>
            <w:shd w:fill="6b146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4" w:after="0"/>
              <w:ind w:left="0" w:right="90" w:firstLine="0"/>
              <w:jc w:val="right"/>
            </w:pPr>
            <w:r>
              <w:rPr>
                <w:rFonts w:ascii="Asap" w:hAnsi="Asap" w:eastAsia="Asap"/>
                <w:b/>
                <w:i w:val="0"/>
                <w:color w:val="FFFFFF"/>
                <w:sz w:val="18"/>
              </w:rPr>
              <w:t>54</w:t>
            </w:r>
          </w:p>
        </w:tc>
        <w:tc>
          <w:tcPr>
            <w:tcW w:type="dxa" w:w="836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4" w:after="0"/>
              <w:ind w:left="90" w:right="0" w:firstLine="0"/>
              <w:jc w:val="left"/>
            </w:pPr>
            <w:r>
              <w:rPr>
                <w:rFonts w:ascii="Asap" w:hAnsi="Asap" w:eastAsia="Asap"/>
                <w:b/>
                <w:i w:val="0"/>
                <w:color w:val="474C55"/>
                <w:sz w:val="18"/>
              </w:rPr>
              <w:t>AMCP FORMAT 5.0</w:t>
            </w:r>
          </w:p>
        </w:tc>
      </w:tr>
      <w:tr>
        <w:trPr>
          <w:trHeight w:hRule="exact" w:val="1498"/>
        </w:trPr>
        <w:tc>
          <w:tcPr>
            <w:tcW w:type="dxa" w:w="34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20" w:lineRule="exact" w:before="878" w:after="0"/>
              <w:ind w:left="720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14377D"/>
                <w:sz w:val="48"/>
              </w:rPr>
              <w:t xml:space="preserve">Appendix C </w:t>
            </w:r>
          </w:p>
        </w:tc>
        <w:tc>
          <w:tcPr>
            <w:tcW w:type="dxa" w:w="6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20" w:lineRule="exact" w:before="878" w:after="0"/>
              <w:ind w:left="200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14377D"/>
                <w:sz w:val="48"/>
              </w:rPr>
              <w:t xml:space="preserve">Sample Unsolicited </w:t>
            </w:r>
          </w:p>
        </w:tc>
      </w:tr>
      <w:tr>
        <w:trPr>
          <w:trHeight w:hRule="exact" w:val="650"/>
        </w:trPr>
        <w:tc>
          <w:tcPr>
            <w:tcW w:type="dxa" w:w="946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20" w:lineRule="exact" w:before="0" w:after="0"/>
              <w:ind w:left="720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14377D"/>
                <w:sz w:val="48"/>
              </w:rPr>
              <w:t>Request Letter</w:t>
            </w:r>
          </w:p>
        </w:tc>
      </w:tr>
    </w:tbl>
    <w:p>
      <w:pPr>
        <w:autoSpaceDN w:val="0"/>
        <w:autoSpaceDE w:val="0"/>
        <w:widowControl/>
        <w:spacing w:line="223" w:lineRule="auto" w:before="386" w:after="0"/>
        <w:ind w:left="698" w:right="0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>[Date]</w:t>
      </w:r>
    </w:p>
    <w:p>
      <w:pPr>
        <w:autoSpaceDN w:val="0"/>
        <w:autoSpaceDE w:val="0"/>
        <w:widowControl/>
        <w:spacing w:line="223" w:lineRule="auto" w:before="150" w:after="0"/>
        <w:ind w:left="698" w:right="0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>Medical Information/Medical Communications Department [Name of Company]</w:t>
      </w:r>
    </w:p>
    <w:p>
      <w:pPr>
        <w:autoSpaceDN w:val="0"/>
        <w:autoSpaceDE w:val="0"/>
        <w:widowControl/>
        <w:spacing w:line="223" w:lineRule="auto" w:before="150" w:after="0"/>
        <w:ind w:left="698" w:right="0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>[Address]</w:t>
      </w:r>
    </w:p>
    <w:p>
      <w:pPr>
        <w:autoSpaceDN w:val="0"/>
        <w:autoSpaceDE w:val="0"/>
        <w:widowControl/>
        <w:spacing w:line="223" w:lineRule="auto" w:before="150" w:after="0"/>
        <w:ind w:left="698" w:right="0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>[City, State, Zip Code]</w:t>
      </w:r>
    </w:p>
    <w:p>
      <w:pPr>
        <w:autoSpaceDN w:val="0"/>
        <w:autoSpaceDE w:val="0"/>
        <w:widowControl/>
        <w:spacing w:line="223" w:lineRule="auto" w:before="150" w:after="0"/>
        <w:ind w:left="698" w:right="0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>Dear [Name]:</w:t>
      </w:r>
    </w:p>
    <w:p>
      <w:pPr>
        <w:autoSpaceDN w:val="0"/>
        <w:autoSpaceDE w:val="0"/>
        <w:widowControl/>
        <w:spacing w:line="245" w:lineRule="auto" w:before="150" w:after="0"/>
        <w:ind w:left="698" w:right="20" w:firstLine="0"/>
        <w:jc w:val="both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[Organization name] has adopted the AMCP Format for Formulary Submissions detailing the process and evidentiary needs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for the provision of clinical and economic information to support formulary consideration. Please consider this letter as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an unsolicited request for an AMCP Format Product Dossier for your product [Name of Product or Products here]. Per the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AMCP Format, the dossier should contain all available medical, economic, and other scientific information (including any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unpublished or off-label study data that are to be considered by our organization) and pharmacoeconomic modeling on all </w:t>
      </w:r>
      <w:r>
        <w:rPr>
          <w:rFonts w:ascii="Lora" w:hAnsi="Lora" w:eastAsia="Lora"/>
          <w:b w:val="0"/>
          <w:i w:val="0"/>
          <w:color w:val="000000"/>
          <w:sz w:val="18"/>
        </w:rPr>
        <w:t>comparator products that we consider for formulary inclusion or as part of therapeutic class reviews.</w:t>
      </w:r>
    </w:p>
    <w:p>
      <w:pPr>
        <w:autoSpaceDN w:val="0"/>
        <w:autoSpaceDE w:val="0"/>
        <w:widowControl/>
        <w:spacing w:line="245" w:lineRule="auto" w:before="150" w:after="0"/>
        <w:ind w:left="698" w:right="20" w:firstLine="0"/>
        <w:jc w:val="both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In addition, we request that you provide, for a period of 6 months, any new published or unpublished information on labeled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or unlabeled uses that is specific to the information requested herein that may serve to further inform our decisions on the </w:t>
      </w:r>
      <w:r>
        <w:rPr>
          <w:rFonts w:ascii="Lora" w:hAnsi="Lora" w:eastAsia="Lora"/>
          <w:b w:val="0"/>
          <w:i w:val="0"/>
          <w:color w:val="000000"/>
          <w:sz w:val="18"/>
        </w:rPr>
        <w:t>use of this product.</w:t>
      </w:r>
    </w:p>
    <w:p>
      <w:pPr>
        <w:autoSpaceDN w:val="0"/>
        <w:autoSpaceDE w:val="0"/>
        <w:widowControl/>
        <w:spacing w:line="245" w:lineRule="auto" w:before="150" w:after="0"/>
        <w:ind w:left="698" w:right="20" w:firstLine="0"/>
        <w:jc w:val="both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We consider this unsolicited request to represent the desired information to accompany a formulary submission.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Manufacturers should submit a complete dossier well before they expect the product to be considered for formulary review.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Our goal is to enable the [Organization Name] Pharmacy and Therapeutics Committee to make optimal evidence- and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value-based decisions when selecting preferred treatment options. The AMCP Format describes a standardized template for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manufacturers to construct and submit a formulary dossier. The dossier is designed to make the product evaluation process </w:t>
      </w:r>
      <w:r>
        <w:rPr>
          <w:rFonts w:ascii="Lora" w:hAnsi="Lora" w:eastAsia="Lora"/>
          <w:b w:val="0"/>
          <w:i w:val="0"/>
          <w:color w:val="000000"/>
          <w:sz w:val="18"/>
        </w:rPr>
        <w:t>in formulary development more complete, evidence-based, and rational.</w:t>
      </w:r>
    </w:p>
    <w:p>
      <w:pPr>
        <w:autoSpaceDN w:val="0"/>
        <w:autoSpaceDE w:val="0"/>
        <w:widowControl/>
        <w:spacing w:line="245" w:lineRule="auto" w:before="150" w:after="0"/>
        <w:ind w:left="698" w:right="20" w:firstLine="0"/>
        <w:jc w:val="both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By submitting this request, we recognize that confidential information may be provided. We also recognize the need to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respect and honor commercial-in-confidence information and may be willing to sign necessary confidentiality agreements </w:t>
      </w:r>
      <w:r>
        <w:rPr>
          <w:rFonts w:ascii="Lora" w:hAnsi="Lora" w:eastAsia="Lora"/>
          <w:b w:val="0"/>
          <w:i w:val="0"/>
          <w:color w:val="000000"/>
          <w:sz w:val="18"/>
        </w:rPr>
        <w:t>under agreed circumstances.</w:t>
      </w:r>
    </w:p>
    <w:p>
      <w:pPr>
        <w:autoSpaceDN w:val="0"/>
        <w:autoSpaceDE w:val="0"/>
        <w:widowControl/>
        <w:spacing w:line="223" w:lineRule="auto" w:before="150" w:after="0"/>
        <w:ind w:left="698" w:right="0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If you require additional information, please call [XXXX]. </w:t>
      </w:r>
    </w:p>
    <w:p>
      <w:pPr>
        <w:autoSpaceDN w:val="0"/>
        <w:autoSpaceDE w:val="0"/>
        <w:widowControl/>
        <w:spacing w:line="223" w:lineRule="auto" w:before="150" w:after="0"/>
        <w:ind w:left="698" w:right="0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>Sincerely,</w:t>
      </w:r>
    </w:p>
    <w:p>
      <w:pPr>
        <w:autoSpaceDN w:val="0"/>
        <w:autoSpaceDE w:val="0"/>
        <w:widowControl/>
        <w:spacing w:line="186" w:lineRule="exact" w:before="3696" w:after="0"/>
        <w:ind w:left="740" w:right="0" w:firstLine="0"/>
        <w:jc w:val="left"/>
      </w:pPr>
      <w:r>
        <w:rPr>
          <w:rFonts w:ascii="Asap" w:hAnsi="Asap" w:eastAsia="Asap"/>
          <w:b/>
          <w:i w:val="0"/>
          <w:color w:val="14377D"/>
          <w:sz w:val="14"/>
        </w:rPr>
        <w:t>JMCP</w:t>
      </w:r>
      <w:r>
        <w:rPr>
          <w:rFonts w:ascii="Asap" w:hAnsi="Asap" w:eastAsia="Asap"/>
          <w:b w:val="0"/>
          <w:i w:val="0"/>
          <w:color w:val="14377D"/>
          <w:sz w:val="14"/>
        </w:rPr>
        <w:t>.org</w:t>
      </w:r>
      <w:r>
        <w:rPr>
          <w:rFonts w:ascii="Asap" w:hAnsi="Asap" w:eastAsia="Asap"/>
          <w:b w:val="0"/>
          <w:i w:val="0"/>
          <w:color w:val="474C55"/>
          <w:sz w:val="14"/>
        </w:rPr>
        <w:t>|</w:t>
      </w:r>
      <w:r>
        <w:rPr>
          <w:rFonts w:ascii="Asap" w:hAnsi="Asap" w:eastAsia="Asap"/>
          <w:b w:val="0"/>
          <w:i w:val="0"/>
          <w:color w:val="474C55"/>
          <w:sz w:val="14"/>
        </w:rPr>
        <w:t>April 2024</w:t>
      </w:r>
      <w:r>
        <w:rPr>
          <w:rFonts w:ascii="Asap" w:hAnsi="Asap" w:eastAsia="Asap"/>
          <w:b w:val="0"/>
          <w:i w:val="0"/>
          <w:color w:val="474C55"/>
          <w:sz w:val="14"/>
        </w:rPr>
        <w:t>|</w:t>
      </w:r>
      <w:r>
        <w:rPr>
          <w:rFonts w:ascii="Asap" w:hAnsi="Asap" w:eastAsia="Asap"/>
          <w:b w:val="0"/>
          <w:i w:val="0"/>
          <w:color w:val="474C55"/>
          <w:sz w:val="14"/>
        </w:rPr>
        <w:t>Vol. 30, No. 4-B</w:t>
      </w:r>
    </w:p>
    <w:p>
      <w:pPr>
        <w:sectPr>
          <w:pgSz w:w="11880" w:h="15660"/>
          <w:pgMar w:top="360" w:right="654" w:bottom="266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230.0" w:type="dxa"/>
      </w:tblPr>
      <w:tblGrid>
        <w:gridCol w:w="4865"/>
        <w:gridCol w:w="4865"/>
      </w:tblGrid>
      <w:tr>
        <w:trPr>
          <w:trHeight w:hRule="exact" w:val="382"/>
        </w:trPr>
        <w:tc>
          <w:tcPr>
            <w:tcW w:type="dxa" w:w="584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4" w:after="0"/>
              <w:ind w:left="0" w:right="90" w:firstLine="0"/>
              <w:jc w:val="right"/>
            </w:pPr>
            <w:r>
              <w:rPr>
                <w:rFonts w:ascii="Asap" w:hAnsi="Asap" w:eastAsia="Asap"/>
                <w:b/>
                <w:i w:val="0"/>
                <w:color w:val="474C55"/>
                <w:sz w:val="18"/>
              </w:rPr>
              <w:t>AMCP FORMAT 5.0</w:t>
            </w:r>
          </w:p>
        </w:tc>
        <w:tc>
          <w:tcPr>
            <w:tcW w:type="dxa" w:w="1094"/>
            <w:tcBorders/>
            <w:shd w:fill="6b146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72" w:after="0"/>
              <w:ind w:left="90" w:right="0" w:firstLine="0"/>
              <w:jc w:val="left"/>
            </w:pPr>
            <w:r>
              <w:rPr>
                <w:rFonts w:ascii="Asap" w:hAnsi="Asap" w:eastAsia="Asap"/>
                <w:b/>
                <w:i w:val="0"/>
                <w:color w:val="FFFFFF"/>
                <w:sz w:val="18"/>
              </w:rPr>
              <w:t>55</w:t>
            </w:r>
          </w:p>
        </w:tc>
      </w:tr>
    </w:tbl>
    <w:p>
      <w:pPr>
        <w:autoSpaceDN w:val="0"/>
        <w:autoSpaceDE w:val="0"/>
        <w:widowControl/>
        <w:spacing w:line="560" w:lineRule="exact" w:before="968" w:after="140"/>
        <w:ind w:left="10" w:right="5904" w:firstLine="0"/>
        <w:jc w:val="left"/>
      </w:pPr>
      <w:r>
        <w:rPr>
          <w:rFonts w:ascii="Asap" w:hAnsi="Asap" w:eastAsia="Asap"/>
          <w:b w:val="0"/>
          <w:i w:val="0"/>
          <w:color w:val="14377D"/>
          <w:sz w:val="48"/>
        </w:rPr>
        <w:t xml:space="preserve">Appendix D Formulary </w:t>
      </w:r>
      <w:r>
        <w:br/>
      </w:r>
      <w:r>
        <w:rPr>
          <w:rFonts w:ascii="Asap" w:hAnsi="Asap" w:eastAsia="Asap"/>
          <w:b w:val="0"/>
          <w:i w:val="0"/>
          <w:color w:val="14377D"/>
          <w:sz w:val="48"/>
        </w:rPr>
        <w:t>Monograph Template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-10.0" w:type="dxa"/>
      </w:tblPr>
      <w:tblGrid>
        <w:gridCol w:w="3243"/>
        <w:gridCol w:w="3243"/>
        <w:gridCol w:w="3243"/>
      </w:tblGrid>
      <w:tr>
        <w:trPr>
          <w:trHeight w:hRule="exact" w:val="790"/>
        </w:trPr>
        <w:tc>
          <w:tcPr>
            <w:tcW w:type="dxa" w:w="51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6" w:lineRule="exact" w:before="0" w:after="0"/>
              <w:ind w:left="20" w:right="2160" w:firstLine="0"/>
              <w:jc w:val="left"/>
            </w:pPr>
            <w:r>
              <w:rPr>
                <w:rFonts w:ascii="Asap" w:hAnsi="Asap" w:eastAsia="Asap"/>
                <w:b/>
                <w:i w:val="0"/>
                <w:color w:val="14377D"/>
                <w:sz w:val="20"/>
              </w:rPr>
              <w:t xml:space="preserve">INDIVIDUAL PRODUCT REVIEW </w:t>
            </w:r>
            <w:r>
              <w:rPr>
                <w:rFonts w:ascii="Lora" w:hAnsi="Lora" w:eastAsia="Lora"/>
                <w:b w:val="0"/>
                <w:i w:val="0"/>
                <w:color w:val="000000"/>
                <w:sz w:val="18"/>
              </w:rPr>
              <w:t>Generic Name: [Name]</w:t>
            </w:r>
          </w:p>
        </w:tc>
        <w:tc>
          <w:tcPr>
            <w:tcW w:type="dxa" w:w="57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auto" w:before="306" w:after="0"/>
              <w:ind w:left="288" w:right="4320" w:firstLine="0"/>
              <w:jc w:val="center"/>
            </w:pPr>
            <w:r>
              <w:rPr>
                <w:rFonts w:ascii="Lora" w:hAnsi="Lora" w:eastAsia="Lora"/>
                <w:b w:val="0"/>
                <w:i w:val="0"/>
                <w:color w:val="000000"/>
                <w:sz w:val="18"/>
              </w:rPr>
              <w:t xml:space="preserve">Authorship </w:t>
            </w:r>
            <w:r>
              <w:br/>
            </w:r>
            <w:r>
              <w:rPr>
                <w:rFonts w:ascii="Lora" w:hAnsi="Lora" w:eastAsia="Lora"/>
                <w:b w:val="0"/>
                <w:i w:val="0"/>
                <w:color w:val="000000"/>
                <w:sz w:val="18"/>
              </w:rPr>
              <w:t>References</w:t>
            </w:r>
          </w:p>
          <w:p>
            <w:pPr>
              <w:autoSpaceDN w:val="0"/>
              <w:autoSpaceDE w:val="0"/>
              <w:widowControl/>
              <w:spacing w:line="264" w:lineRule="exact" w:before="356" w:after="0"/>
              <w:ind w:left="300" w:right="0" w:firstLine="0"/>
              <w:jc w:val="left"/>
            </w:pPr>
            <w:r>
              <w:rPr>
                <w:rFonts w:ascii="Asap" w:hAnsi="Asap" w:eastAsia="Asap"/>
                <w:b/>
                <w:i w:val="0"/>
                <w:color w:val="14377D"/>
                <w:sz w:val="20"/>
              </w:rPr>
              <w:t>ABBREVIATIONS USED IN THIS MONOGRAPH</w:t>
            </w:r>
          </w:p>
          <w:p>
            <w:pPr>
              <w:autoSpaceDN w:val="0"/>
              <w:autoSpaceDE w:val="0"/>
              <w:widowControl/>
              <w:spacing w:line="324" w:lineRule="exact" w:before="160" w:after="0"/>
              <w:ind w:left="300" w:right="288" w:firstLine="0"/>
              <w:jc w:val="left"/>
            </w:pPr>
            <w:r>
              <w:rPr>
                <w:rFonts w:ascii="Asap" w:hAnsi="Asap" w:eastAsia="Asap"/>
                <w:b/>
                <w:i w:val="0"/>
                <w:color w:val="14377D"/>
                <w:sz w:val="18"/>
              </w:rPr>
              <w:t xml:space="preserve">EXECUTIVE SUMMARY </w:t>
            </w:r>
            <w:r>
              <w:br/>
            </w:r>
            <w:r>
              <w:rPr>
                <w:rFonts w:ascii="Lora" w:hAnsi="Lora" w:eastAsia="Lora"/>
                <w:b/>
                <w:i/>
                <w:color w:val="000000"/>
                <w:sz w:val="18"/>
              </w:rPr>
              <w:t xml:space="preserve">Summary of Key Questions/Issues and Results of </w:t>
            </w:r>
            <w:r>
              <w:rPr>
                <w:rFonts w:ascii="Lora" w:hAnsi="Lora" w:eastAsia="Lora"/>
                <w:b/>
                <w:i/>
                <w:color w:val="000000"/>
                <w:sz w:val="18"/>
              </w:rPr>
              <w:t>Investigation</w:t>
            </w:r>
          </w:p>
        </w:tc>
      </w:tr>
      <w:tr>
        <w:trPr>
          <w:trHeight w:hRule="exact" w:val="400"/>
        </w:trPr>
        <w:tc>
          <w:tcPr>
            <w:tcW w:type="dxa" w:w="1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3" w:lineRule="auto" w:before="92" w:after="0"/>
              <w:ind w:left="20" w:right="0" w:firstLine="0"/>
              <w:jc w:val="left"/>
            </w:pPr>
            <w:r>
              <w:rPr>
                <w:rFonts w:ascii="Lora" w:hAnsi="Lora" w:eastAsia="Lora"/>
                <w:b w:val="0"/>
                <w:i w:val="0"/>
                <w:color w:val="000000"/>
                <w:sz w:val="18"/>
              </w:rPr>
              <w:t xml:space="preserve">Brand Name: </w:t>
            </w:r>
          </w:p>
        </w:tc>
        <w:tc>
          <w:tcPr>
            <w:tcW w:type="dxa" w:w="3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3" w:lineRule="auto" w:before="92" w:after="0"/>
              <w:ind w:left="160" w:right="0" w:firstLine="0"/>
              <w:jc w:val="left"/>
            </w:pPr>
            <w:r>
              <w:rPr>
                <w:rFonts w:ascii="Lora" w:hAnsi="Lora" w:eastAsia="Lora"/>
                <w:b w:val="0"/>
                <w:i w:val="0"/>
                <w:color w:val="000000"/>
                <w:sz w:val="18"/>
              </w:rPr>
              <w:t>[Name]</w:t>
            </w:r>
          </w:p>
        </w:tc>
        <w:tc>
          <w:tcPr>
            <w:tcW w:type="dxa" w:w="3243"/>
            <w:vMerge/>
            <w:tcBorders/>
          </w:tcPr>
          <w:p/>
        </w:tc>
      </w:tr>
      <w:tr>
        <w:trPr>
          <w:trHeight w:hRule="exact" w:val="400"/>
        </w:trPr>
        <w:tc>
          <w:tcPr>
            <w:tcW w:type="dxa" w:w="1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3" w:lineRule="auto" w:before="92" w:after="0"/>
              <w:ind w:left="20" w:right="0" w:firstLine="0"/>
              <w:jc w:val="left"/>
            </w:pPr>
            <w:r>
              <w:rPr>
                <w:rFonts w:ascii="Lora" w:hAnsi="Lora" w:eastAsia="Lora"/>
                <w:b w:val="0"/>
                <w:i w:val="0"/>
                <w:color w:val="000000"/>
                <w:sz w:val="18"/>
              </w:rPr>
              <w:t xml:space="preserve">Company: </w:t>
            </w:r>
          </w:p>
        </w:tc>
        <w:tc>
          <w:tcPr>
            <w:tcW w:type="dxa" w:w="3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3" w:lineRule="auto" w:before="92" w:after="0"/>
              <w:ind w:left="880" w:right="0" w:firstLine="0"/>
              <w:jc w:val="left"/>
            </w:pPr>
            <w:r>
              <w:rPr>
                <w:rFonts w:ascii="Lora" w:hAnsi="Lora" w:eastAsia="Lora"/>
                <w:b w:val="0"/>
                <w:i w:val="0"/>
                <w:color w:val="000000"/>
                <w:sz w:val="18"/>
              </w:rPr>
              <w:t>[Text]</w:t>
            </w:r>
          </w:p>
        </w:tc>
        <w:tc>
          <w:tcPr>
            <w:tcW w:type="dxa" w:w="3243"/>
            <w:vMerge/>
            <w:tcBorders/>
          </w:tcPr>
          <w:p/>
        </w:tc>
      </w:tr>
      <w:tr>
        <w:trPr>
          <w:trHeight w:hRule="exact" w:val="1096"/>
        </w:trPr>
        <w:tc>
          <w:tcPr>
            <w:tcW w:type="dxa" w:w="51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82" w:lineRule="exact" w:before="0" w:after="0"/>
              <w:ind w:left="20" w:right="144" w:firstLine="0"/>
              <w:jc w:val="left"/>
            </w:pPr>
            <w:r>
              <w:rPr>
                <w:rFonts w:ascii="Lora" w:hAnsi="Lora" w:eastAsia="Lora"/>
                <w:b w:val="0"/>
                <w:i w:val="0"/>
                <w:color w:val="000000"/>
                <w:sz w:val="18"/>
              </w:rPr>
              <w:t xml:space="preserve">Date of Review: [Month/Year] Reason for Review: [Text] </w:t>
            </w:r>
            <w:r>
              <w:rPr>
                <w:rFonts w:ascii="Asap" w:hAnsi="Asap" w:eastAsia="Asap"/>
                <w:b/>
                <w:i w:val="0"/>
                <w:color w:val="14377D"/>
                <w:sz w:val="20"/>
              </w:rPr>
              <w:t>TABLE OF CONTENTS</w:t>
            </w:r>
          </w:p>
        </w:tc>
        <w:tc>
          <w:tcPr>
            <w:tcW w:type="dxa" w:w="3243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14" w:lineRule="exact" w:before="0" w:after="2"/>
        <w:ind w:left="0" w:right="0"/>
      </w:pPr>
    </w:p>
    <w:p>
      <w:pPr>
        <w:sectPr>
          <w:pgSz w:w="11880" w:h="15660"/>
          <w:pgMar w:top="360" w:right="0" w:bottom="266" w:left="71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3" w:lineRule="auto" w:before="0" w:after="0"/>
        <w:ind w:left="10" w:right="0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Executive Summary </w:t>
      </w:r>
    </w:p>
    <w:p>
      <w:pPr>
        <w:autoSpaceDN w:val="0"/>
        <w:autoSpaceDE w:val="0"/>
        <w:widowControl/>
        <w:spacing w:line="223" w:lineRule="auto" w:before="150" w:after="0"/>
        <w:ind w:left="10" w:right="0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Recommendations </w:t>
      </w:r>
    </w:p>
    <w:p>
      <w:pPr>
        <w:autoSpaceDN w:val="0"/>
        <w:autoSpaceDE w:val="0"/>
        <w:widowControl/>
        <w:spacing w:line="223" w:lineRule="auto" w:before="150" w:after="0"/>
        <w:ind w:left="10" w:right="0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>Key Questions/Issues:</w:t>
      </w:r>
    </w:p>
    <w:p>
      <w:pPr>
        <w:autoSpaceDN w:val="0"/>
        <w:autoSpaceDE w:val="0"/>
        <w:widowControl/>
        <w:spacing w:line="245" w:lineRule="auto" w:before="150" w:after="0"/>
        <w:ind w:left="190" w:right="864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Issue 1: Efficacy 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Issue 2: Comparative Effectiveness 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Issue 3: Safety 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Issue 4: Value Proposition 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>Issue 5: Cost-effective Patient Subgroups</w:t>
      </w:r>
    </w:p>
    <w:p>
      <w:pPr>
        <w:sectPr>
          <w:type w:val="continuous"/>
          <w:pgSz w:w="11880" w:h="15660"/>
          <w:pgMar w:top="360" w:right="0" w:bottom="266" w:left="710" w:header="720" w:footer="720" w:gutter="0"/>
          <w:cols w:num="2" w:equalWidth="0">
            <w:col w:w="4546" w:space="0"/>
            <w:col w:w="6624" w:space="0"/>
          </w:cols>
          <w:docGrid w:linePitch="360"/>
        </w:sectPr>
      </w:pPr>
    </w:p>
    <w:p>
      <w:pPr>
        <w:autoSpaceDN w:val="0"/>
        <w:autoSpaceDE w:val="0"/>
        <w:widowControl/>
        <w:spacing w:line="245" w:lineRule="auto" w:before="0" w:after="0"/>
        <w:ind w:left="864" w:right="680" w:firstLine="0"/>
        <w:jc w:val="both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[Text. The answers to key questions should be no more than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 paragraph of modest length. If no evidence was found to </w:t>
      </w:r>
      <w:r>
        <w:rPr>
          <w:rFonts w:ascii="Lora" w:hAnsi="Lora" w:eastAsia="Lora"/>
          <w:b w:val="0"/>
          <w:i w:val="0"/>
          <w:color w:val="000000"/>
          <w:sz w:val="18"/>
        </w:rPr>
        <w:t>answer a particular question, state “No evidence found.”]</w:t>
      </w:r>
    </w:p>
    <w:p>
      <w:pPr>
        <w:autoSpaceDN w:val="0"/>
        <w:autoSpaceDE w:val="0"/>
        <w:widowControl/>
        <w:spacing w:line="218" w:lineRule="auto" w:before="158" w:after="0"/>
        <w:ind w:left="864" w:right="0" w:firstLine="0"/>
        <w:jc w:val="left"/>
      </w:pPr>
      <w:r>
        <w:rPr>
          <w:rFonts w:ascii="Lora" w:hAnsi="Lora" w:eastAsia="Lora"/>
          <w:b/>
          <w:i/>
          <w:color w:val="000000"/>
          <w:sz w:val="18"/>
        </w:rPr>
        <w:t>Issue 1: What is the evidence of efficacy from clinical trials?</w:t>
      </w:r>
    </w:p>
    <w:p>
      <w:pPr>
        <w:autoSpaceDN w:val="0"/>
        <w:autoSpaceDE w:val="0"/>
        <w:widowControl/>
        <w:spacing w:line="223" w:lineRule="auto" w:before="226" w:after="0"/>
        <w:ind w:left="864" w:right="0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>[Text]</w:t>
      </w:r>
    </w:p>
    <w:p>
      <w:pPr>
        <w:autoSpaceDN w:val="0"/>
        <w:autoSpaceDE w:val="0"/>
        <w:widowControl/>
        <w:spacing w:line="245" w:lineRule="auto" w:before="158" w:after="146"/>
        <w:ind w:left="864" w:right="576" w:firstLine="0"/>
        <w:jc w:val="left"/>
      </w:pPr>
      <w:r>
        <w:rPr>
          <w:rFonts w:ascii="Lora" w:hAnsi="Lora" w:eastAsia="Lora"/>
          <w:b/>
          <w:i/>
          <w:color w:val="000000"/>
          <w:sz w:val="18"/>
        </w:rPr>
        <w:t xml:space="preserve">Issue 2: Is there sufficient evidence to assess real-world </w:t>
      </w:r>
      <w:r>
        <w:rPr>
          <w:rFonts w:ascii="Lora" w:hAnsi="Lora" w:eastAsia="Lora"/>
          <w:b/>
          <w:i/>
          <w:color w:val="000000"/>
          <w:sz w:val="18"/>
        </w:rPr>
        <w:t>comparative effectiveness?</w:t>
      </w:r>
    </w:p>
    <w:p>
      <w:pPr>
        <w:sectPr>
          <w:type w:val="nextColumn"/>
          <w:pgSz w:w="11880" w:h="15660"/>
          <w:pgMar w:top="360" w:right="0" w:bottom="266" w:left="710" w:header="720" w:footer="720" w:gutter="0"/>
          <w:cols w:num="2" w:equalWidth="0">
            <w:col w:w="4546" w:space="0"/>
            <w:col w:w="6624" w:space="0"/>
          </w:cols>
          <w:docGrid w:linePitch="360"/>
        </w:sectPr>
      </w:pPr>
    </w:p>
    <w:p>
      <w:pPr>
        <w:autoSpaceDN w:val="0"/>
        <w:tabs>
          <w:tab w:pos="5410" w:val="left"/>
        </w:tabs>
        <w:autoSpaceDE w:val="0"/>
        <w:widowControl/>
        <w:spacing w:line="238" w:lineRule="auto" w:before="0" w:after="230"/>
        <w:ind w:left="10" w:right="0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Tables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[Text]</w:t>
      </w:r>
    </w:p>
    <w:p>
      <w:pPr>
        <w:sectPr>
          <w:type w:val="continuous"/>
          <w:pgSz w:w="11880" w:h="15660"/>
          <w:pgMar w:top="360" w:right="0" w:bottom="266" w:left="710" w:header="720" w:footer="720" w:gutter="0"/>
          <w:cols/>
          <w:docGrid w:linePitch="360"/>
        </w:sectPr>
      </w:pPr>
    </w:p>
    <w:p>
      <w:pPr>
        <w:autoSpaceDN w:val="0"/>
        <w:tabs>
          <w:tab w:pos="190" w:val="left"/>
        </w:tabs>
        <w:autoSpaceDE w:val="0"/>
        <w:widowControl/>
        <w:spacing w:line="286" w:lineRule="auto" w:before="0" w:after="0"/>
        <w:ind w:left="10" w:right="720" w:firstLine="0"/>
        <w:jc w:val="left"/>
      </w:pP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Clinical Evidence Summary </w:t>
      </w:r>
      <w:r>
        <w:br/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Validation of Instruments Used in Studies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Cost-effectiveness Evidence Summary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Disease Background 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Treatment Alternatives 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Product Background </w:t>
      </w:r>
    </w:p>
    <w:p>
      <w:pPr>
        <w:sectPr>
          <w:type w:val="continuous"/>
          <w:pgSz w:w="11880" w:h="15660"/>
          <w:pgMar w:top="360" w:right="0" w:bottom="266" w:left="710" w:header="720" w:footer="720" w:gutter="0"/>
          <w:cols w:num="2" w:equalWidth="0">
            <w:col w:w="4594" w:space="0"/>
            <w:col w:w="6576" w:space="0"/>
          </w:cols>
          <w:docGrid w:linePitch="360"/>
        </w:sectPr>
      </w:pPr>
    </w:p>
    <w:p>
      <w:pPr>
        <w:autoSpaceDN w:val="0"/>
        <w:autoSpaceDE w:val="0"/>
        <w:widowControl/>
        <w:spacing w:line="218" w:lineRule="auto" w:before="0" w:after="0"/>
        <w:ind w:left="816" w:right="0" w:firstLine="0"/>
        <w:jc w:val="left"/>
      </w:pPr>
      <w:r>
        <w:rPr>
          <w:rFonts w:ascii="Lora" w:hAnsi="Lora" w:eastAsia="Lora"/>
          <w:b w:val="0"/>
          <w:i/>
          <w:color w:val="000000"/>
          <w:sz w:val="18"/>
        </w:rPr>
        <w:t>I</w:t>
      </w:r>
      <w:r>
        <w:rPr>
          <w:rFonts w:ascii="Lora" w:hAnsi="Lora" w:eastAsia="Lora"/>
          <w:b/>
          <w:i/>
          <w:color w:val="000000"/>
          <w:sz w:val="18"/>
        </w:rPr>
        <w:t>ssue 3: What is the evidence of safety?</w:t>
      </w:r>
    </w:p>
    <w:p>
      <w:pPr>
        <w:autoSpaceDN w:val="0"/>
        <w:autoSpaceDE w:val="0"/>
        <w:widowControl/>
        <w:spacing w:line="290" w:lineRule="auto" w:before="146" w:after="0"/>
        <w:ind w:left="816" w:right="1008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[Text] </w:t>
      </w:r>
      <w:r>
        <w:br/>
      </w:r>
      <w:r>
        <w:rPr>
          <w:rFonts w:ascii="Lora" w:hAnsi="Lora" w:eastAsia="Lora"/>
          <w:b/>
          <w:i/>
          <w:color w:val="000000"/>
          <w:sz w:val="18"/>
        </w:rPr>
        <w:t>Issue 4: What is the value proposition for this product?</w:t>
      </w:r>
    </w:p>
    <w:p>
      <w:pPr>
        <w:autoSpaceDN w:val="0"/>
        <w:autoSpaceDE w:val="0"/>
        <w:widowControl/>
        <w:spacing w:line="264" w:lineRule="auto" w:before="146" w:after="82"/>
        <w:ind w:left="816" w:right="576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[Text] </w:t>
      </w:r>
      <w:r>
        <w:br/>
      </w:r>
      <w:r>
        <w:rPr>
          <w:rFonts w:ascii="Lora" w:hAnsi="Lora" w:eastAsia="Lora"/>
          <w:b/>
          <w:i/>
          <w:color w:val="000000"/>
          <w:sz w:val="18"/>
        </w:rPr>
        <w:t xml:space="preserve">Issue 5: Are there identifiable patient subgroups in which </w:t>
      </w:r>
      <w:r>
        <w:rPr>
          <w:rFonts w:ascii="Lora" w:hAnsi="Lora" w:eastAsia="Lora"/>
          <w:b/>
          <w:i/>
          <w:color w:val="000000"/>
          <w:sz w:val="18"/>
        </w:rPr>
        <w:t>this treatment will be most cost-effective?</w:t>
      </w:r>
    </w:p>
    <w:p>
      <w:pPr>
        <w:sectPr>
          <w:type w:val="nextColumn"/>
          <w:pgSz w:w="11880" w:h="15660"/>
          <w:pgMar w:top="360" w:right="0" w:bottom="266" w:left="710" w:header="720" w:footer="720" w:gutter="0"/>
          <w:cols w:num="2" w:equalWidth="0">
            <w:col w:w="4594" w:space="0"/>
            <w:col w:w="6576" w:space="0"/>
          </w:cols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-10.0" w:type="dxa"/>
      </w:tblPr>
      <w:tblGrid>
        <w:gridCol w:w="4865"/>
        <w:gridCol w:w="4865"/>
      </w:tblGrid>
      <w:tr>
        <w:trPr>
          <w:trHeight w:hRule="exact" w:val="374"/>
        </w:trPr>
        <w:tc>
          <w:tcPr>
            <w:tcW w:type="dxa" w:w="3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3" w:lineRule="auto" w:before="0" w:after="0"/>
              <w:ind w:left="20" w:right="0" w:firstLine="0"/>
              <w:jc w:val="left"/>
            </w:pPr>
            <w:r>
              <w:rPr>
                <w:rFonts w:ascii="Lora" w:hAnsi="Lora" w:eastAsia="Lora"/>
                <w:b w:val="0"/>
                <w:i w:val="0"/>
                <w:color w:val="000000"/>
                <w:sz w:val="18"/>
              </w:rPr>
              <w:t xml:space="preserve">Review Methodology </w:t>
            </w:r>
          </w:p>
        </w:tc>
        <w:tc>
          <w:tcPr>
            <w:tcW w:type="dxa" w:w="4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3" w:lineRule="auto" w:before="64" w:after="0"/>
              <w:ind w:left="0" w:right="2614" w:firstLine="0"/>
              <w:jc w:val="right"/>
            </w:pPr>
            <w:r>
              <w:rPr>
                <w:rFonts w:ascii="Lora" w:hAnsi="Lora" w:eastAsia="Lora"/>
                <w:b w:val="0"/>
                <w:i w:val="0"/>
                <w:color w:val="000000"/>
                <w:sz w:val="18"/>
              </w:rPr>
              <w:t>[Text]</w:t>
            </w:r>
          </w:p>
        </w:tc>
      </w:tr>
    </w:tbl>
    <w:p>
      <w:pPr>
        <w:autoSpaceDN w:val="0"/>
        <w:autoSpaceDE w:val="0"/>
        <w:widowControl/>
        <w:spacing w:line="34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0.0" w:type="dxa"/>
      </w:tblPr>
      <w:tblGrid>
        <w:gridCol w:w="9730"/>
      </w:tblGrid>
      <w:tr>
        <w:trPr>
          <w:trHeight w:hRule="exact" w:val="2140"/>
        </w:trPr>
        <w:tc>
          <w:tcPr>
            <w:tcW w:type="dxa" w:w="10420"/>
            <w:tcBorders>
              <w:start w:sz="16.0" w:val="single" w:color="#13377C"/>
              <w:top w:sz="16.0" w:val="single" w:color="#13377C"/>
              <w:end w:sz="16.0" w:val="single" w:color="#13377C"/>
              <w:bottom w:sz="16.0" w:val="single" w:color="#13377C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8" w:lineRule="exact" w:before="370" w:after="0"/>
              <w:ind w:left="286" w:right="288" w:firstLine="0"/>
              <w:jc w:val="left"/>
            </w:pPr>
            <w:r>
              <w:rPr>
                <w:w w:val="98.6630630493164"/>
                <w:rFonts w:ascii="Asap" w:hAnsi="Asap" w:eastAsia="Asap"/>
                <w:b/>
                <w:i w:val="0"/>
                <w:color w:val="001F5B"/>
                <w:sz w:val="25"/>
              </w:rPr>
              <w:t xml:space="preserve">RECOMMENDATIONS TO THE COMMITTEE </w:t>
            </w:r>
            <w:r>
              <w:br/>
            </w:r>
            <w:r>
              <w:rPr>
                <w:rFonts w:ascii="Lora" w:hAnsi="Lora" w:eastAsia="Lora"/>
                <w:b w:val="0"/>
                <w:i/>
                <w:color w:val="001F5B"/>
                <w:sz w:val="20"/>
              </w:rPr>
              <w:t xml:space="preserve">[Findings, key issues, and conclusions summarized as one or two short paragraphs that explain the logic </w:t>
            </w:r>
            <w:r>
              <w:rPr>
                <w:rFonts w:ascii="Lora" w:hAnsi="Lora" w:eastAsia="Lora"/>
                <w:b w:val="0"/>
                <w:i/>
                <w:color w:val="001F5B"/>
                <w:sz w:val="20"/>
              </w:rPr>
              <w:t xml:space="preserve">leading to the recommendations.] </w:t>
            </w:r>
            <w:r>
              <w:br/>
            </w:r>
            <w:r>
              <w:rPr>
                <w:rFonts w:ascii="Lora" w:hAnsi="Lora" w:eastAsia="Lora"/>
                <w:b w:val="0"/>
                <w:i w:val="0"/>
                <w:color w:val="000000"/>
                <w:sz w:val="19"/>
              </w:rPr>
              <w:t>Therefore, the following Pharmacy and Therapeutics Committee action is recommended:</w:t>
            </w:r>
          </w:p>
        </w:tc>
      </w:tr>
    </w:tbl>
    <w:p>
      <w:pPr>
        <w:autoSpaceDN w:val="0"/>
        <w:autoSpaceDE w:val="0"/>
        <w:widowControl/>
        <w:spacing w:line="186" w:lineRule="exact" w:before="886" w:after="0"/>
        <w:ind w:left="0" w:right="742" w:firstLine="0"/>
        <w:jc w:val="right"/>
      </w:pPr>
      <w:r>
        <w:rPr>
          <w:rFonts w:ascii="Asap" w:hAnsi="Asap" w:eastAsia="Asap"/>
          <w:b w:val="0"/>
          <w:i w:val="0"/>
          <w:color w:val="474C55"/>
          <w:sz w:val="14"/>
        </w:rPr>
        <w:t>Vol. 30, No. 4-b</w:t>
      </w:r>
      <w:r>
        <w:rPr>
          <w:rFonts w:ascii="Asap" w:hAnsi="Asap" w:eastAsia="Asap"/>
          <w:b w:val="0"/>
          <w:i w:val="0"/>
          <w:color w:val="474C55"/>
          <w:sz w:val="14"/>
        </w:rPr>
        <w:t>|</w:t>
      </w:r>
      <w:r>
        <w:rPr>
          <w:rFonts w:ascii="Asap" w:hAnsi="Asap" w:eastAsia="Asap"/>
          <w:b w:val="0"/>
          <w:i w:val="0"/>
          <w:color w:val="474C55"/>
          <w:sz w:val="14"/>
        </w:rPr>
        <w:t>April 2024</w:t>
      </w:r>
      <w:r>
        <w:rPr>
          <w:rFonts w:ascii="Asap" w:hAnsi="Asap" w:eastAsia="Asap"/>
          <w:b w:val="0"/>
          <w:i w:val="0"/>
          <w:color w:val="474C55"/>
          <w:sz w:val="14"/>
        </w:rPr>
        <w:t>|</w:t>
      </w:r>
      <w:r>
        <w:rPr>
          <w:rFonts w:ascii="Asap" w:hAnsi="Asap" w:eastAsia="Asap"/>
          <w:b/>
          <w:i w:val="0"/>
          <w:color w:val="14377D"/>
          <w:sz w:val="14"/>
        </w:rPr>
        <w:t xml:space="preserve"> JMCP</w:t>
      </w:r>
      <w:r>
        <w:rPr>
          <w:rFonts w:ascii="Asap" w:hAnsi="Asap" w:eastAsia="Asap"/>
          <w:b w:val="0"/>
          <w:i w:val="0"/>
          <w:color w:val="14377D"/>
          <w:sz w:val="14"/>
        </w:rPr>
        <w:t>.org</w:t>
      </w:r>
    </w:p>
    <w:p>
      <w:pPr>
        <w:sectPr>
          <w:type w:val="continuous"/>
          <w:pgSz w:w="11880" w:h="15660"/>
          <w:pgMar w:top="360" w:right="0" w:bottom="266" w:left="71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883"/>
        <w:gridCol w:w="4883"/>
      </w:tblGrid>
      <w:tr>
        <w:trPr>
          <w:trHeight w:hRule="exact" w:val="362"/>
        </w:trPr>
        <w:tc>
          <w:tcPr>
            <w:tcW w:type="dxa" w:w="1094"/>
            <w:tcBorders/>
            <w:shd w:fill="6b146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4" w:after="0"/>
              <w:ind w:left="0" w:right="90" w:firstLine="0"/>
              <w:jc w:val="right"/>
            </w:pPr>
            <w:r>
              <w:rPr>
                <w:rFonts w:ascii="Asap" w:hAnsi="Asap" w:eastAsia="Asap"/>
                <w:b/>
                <w:i w:val="0"/>
                <w:color w:val="FFFFFF"/>
                <w:sz w:val="18"/>
              </w:rPr>
              <w:t>56</w:t>
            </w:r>
          </w:p>
        </w:tc>
        <w:tc>
          <w:tcPr>
            <w:tcW w:type="dxa" w:w="584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4" w:after="0"/>
              <w:ind w:left="90" w:right="0" w:firstLine="0"/>
              <w:jc w:val="left"/>
            </w:pPr>
            <w:r>
              <w:rPr>
                <w:rFonts w:ascii="Asap" w:hAnsi="Asap" w:eastAsia="Asap"/>
                <w:b/>
                <w:i w:val="0"/>
                <w:color w:val="474C55"/>
                <w:sz w:val="18"/>
              </w:rPr>
              <w:t>AMCP FORMAT 5.0</w:t>
            </w:r>
          </w:p>
        </w:tc>
      </w:tr>
    </w:tbl>
    <w:p>
      <w:pPr>
        <w:autoSpaceDN w:val="0"/>
        <w:autoSpaceDE w:val="0"/>
        <w:widowControl/>
        <w:spacing w:line="14" w:lineRule="exact" w:before="0" w:after="1032"/>
        <w:ind w:left="0" w:right="0"/>
      </w:pPr>
    </w:p>
    <w:p>
      <w:pPr>
        <w:sectPr>
          <w:pgSz w:w="11880" w:h="15660"/>
          <w:pgMar w:top="360" w:right="674" w:bottom="266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338" w:lineRule="exact" w:before="0" w:after="0"/>
        <w:ind w:left="698" w:right="144" w:firstLine="0"/>
        <w:jc w:val="left"/>
      </w:pPr>
      <w:r>
        <w:rPr>
          <w:rFonts w:ascii="Asap" w:hAnsi="Asap" w:eastAsia="Asap"/>
          <w:b/>
          <w:i w:val="0"/>
          <w:color w:val="14377D"/>
          <w:sz w:val="20"/>
        </w:rPr>
        <w:t xml:space="preserve">KEY QUESTIONS AND ISSUES 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>I</w:t>
      </w:r>
      <w:r>
        <w:rPr>
          <w:rFonts w:ascii="Lora" w:hAnsi="Lora" w:eastAsia="Lora"/>
          <w:b/>
          <w:i/>
          <w:color w:val="000000"/>
          <w:sz w:val="18"/>
        </w:rPr>
        <w:t>ssue 1: What is the evidence of efficacy from clinical trials?</w:t>
      </w:r>
    </w:p>
    <w:p>
      <w:pPr>
        <w:autoSpaceDN w:val="0"/>
        <w:autoSpaceDE w:val="0"/>
        <w:widowControl/>
        <w:spacing w:line="264" w:lineRule="auto" w:before="226" w:after="0"/>
        <w:ind w:left="698" w:right="144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[Narrative summary of evidence for efficacy.] </w:t>
      </w:r>
      <w:r>
        <w:br/>
      </w:r>
      <w:r>
        <w:rPr>
          <w:rFonts w:ascii="Lora" w:hAnsi="Lora" w:eastAsia="Lora"/>
          <w:b w:val="0"/>
          <w:i/>
          <w:color w:val="000000"/>
          <w:sz w:val="18"/>
        </w:rPr>
        <w:t>I</w:t>
      </w:r>
      <w:r>
        <w:rPr>
          <w:rFonts w:ascii="Lora" w:hAnsi="Lora" w:eastAsia="Lora"/>
          <w:b/>
          <w:i/>
          <w:color w:val="000000"/>
          <w:sz w:val="18"/>
        </w:rPr>
        <w:t xml:space="preserve">ssue 2: Is there sufficient evidence to assess real-world </w:t>
      </w:r>
      <w:r>
        <w:rPr>
          <w:rFonts w:ascii="Lora" w:hAnsi="Lora" w:eastAsia="Lora"/>
          <w:b/>
          <w:i/>
          <w:color w:val="000000"/>
          <w:sz w:val="18"/>
        </w:rPr>
        <w:t>comparative effectiveness?</w:t>
      </w:r>
    </w:p>
    <w:p>
      <w:pPr>
        <w:sectPr>
          <w:type w:val="continuous"/>
          <w:pgSz w:w="11880" w:h="15660"/>
          <w:pgMar w:top="360" w:right="674" w:bottom="266" w:left="0" w:header="720" w:footer="720" w:gutter="0"/>
          <w:cols w:num="2" w:equalWidth="0">
            <w:col w:w="5942" w:space="0"/>
            <w:col w:w="5263" w:space="0"/>
          </w:cols>
          <w:docGrid w:linePitch="360"/>
        </w:sectPr>
      </w:pPr>
    </w:p>
    <w:p>
      <w:pPr>
        <w:autoSpaceDN w:val="0"/>
        <w:autoSpaceDE w:val="0"/>
        <w:widowControl/>
        <w:spacing w:line="358" w:lineRule="exact" w:before="0" w:after="158"/>
        <w:ind w:left="156" w:right="144" w:firstLine="0"/>
        <w:jc w:val="left"/>
      </w:pPr>
      <w:r>
        <w:rPr>
          <w:rFonts w:ascii="Asap" w:hAnsi="Asap" w:eastAsia="Asap"/>
          <w:b/>
          <w:i w:val="0"/>
          <w:color w:val="007EC5"/>
          <w:sz w:val="18"/>
        </w:rPr>
        <w:t xml:space="preserve">Incremental Cost-effectiveness 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[Discussion of cost-effectiveness analyses.] </w:t>
      </w:r>
      <w:r>
        <w:br/>
      </w:r>
      <w:r>
        <w:rPr>
          <w:rFonts w:ascii="Asap" w:hAnsi="Asap" w:eastAsia="Asap"/>
          <w:b/>
          <w:i w:val="0"/>
          <w:color w:val="007EC5"/>
          <w:sz w:val="18"/>
        </w:rPr>
        <w:t xml:space="preserve">Summary of Incremental Cost-effectiveness Ratios Found by </w:t>
      </w:r>
      <w:r>
        <w:rPr>
          <w:rFonts w:ascii="Asap" w:hAnsi="Asap" w:eastAsia="Asap"/>
          <w:b/>
          <w:i w:val="0"/>
          <w:color w:val="007EC5"/>
          <w:sz w:val="18"/>
        </w:rPr>
        <w:t xml:space="preserve">Studies Included in this Review 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>[Text or table to summarize study findings.]</w:t>
      </w:r>
    </w:p>
    <w:p>
      <w:pPr>
        <w:sectPr>
          <w:type w:val="nextColumn"/>
          <w:pgSz w:w="11880" w:h="15660"/>
          <w:pgMar w:top="360" w:right="674" w:bottom="266" w:left="0" w:header="720" w:footer="720" w:gutter="0"/>
          <w:cols w:num="2" w:equalWidth="0">
            <w:col w:w="5942" w:space="0"/>
            <w:col w:w="5263" w:space="0"/>
          </w:cols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40.0" w:type="dxa"/>
      </w:tblPr>
      <w:tblGrid>
        <w:gridCol w:w="1395"/>
        <w:gridCol w:w="1395"/>
        <w:gridCol w:w="1395"/>
        <w:gridCol w:w="1395"/>
        <w:gridCol w:w="1395"/>
        <w:gridCol w:w="1395"/>
        <w:gridCol w:w="1395"/>
      </w:tblGrid>
      <w:tr>
        <w:trPr>
          <w:trHeight w:hRule="exact" w:val="236"/>
        </w:trPr>
        <w:tc>
          <w:tcPr>
            <w:tcW w:type="dxa" w:w="13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3" w:lineRule="auto" w:before="66" w:after="0"/>
              <w:ind w:left="0" w:right="64" w:firstLine="0"/>
              <w:jc w:val="right"/>
            </w:pPr>
            <w:r>
              <w:rPr>
                <w:rFonts w:ascii="Lora" w:hAnsi="Lora" w:eastAsia="Lora"/>
                <w:b w:val="0"/>
                <w:i w:val="0"/>
                <w:color w:val="000000"/>
                <w:sz w:val="18"/>
              </w:rPr>
              <w:t xml:space="preserve">[Narrative </w:t>
            </w:r>
          </w:p>
        </w:tc>
        <w:tc>
          <w:tcPr>
            <w:tcW w:type="dxa" w:w="10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3" w:lineRule="auto" w:before="66" w:after="0"/>
              <w:ind w:left="0" w:right="0" w:firstLine="0"/>
              <w:jc w:val="center"/>
            </w:pPr>
            <w:r>
              <w:rPr>
                <w:rFonts w:ascii="Lora" w:hAnsi="Lora" w:eastAsia="Lora"/>
                <w:b w:val="0"/>
                <w:i w:val="0"/>
                <w:color w:val="000000"/>
                <w:sz w:val="18"/>
              </w:rPr>
              <w:t xml:space="preserve">summary </w:t>
            </w:r>
          </w:p>
        </w:tc>
        <w:tc>
          <w:tcPr>
            <w:tcW w:type="dxa" w:w="3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3" w:lineRule="auto" w:before="72" w:after="0"/>
              <w:ind w:left="0" w:right="0" w:firstLine="0"/>
              <w:jc w:val="center"/>
            </w:pPr>
            <w:r>
              <w:rPr>
                <w:rFonts w:ascii="Lora" w:hAnsi="Lora" w:eastAsia="Lora"/>
                <w:b w:val="0"/>
                <w:i w:val="0"/>
                <w:color w:val="000000"/>
                <w:sz w:val="18"/>
              </w:rPr>
              <w:t xml:space="preserve">of </w:t>
            </w:r>
          </w:p>
        </w:tc>
        <w:tc>
          <w:tcPr>
            <w:tcW w:type="dxa" w:w="9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3" w:lineRule="auto" w:before="72" w:after="0"/>
              <w:ind w:left="0" w:right="0" w:firstLine="0"/>
              <w:jc w:val="center"/>
            </w:pPr>
            <w:r>
              <w:rPr>
                <w:rFonts w:ascii="Lora" w:hAnsi="Lora" w:eastAsia="Lora"/>
                <w:b w:val="0"/>
                <w:i w:val="0"/>
                <w:color w:val="000000"/>
                <w:sz w:val="18"/>
              </w:rPr>
              <w:t xml:space="preserve">evidence </w:t>
            </w:r>
          </w:p>
        </w:tc>
        <w:tc>
          <w:tcPr>
            <w:tcW w:type="dxa" w:w="4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3" w:lineRule="auto" w:before="72" w:after="0"/>
              <w:ind w:left="0" w:right="0" w:firstLine="0"/>
              <w:jc w:val="center"/>
            </w:pPr>
            <w:r>
              <w:rPr>
                <w:rFonts w:ascii="Lora" w:hAnsi="Lora" w:eastAsia="Lora"/>
                <w:b w:val="0"/>
                <w:i w:val="0"/>
                <w:color w:val="000000"/>
                <w:sz w:val="18"/>
              </w:rPr>
              <w:t xml:space="preserve">for </w:t>
            </w:r>
          </w:p>
        </w:tc>
        <w:tc>
          <w:tcPr>
            <w:tcW w:type="dxa" w:w="13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3" w:lineRule="auto" w:before="72" w:after="0"/>
              <w:ind w:left="0" w:right="0" w:firstLine="0"/>
              <w:jc w:val="center"/>
            </w:pPr>
            <w:r>
              <w:rPr>
                <w:rFonts w:ascii="Lora" w:hAnsi="Lora" w:eastAsia="Lora"/>
                <w:b w:val="0"/>
                <w:i w:val="0"/>
                <w:color w:val="000000"/>
                <w:sz w:val="18"/>
              </w:rPr>
              <w:t xml:space="preserve">comparative </w:t>
            </w:r>
          </w:p>
        </w:tc>
        <w:tc>
          <w:tcPr>
            <w:tcW w:type="dxa" w:w="5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158" w:right="0" w:firstLine="0"/>
              <w:jc w:val="left"/>
            </w:pPr>
            <w:r>
              <w:rPr>
                <w:rFonts w:ascii="Lora" w:hAnsi="Lora" w:eastAsia="Lora"/>
                <w:b/>
                <w:i/>
                <w:color w:val="000000"/>
                <w:sz w:val="18"/>
              </w:rPr>
              <w:t xml:space="preserve">Issue 5: Are there identifiable patient subgroups in which </w:t>
            </w:r>
          </w:p>
        </w:tc>
      </w:tr>
      <w:tr>
        <w:trPr>
          <w:trHeight w:hRule="exact" w:val="80"/>
        </w:trPr>
        <w:tc>
          <w:tcPr>
            <w:tcW w:type="dxa" w:w="1395"/>
            <w:vMerge/>
            <w:tcBorders/>
          </w:tcPr>
          <w:p/>
        </w:tc>
        <w:tc>
          <w:tcPr>
            <w:tcW w:type="dxa" w:w="1395"/>
            <w:vMerge/>
            <w:tcBorders/>
          </w:tcPr>
          <w:p/>
        </w:tc>
        <w:tc>
          <w:tcPr>
            <w:tcW w:type="dxa" w:w="1395"/>
            <w:vMerge/>
            <w:tcBorders/>
          </w:tcPr>
          <w:p/>
        </w:tc>
        <w:tc>
          <w:tcPr>
            <w:tcW w:type="dxa" w:w="1395"/>
            <w:vMerge/>
            <w:tcBorders/>
          </w:tcPr>
          <w:p/>
        </w:tc>
        <w:tc>
          <w:tcPr>
            <w:tcW w:type="dxa" w:w="1395"/>
            <w:vMerge/>
            <w:tcBorders/>
          </w:tcPr>
          <w:p/>
        </w:tc>
        <w:tc>
          <w:tcPr>
            <w:tcW w:type="dxa" w:w="1395"/>
            <w:vMerge/>
            <w:tcBorders/>
          </w:tcPr>
          <w:p/>
        </w:tc>
        <w:tc>
          <w:tcPr>
            <w:tcW w:type="dxa" w:w="52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4" w:after="0"/>
              <w:ind w:left="158" w:right="0" w:firstLine="0"/>
              <w:jc w:val="left"/>
            </w:pPr>
            <w:r>
              <w:rPr>
                <w:rFonts w:ascii="Lora" w:hAnsi="Lora" w:eastAsia="Lora"/>
                <w:b/>
                <w:i/>
                <w:color w:val="000000"/>
                <w:sz w:val="18"/>
              </w:rPr>
              <w:t>this treatment will be most cost effective?</w:t>
            </w:r>
          </w:p>
        </w:tc>
      </w:tr>
      <w:tr>
        <w:trPr>
          <w:trHeight w:hRule="exact" w:val="226"/>
        </w:trPr>
        <w:tc>
          <w:tcPr>
            <w:tcW w:type="dxa" w:w="24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3" w:lineRule="auto" w:before="0" w:after="0"/>
              <w:ind w:left="358" w:right="0" w:firstLine="0"/>
              <w:jc w:val="left"/>
            </w:pPr>
            <w:r>
              <w:rPr>
                <w:rFonts w:ascii="Lora" w:hAnsi="Lora" w:eastAsia="Lora"/>
                <w:b w:val="0"/>
                <w:i w:val="0"/>
                <w:color w:val="000000"/>
                <w:sz w:val="18"/>
              </w:rPr>
              <w:t>effectiveness.]</w:t>
            </w:r>
          </w:p>
        </w:tc>
        <w:tc>
          <w:tcPr>
            <w:tcW w:type="dxa" w:w="1395"/>
            <w:vMerge/>
            <w:tcBorders/>
          </w:tcPr>
          <w:p/>
        </w:tc>
        <w:tc>
          <w:tcPr>
            <w:tcW w:type="dxa" w:w="1395"/>
            <w:vMerge/>
            <w:tcBorders/>
          </w:tcPr>
          <w:p/>
        </w:tc>
        <w:tc>
          <w:tcPr>
            <w:tcW w:type="dxa" w:w="1395"/>
            <w:vMerge/>
            <w:tcBorders/>
          </w:tcPr>
          <w:p/>
        </w:tc>
        <w:tc>
          <w:tcPr>
            <w:tcW w:type="dxa" w:w="1395"/>
            <w:vMerge/>
            <w:tcBorders/>
          </w:tcPr>
          <w:p/>
        </w:tc>
        <w:tc>
          <w:tcPr>
            <w:tcW w:type="dxa" w:w="1395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14" w:lineRule="exact" w:before="0" w:after="156"/>
        <w:ind w:left="0" w:right="0"/>
      </w:pPr>
    </w:p>
    <w:p>
      <w:pPr>
        <w:sectPr>
          <w:type w:val="continuous"/>
          <w:pgSz w:w="11880" w:h="15660"/>
          <w:pgMar w:top="360" w:right="674" w:bottom="266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1" w:lineRule="auto" w:before="0" w:after="0"/>
        <w:ind w:left="698" w:right="0" w:firstLine="0"/>
        <w:jc w:val="left"/>
      </w:pPr>
      <w:r>
        <w:rPr>
          <w:rFonts w:ascii="Lora" w:hAnsi="Lora" w:eastAsia="Lora"/>
          <w:b/>
          <w:i/>
          <w:color w:val="000000"/>
          <w:sz w:val="18"/>
        </w:rPr>
        <w:t>Issue 3: What is the evidence of safety?</w:t>
      </w:r>
    </w:p>
    <w:p>
      <w:pPr>
        <w:autoSpaceDN w:val="0"/>
        <w:autoSpaceDE w:val="0"/>
        <w:widowControl/>
        <w:spacing w:line="290" w:lineRule="auto" w:before="226" w:after="0"/>
        <w:ind w:left="698" w:right="288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[Narrative summary of evidence for safety.] </w:t>
      </w:r>
      <w:r>
        <w:br/>
      </w:r>
      <w:r>
        <w:rPr>
          <w:rFonts w:ascii="Lora" w:hAnsi="Lora" w:eastAsia="Lora"/>
          <w:b/>
          <w:i/>
          <w:color w:val="000000"/>
          <w:sz w:val="18"/>
        </w:rPr>
        <w:t>Issue 4: What is the value proposition for this product?</w:t>
      </w:r>
    </w:p>
    <w:p>
      <w:pPr>
        <w:autoSpaceDN w:val="0"/>
        <w:autoSpaceDE w:val="0"/>
        <w:widowControl/>
        <w:spacing w:line="408" w:lineRule="exact" w:before="0" w:after="0"/>
        <w:ind w:left="698" w:right="2592" w:firstLine="0"/>
        <w:jc w:val="left"/>
      </w:pPr>
      <w:r>
        <w:rPr>
          <w:rFonts w:ascii="Asap" w:hAnsi="Asap" w:eastAsia="Asap"/>
          <w:b/>
          <w:i w:val="0"/>
          <w:color w:val="007EC5"/>
          <w:sz w:val="18"/>
        </w:rPr>
        <w:t xml:space="preserve">Summary of Product Value 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>[Text summary statement.]</w:t>
      </w:r>
    </w:p>
    <w:p>
      <w:pPr>
        <w:sectPr>
          <w:type w:val="continuous"/>
          <w:pgSz w:w="11880" w:h="15660"/>
          <w:pgMar w:top="360" w:right="674" w:bottom="266" w:left="0" w:header="720" w:footer="720" w:gutter="0"/>
          <w:cols w:num="2" w:equalWidth="0">
            <w:col w:w="5730" w:space="0"/>
            <w:col w:w="5475" w:space="0"/>
          </w:cols>
          <w:docGrid w:linePitch="360"/>
        </w:sectPr>
      </w:pPr>
    </w:p>
    <w:p>
      <w:pPr>
        <w:autoSpaceDN w:val="0"/>
        <w:autoSpaceDE w:val="0"/>
        <w:widowControl/>
        <w:spacing w:line="245" w:lineRule="auto" w:before="0" w:after="1354"/>
        <w:ind w:left="368" w:right="20" w:firstLine="0"/>
        <w:jc w:val="both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[Discussion of patient subgroups and the evidence that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would indicate an improved incremental cost-effectiveness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ratio for these subpopulations. Include a description of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relevant biomarkers or other companion diagnostics that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would be used to identify these target populations, and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the feasibility of using these markers in routine clinical </w:t>
      </w:r>
      <w:r>
        <w:rPr>
          <w:rFonts w:ascii="Lora" w:hAnsi="Lora" w:eastAsia="Lora"/>
          <w:b w:val="0"/>
          <w:i w:val="0"/>
          <w:color w:val="000000"/>
          <w:sz w:val="18"/>
        </w:rPr>
        <w:t>practice.]</w:t>
      </w:r>
    </w:p>
    <w:p>
      <w:pPr>
        <w:sectPr>
          <w:type w:val="nextColumn"/>
          <w:pgSz w:w="11880" w:h="15660"/>
          <w:pgMar w:top="360" w:right="674" w:bottom="266" w:left="0" w:header="720" w:footer="720" w:gutter="0"/>
          <w:cols w:num="2" w:equalWidth="0">
            <w:col w:w="5730" w:space="0"/>
            <w:col w:w="5475" w:space="0"/>
          </w:cols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42.0" w:type="dxa"/>
      </w:tblPr>
      <w:tblGrid>
        <w:gridCol w:w="9766"/>
      </w:tblGrid>
      <w:tr>
        <w:trPr>
          <w:trHeight w:hRule="exact" w:val="370"/>
        </w:trPr>
        <w:tc>
          <w:tcPr>
            <w:tcW w:type="dxa" w:w="10342"/>
            <w:tcBorders>
              <w:top w:sz="3.5999999046325684" w:val="single" w:color="#474B5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28" w:after="0"/>
              <w:ind w:left="646" w:right="0" w:firstLine="0"/>
              <w:jc w:val="left"/>
            </w:pPr>
            <w:r>
              <w:rPr>
                <w:rFonts w:ascii="Asap" w:hAnsi="Asap" w:eastAsia="Asap"/>
                <w:b/>
                <w:i w:val="0"/>
                <w:color w:val="FFFFFF"/>
                <w:sz w:val="20"/>
              </w:rPr>
              <w:t>TABLES</w:t>
            </w:r>
          </w:p>
        </w:tc>
      </w:tr>
    </w:tbl>
    <w:p>
      <w:pPr>
        <w:autoSpaceDN w:val="0"/>
        <w:autoSpaceDE w:val="0"/>
        <w:widowControl/>
        <w:spacing w:line="264" w:lineRule="exact" w:before="136" w:after="166"/>
        <w:ind w:left="698" w:right="0" w:firstLine="0"/>
        <w:jc w:val="left"/>
      </w:pPr>
      <w:r>
        <w:rPr>
          <w:rFonts w:ascii="Asap" w:hAnsi="Asap" w:eastAsia="Asap"/>
          <w:b/>
          <w:i w:val="0"/>
          <w:color w:val="14377D"/>
          <w:sz w:val="20"/>
        </w:rPr>
        <w:t>CLINICAL EVIDENCE SUMMARY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720.0" w:type="dxa"/>
      </w:tblPr>
      <w:tblGrid>
        <w:gridCol w:w="1221"/>
        <w:gridCol w:w="1221"/>
        <w:gridCol w:w="1221"/>
        <w:gridCol w:w="1221"/>
        <w:gridCol w:w="1221"/>
        <w:gridCol w:w="1221"/>
        <w:gridCol w:w="1221"/>
        <w:gridCol w:w="1221"/>
      </w:tblGrid>
      <w:tr>
        <w:trPr>
          <w:trHeight w:hRule="exact" w:val="804"/>
        </w:trPr>
        <w:tc>
          <w:tcPr>
            <w:tcW w:type="dxa" w:w="1606"/>
            <w:tcBorders>
              <w:top w:sz="16.0" w:val="single" w:color="#474B55"/>
              <w:end w:sz="4.0" w:val="single" w:color="#FFFFFF"/>
              <w:bottom w:sz="4.0" w:val="single" w:color="#13377C"/>
            </w:tcBorders>
            <w:shd w:fill="c6c8c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8" w:after="0"/>
              <w:ind w:left="144" w:right="0" w:firstLine="0"/>
              <w:jc w:val="center"/>
            </w:pPr>
            <w:r>
              <w:rPr>
                <w:w w:val="102.46950387954712"/>
                <w:rFonts w:ascii="Asap" w:hAnsi="Asap" w:eastAsia="Asap"/>
                <w:b/>
                <w:i w:val="0"/>
                <w:color w:val="000000"/>
                <w:sz w:val="16"/>
              </w:rPr>
              <w:t xml:space="preserve">Ref. and Evidence </w:t>
            </w:r>
            <w:r>
              <w:rPr>
                <w:w w:val="102.46950387954712"/>
                <w:rFonts w:ascii="Asap" w:hAnsi="Asap" w:eastAsia="Asap"/>
                <w:b/>
                <w:i w:val="0"/>
                <w:color w:val="000000"/>
                <w:sz w:val="16"/>
              </w:rPr>
              <w:t>Grade</w:t>
            </w:r>
          </w:p>
        </w:tc>
        <w:tc>
          <w:tcPr>
            <w:tcW w:type="dxa" w:w="1486"/>
            <w:tcBorders>
              <w:start w:sz="4.0" w:val="single" w:color="#FFFFFF"/>
              <w:top w:sz="16.0" w:val="single" w:color="#474B55"/>
              <w:end w:sz="4.0" w:val="single" w:color="#FFFFFF"/>
              <w:bottom w:sz="4.0" w:val="single" w:color="#13377C"/>
            </w:tcBorders>
            <w:shd w:fill="c6c8c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2" w:lineRule="exact" w:before="286" w:after="0"/>
              <w:ind w:left="0" w:right="0" w:firstLine="0"/>
              <w:jc w:val="center"/>
            </w:pPr>
            <w:r>
              <w:rPr>
                <w:w w:val="102.46950387954712"/>
                <w:rFonts w:ascii="Asap" w:hAnsi="Asap" w:eastAsia="Asap"/>
                <w:b/>
                <w:i w:val="0"/>
                <w:color w:val="000000"/>
                <w:sz w:val="16"/>
              </w:rPr>
              <w:t>Drug Regimens</w:t>
            </w:r>
          </w:p>
        </w:tc>
        <w:tc>
          <w:tcPr>
            <w:tcW w:type="dxa" w:w="462"/>
            <w:tcBorders>
              <w:start w:sz="4.0" w:val="single" w:color="#FFFFFF"/>
              <w:top w:sz="16.0" w:val="single" w:color="#474B55"/>
              <w:end w:sz="4.0" w:val="single" w:color="#FFFFFF"/>
              <w:bottom w:sz="4.0" w:val="single" w:color="#13377C"/>
            </w:tcBorders>
            <w:shd w:fill="c6c8c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2" w:lineRule="exact" w:before="286" w:after="0"/>
              <w:ind w:left="0" w:right="0" w:firstLine="0"/>
              <w:jc w:val="center"/>
            </w:pPr>
            <w:r>
              <w:rPr>
                <w:w w:val="102.46950387954712"/>
                <w:rFonts w:ascii="Asap" w:hAnsi="Asap" w:eastAsia="Asap"/>
                <w:b/>
                <w:i w:val="0"/>
                <w:color w:val="000000"/>
                <w:sz w:val="16"/>
              </w:rPr>
              <w:t>n</w:t>
            </w:r>
          </w:p>
        </w:tc>
        <w:tc>
          <w:tcPr>
            <w:tcW w:type="dxa" w:w="804"/>
            <w:tcBorders>
              <w:start w:sz="4.0" w:val="single" w:color="#FFFFFF"/>
              <w:top w:sz="16.0" w:val="single" w:color="#474B55"/>
              <w:end w:sz="4.0" w:val="single" w:color="#FFFFFF"/>
              <w:bottom w:sz="4.0" w:val="single" w:color="#13377C"/>
            </w:tcBorders>
            <w:shd w:fill="c6c8c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2" w:lineRule="exact" w:before="286" w:after="0"/>
              <w:ind w:left="0" w:right="0" w:firstLine="0"/>
              <w:jc w:val="center"/>
            </w:pPr>
            <w:r>
              <w:rPr>
                <w:w w:val="102.46950387954712"/>
                <w:rFonts w:ascii="Asap" w:hAnsi="Asap" w:eastAsia="Asap"/>
                <w:b/>
                <w:i w:val="0"/>
                <w:color w:val="000000"/>
                <w:sz w:val="16"/>
              </w:rPr>
              <w:t>Time</w:t>
            </w:r>
          </w:p>
        </w:tc>
        <w:tc>
          <w:tcPr>
            <w:tcW w:type="dxa" w:w="1874"/>
            <w:tcBorders>
              <w:start w:sz="4.0" w:val="single" w:color="#FFFFFF"/>
              <w:top w:sz="16.0" w:val="single" w:color="#474B55"/>
              <w:end w:sz="4.0" w:val="single" w:color="#FFFFFF"/>
              <w:bottom w:sz="4.0" w:val="single" w:color="#13377C"/>
            </w:tcBorders>
            <w:shd w:fill="c6c8c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2" w:lineRule="exact" w:before="286" w:after="0"/>
              <w:ind w:left="0" w:right="0" w:firstLine="0"/>
              <w:jc w:val="center"/>
            </w:pPr>
            <w:r>
              <w:rPr>
                <w:w w:val="102.46950387954712"/>
                <w:rFonts w:ascii="Asap" w:hAnsi="Asap" w:eastAsia="Asap"/>
                <w:b/>
                <w:i w:val="0"/>
                <w:color w:val="000000"/>
                <w:sz w:val="16"/>
              </w:rPr>
              <w:t>Demographics</w:t>
            </w:r>
          </w:p>
        </w:tc>
        <w:tc>
          <w:tcPr>
            <w:tcW w:type="dxa" w:w="1380"/>
            <w:tcBorders>
              <w:start w:sz="4.0" w:val="single" w:color="#FFFFFF"/>
              <w:top w:sz="16.0" w:val="single" w:color="#474B55"/>
              <w:end w:sz="4.0" w:val="single" w:color="#FFFFFF"/>
              <w:bottom w:sz="4.0" w:val="single" w:color="#13377C"/>
            </w:tcBorders>
            <w:shd w:fill="c6c8c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2" w:lineRule="exact" w:before="286" w:after="0"/>
              <w:ind w:left="0" w:right="0" w:firstLine="0"/>
              <w:jc w:val="center"/>
            </w:pPr>
            <w:r>
              <w:rPr>
                <w:w w:val="102.46950387954712"/>
                <w:rFonts w:ascii="Asap" w:hAnsi="Asap" w:eastAsia="Asap"/>
                <w:b/>
                <w:i w:val="0"/>
                <w:color w:val="000000"/>
                <w:sz w:val="16"/>
              </w:rPr>
              <w:t>Design*</w:t>
            </w:r>
          </w:p>
        </w:tc>
        <w:tc>
          <w:tcPr>
            <w:tcW w:type="dxa" w:w="1370"/>
            <w:tcBorders>
              <w:start w:sz="4.0" w:val="single" w:color="#FFFFFF"/>
              <w:top w:sz="16.0" w:val="single" w:color="#474B55"/>
              <w:end w:sz="4.0" w:val="single" w:color="#FFFFFF"/>
              <w:bottom w:sz="4.0" w:val="single" w:color="#13377C"/>
            </w:tcBorders>
            <w:shd w:fill="c6c8c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38" w:after="0"/>
              <w:ind w:left="144" w:right="144" w:firstLine="0"/>
              <w:jc w:val="center"/>
            </w:pPr>
            <w:r>
              <w:rPr>
                <w:w w:val="102.46950387954712"/>
                <w:rFonts w:ascii="Asap" w:hAnsi="Asap" w:eastAsia="Asap"/>
                <w:b/>
                <w:i w:val="0"/>
                <w:color w:val="000000"/>
                <w:sz w:val="16"/>
              </w:rPr>
              <w:t xml:space="preserve">Endpoints/ </w:t>
            </w:r>
            <w:r>
              <w:rPr>
                <w:w w:val="102.46950387954712"/>
                <w:rFonts w:ascii="Asap" w:hAnsi="Asap" w:eastAsia="Asap"/>
                <w:b/>
                <w:i w:val="0"/>
                <w:color w:val="000000"/>
                <w:sz w:val="16"/>
              </w:rPr>
              <w:t xml:space="preserve">Results/ </w:t>
            </w:r>
            <w:r>
              <w:br/>
            </w:r>
            <w:r>
              <w:rPr>
                <w:w w:val="102.46950387954712"/>
                <w:rFonts w:ascii="Asap" w:hAnsi="Asap" w:eastAsia="Asap"/>
                <w:b/>
                <w:i w:val="0"/>
                <w:color w:val="000000"/>
                <w:sz w:val="16"/>
              </w:rPr>
              <w:t>Comments</w:t>
            </w:r>
          </w:p>
        </w:tc>
        <w:tc>
          <w:tcPr>
            <w:tcW w:type="dxa" w:w="1446"/>
            <w:tcBorders>
              <w:start w:sz="4.0" w:val="single" w:color="#FFFFFF"/>
              <w:top w:sz="16.0" w:val="single" w:color="#474B55"/>
              <w:bottom w:sz="4.0" w:val="single" w:color="#13377C"/>
            </w:tcBorders>
            <w:shd w:fill="c6c8c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8" w:after="0"/>
              <w:ind w:left="0" w:right="0" w:firstLine="0"/>
              <w:jc w:val="center"/>
            </w:pPr>
            <w:r>
              <w:rPr>
                <w:w w:val="102.46950387954712"/>
                <w:rFonts w:ascii="Asap" w:hAnsi="Asap" w:eastAsia="Asap"/>
                <w:b/>
                <w:i w:val="0"/>
                <w:color w:val="000000"/>
                <w:sz w:val="16"/>
              </w:rPr>
              <w:t xml:space="preserve">Number Needed </w:t>
            </w:r>
            <w:r>
              <w:rPr>
                <w:w w:val="102.46950387954712"/>
                <w:rFonts w:ascii="Asap" w:hAnsi="Asap" w:eastAsia="Asap"/>
                <w:b/>
                <w:i w:val="0"/>
                <w:color w:val="000000"/>
                <w:sz w:val="16"/>
              </w:rPr>
              <w:t>to Treat</w:t>
            </w:r>
          </w:p>
        </w:tc>
      </w:tr>
      <w:tr>
        <w:trPr>
          <w:trHeight w:hRule="exact" w:val="362"/>
        </w:trPr>
        <w:tc>
          <w:tcPr>
            <w:tcW w:type="dxa" w:w="1606"/>
            <w:tcBorders>
              <w:top w:sz="4.0" w:val="single" w:color="#13377C"/>
              <w:end w:sz="4.0" w:val="single" w:color="#FFFFFF"/>
              <w:bottom w:sz="4.0" w:val="single" w:color="#C6C8C7"/>
            </w:tcBorders>
            <w:shd w:fill="eaeaf2"/>
            <w:tcMar>
              <w:start w:w="0" w:type="dxa"/>
              <w:end w:w="0" w:type="dxa"/>
            </w:tcMar>
          </w:tcPr>
          <w:p/>
        </w:tc>
        <w:tc>
          <w:tcPr>
            <w:tcW w:type="dxa" w:w="1486"/>
            <w:tcBorders>
              <w:start w:sz="4.0" w:val="single" w:color="#FFFFFF"/>
              <w:top w:sz="4.0" w:val="single" w:color="#13377C"/>
              <w:end w:sz="4.0" w:val="single" w:color="#FFFFFF"/>
              <w:bottom w:sz="4.0" w:val="single" w:color="#C6C8C7"/>
            </w:tcBorders>
            <w:shd w:fill="eaeaf2"/>
            <w:tcMar>
              <w:start w:w="0" w:type="dxa"/>
              <w:end w:w="0" w:type="dxa"/>
            </w:tcMar>
          </w:tcPr>
          <w:p/>
        </w:tc>
        <w:tc>
          <w:tcPr>
            <w:tcW w:type="dxa" w:w="462"/>
            <w:tcBorders>
              <w:start w:sz="4.0" w:val="single" w:color="#FFFFFF"/>
              <w:top w:sz="4.0" w:val="single" w:color="#13377C"/>
              <w:end w:sz="4.0" w:val="single" w:color="#FFFFFF"/>
              <w:bottom w:sz="4.0" w:val="single" w:color="#C6C8C7"/>
            </w:tcBorders>
            <w:shd w:fill="eaeaf2"/>
            <w:tcMar>
              <w:start w:w="0" w:type="dxa"/>
              <w:end w:w="0" w:type="dxa"/>
            </w:tcMar>
          </w:tcPr>
          <w:p/>
        </w:tc>
        <w:tc>
          <w:tcPr>
            <w:tcW w:type="dxa" w:w="804"/>
            <w:tcBorders>
              <w:start w:sz="4.0" w:val="single" w:color="#FFFFFF"/>
              <w:top w:sz="4.0" w:val="single" w:color="#13377C"/>
              <w:end w:sz="4.0" w:val="single" w:color="#FFFFFF"/>
              <w:bottom w:sz="4.0" w:val="single" w:color="#C6C8C7"/>
            </w:tcBorders>
            <w:shd w:fill="eaeaf2"/>
            <w:tcMar>
              <w:start w:w="0" w:type="dxa"/>
              <w:end w:w="0" w:type="dxa"/>
            </w:tcMar>
          </w:tcPr>
          <w:p/>
        </w:tc>
        <w:tc>
          <w:tcPr>
            <w:tcW w:type="dxa" w:w="1874"/>
            <w:tcBorders>
              <w:start w:sz="4.0" w:val="single" w:color="#FFFFFF"/>
              <w:top w:sz="4.0" w:val="single" w:color="#13377C"/>
              <w:end w:sz="4.0" w:val="single" w:color="#FFFFFF"/>
              <w:bottom w:sz="4.0" w:val="single" w:color="#C6C8C7"/>
            </w:tcBorders>
            <w:shd w:fill="eaeaf2"/>
            <w:tcMar>
              <w:start w:w="0" w:type="dxa"/>
              <w:end w:w="0" w:type="dxa"/>
            </w:tcMar>
          </w:tcPr>
          <w:p/>
        </w:tc>
        <w:tc>
          <w:tcPr>
            <w:tcW w:type="dxa" w:w="1380"/>
            <w:tcBorders>
              <w:start w:sz="4.0" w:val="single" w:color="#FFFFFF"/>
              <w:top w:sz="4.0" w:val="single" w:color="#13377C"/>
              <w:end w:sz="4.0" w:val="single" w:color="#FFFFFF"/>
              <w:bottom w:sz="4.0" w:val="single" w:color="#C6C8C7"/>
            </w:tcBorders>
            <w:shd w:fill="eaeaf2"/>
            <w:tcMar>
              <w:start w:w="0" w:type="dxa"/>
              <w:end w:w="0" w:type="dxa"/>
            </w:tcMar>
          </w:tcPr>
          <w:p/>
        </w:tc>
        <w:tc>
          <w:tcPr>
            <w:tcW w:type="dxa" w:w="1370"/>
            <w:tcBorders>
              <w:start w:sz="4.0" w:val="single" w:color="#FFFFFF"/>
              <w:top w:sz="4.0" w:val="single" w:color="#13377C"/>
              <w:end w:sz="4.0" w:val="single" w:color="#FFFFFF"/>
              <w:bottom w:sz="4.0" w:val="single" w:color="#C6C8C7"/>
            </w:tcBorders>
            <w:shd w:fill="eaeaf2"/>
            <w:tcMar>
              <w:start w:w="0" w:type="dxa"/>
              <w:end w:w="0" w:type="dxa"/>
            </w:tcMar>
          </w:tcPr>
          <w:p/>
        </w:tc>
        <w:tc>
          <w:tcPr>
            <w:tcW w:type="dxa" w:w="1446"/>
            <w:tcBorders>
              <w:start w:sz="4.0" w:val="single" w:color="#FFFFFF"/>
              <w:top w:sz="4.0" w:val="single" w:color="#13377C"/>
              <w:bottom w:sz="4.0" w:val="single" w:color="#C6C8C7"/>
            </w:tcBorders>
            <w:shd w:fill="eaeaf2"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720"/>
        </w:trPr>
        <w:tc>
          <w:tcPr>
            <w:tcW w:type="dxa" w:w="1606"/>
            <w:tcBorders>
              <w:top w:sz="4.0" w:val="single" w:color="#C6C8C7"/>
              <w:bottom w:sz="4.0" w:val="single" w:color="#C6C8C7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486"/>
            <w:tcBorders>
              <w:top w:sz="4.0" w:val="single" w:color="#C6C8C7"/>
              <w:bottom w:sz="4.0" w:val="single" w:color="#C6C8C7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62"/>
            <w:tcBorders>
              <w:top w:sz="4.0" w:val="single" w:color="#C6C8C7"/>
              <w:bottom w:sz="4.0" w:val="single" w:color="#C6C8C7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04"/>
            <w:tcBorders>
              <w:top w:sz="4.0" w:val="single" w:color="#C6C8C7"/>
              <w:bottom w:sz="4.0" w:val="single" w:color="#C6C8C7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874"/>
            <w:tcBorders>
              <w:top w:sz="4.0" w:val="single" w:color="#C6C8C7"/>
              <w:bottom w:sz="4.0" w:val="single" w:color="#C6C8C7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380"/>
            <w:tcBorders>
              <w:top w:sz="4.0" w:val="single" w:color="#C6C8C7"/>
              <w:bottom w:sz="4.0" w:val="single" w:color="#C6C8C7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370"/>
            <w:tcBorders>
              <w:top w:sz="4.0" w:val="single" w:color="#C6C8C7"/>
              <w:bottom w:sz="4.0" w:val="single" w:color="#C6C8C7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446"/>
            <w:tcBorders>
              <w:top w:sz="4.0" w:val="single" w:color="#C6C8C7"/>
              <w:bottom w:sz="4.0" w:val="single" w:color="#C6C8C7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720"/>
        </w:trPr>
        <w:tc>
          <w:tcPr>
            <w:tcW w:type="dxa" w:w="1606"/>
            <w:tcBorders>
              <w:top w:sz="4.0" w:val="single" w:color="#C6C8C7"/>
              <w:bottom w:sz="4.0" w:val="single" w:color="#C6C8C7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486"/>
            <w:tcBorders>
              <w:top w:sz="4.0" w:val="single" w:color="#C6C8C7"/>
              <w:bottom w:sz="4.0" w:val="single" w:color="#C6C8C7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62"/>
            <w:tcBorders>
              <w:top w:sz="4.0" w:val="single" w:color="#C6C8C7"/>
              <w:bottom w:sz="4.0" w:val="single" w:color="#C6C8C7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04"/>
            <w:tcBorders>
              <w:top w:sz="4.0" w:val="single" w:color="#C6C8C7"/>
              <w:bottom w:sz="4.0" w:val="single" w:color="#C6C8C7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874"/>
            <w:tcBorders>
              <w:top w:sz="4.0" w:val="single" w:color="#C6C8C7"/>
              <w:bottom w:sz="4.0" w:val="single" w:color="#C6C8C7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380"/>
            <w:tcBorders>
              <w:top w:sz="4.0" w:val="single" w:color="#C6C8C7"/>
              <w:bottom w:sz="4.0" w:val="single" w:color="#C6C8C7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370"/>
            <w:tcBorders>
              <w:top w:sz="4.0" w:val="single" w:color="#C6C8C7"/>
              <w:bottom w:sz="4.0" w:val="single" w:color="#C6C8C7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446"/>
            <w:tcBorders>
              <w:top w:sz="4.0" w:val="single" w:color="#C6C8C7"/>
              <w:bottom w:sz="4.0" w:val="single" w:color="#C6C8C7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720"/>
        </w:trPr>
        <w:tc>
          <w:tcPr>
            <w:tcW w:type="dxa" w:w="1606"/>
            <w:tcBorders>
              <w:top w:sz="4.0" w:val="single" w:color="#C6C8C7"/>
              <w:bottom w:sz="4.0" w:val="single" w:color="#C6C8C7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486"/>
            <w:tcBorders>
              <w:top w:sz="4.0" w:val="single" w:color="#C6C8C7"/>
              <w:bottom w:sz="4.0" w:val="single" w:color="#C6C8C7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62"/>
            <w:tcBorders>
              <w:top w:sz="4.0" w:val="single" w:color="#C6C8C7"/>
              <w:bottom w:sz="4.0" w:val="single" w:color="#C6C8C7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04"/>
            <w:tcBorders>
              <w:top w:sz="4.0" w:val="single" w:color="#C6C8C7"/>
              <w:bottom w:sz="4.0" w:val="single" w:color="#C6C8C7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874"/>
            <w:tcBorders>
              <w:top w:sz="4.0" w:val="single" w:color="#C6C8C7"/>
              <w:bottom w:sz="4.0" w:val="single" w:color="#C6C8C7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380"/>
            <w:tcBorders>
              <w:top w:sz="4.0" w:val="single" w:color="#C6C8C7"/>
              <w:bottom w:sz="4.0" w:val="single" w:color="#C6C8C7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370"/>
            <w:tcBorders>
              <w:top w:sz="4.0" w:val="single" w:color="#C6C8C7"/>
              <w:bottom w:sz="4.0" w:val="single" w:color="#C6C8C7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446"/>
            <w:tcBorders>
              <w:top w:sz="4.0" w:val="single" w:color="#C6C8C7"/>
              <w:bottom w:sz="4.0" w:val="single" w:color="#C6C8C7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720"/>
        </w:trPr>
        <w:tc>
          <w:tcPr>
            <w:tcW w:type="dxa" w:w="1606"/>
            <w:tcBorders>
              <w:top w:sz="4.0" w:val="single" w:color="#C6C8C7"/>
              <w:bottom w:sz="4.0" w:val="single" w:color="#C6C8C7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486"/>
            <w:tcBorders>
              <w:top w:sz="4.0" w:val="single" w:color="#C6C8C7"/>
              <w:bottom w:sz="4.0" w:val="single" w:color="#C6C8C7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62"/>
            <w:tcBorders>
              <w:top w:sz="4.0" w:val="single" w:color="#C6C8C7"/>
              <w:bottom w:sz="4.0" w:val="single" w:color="#C6C8C7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04"/>
            <w:tcBorders>
              <w:top w:sz="4.0" w:val="single" w:color="#C6C8C7"/>
              <w:bottom w:sz="4.0" w:val="single" w:color="#C6C8C7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874"/>
            <w:tcBorders>
              <w:top w:sz="4.0" w:val="single" w:color="#C6C8C7"/>
              <w:bottom w:sz="4.0" w:val="single" w:color="#C6C8C7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380"/>
            <w:tcBorders>
              <w:top w:sz="4.0" w:val="single" w:color="#C6C8C7"/>
              <w:bottom w:sz="4.0" w:val="single" w:color="#C6C8C7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370"/>
            <w:tcBorders>
              <w:top w:sz="4.0" w:val="single" w:color="#C6C8C7"/>
              <w:bottom w:sz="4.0" w:val="single" w:color="#C6C8C7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446"/>
            <w:tcBorders>
              <w:top w:sz="4.0" w:val="single" w:color="#C6C8C7"/>
              <w:bottom w:sz="4.0" w:val="single" w:color="#C6C8C7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720"/>
        </w:trPr>
        <w:tc>
          <w:tcPr>
            <w:tcW w:type="dxa" w:w="1606"/>
            <w:tcBorders>
              <w:top w:sz="4.0" w:val="single" w:color="#C6C8C7"/>
              <w:bottom w:sz="4.0" w:val="single" w:color="#C6C8C7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486"/>
            <w:tcBorders>
              <w:top w:sz="4.0" w:val="single" w:color="#C6C8C7"/>
              <w:bottom w:sz="4.0" w:val="single" w:color="#C6C8C7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62"/>
            <w:tcBorders>
              <w:top w:sz="4.0" w:val="single" w:color="#C6C8C7"/>
              <w:bottom w:sz="4.0" w:val="single" w:color="#C6C8C7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04"/>
            <w:tcBorders>
              <w:top w:sz="4.0" w:val="single" w:color="#C6C8C7"/>
              <w:bottom w:sz="4.0" w:val="single" w:color="#C6C8C7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874"/>
            <w:tcBorders>
              <w:top w:sz="4.0" w:val="single" w:color="#C6C8C7"/>
              <w:bottom w:sz="4.0" w:val="single" w:color="#C6C8C7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380"/>
            <w:tcBorders>
              <w:top w:sz="4.0" w:val="single" w:color="#C6C8C7"/>
              <w:bottom w:sz="4.0" w:val="single" w:color="#C6C8C7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370"/>
            <w:tcBorders>
              <w:top w:sz="4.0" w:val="single" w:color="#C6C8C7"/>
              <w:bottom w:sz="4.0" w:val="single" w:color="#C6C8C7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446"/>
            <w:tcBorders>
              <w:top w:sz="4.0" w:val="single" w:color="#C6C8C7"/>
              <w:bottom w:sz="4.0" w:val="single" w:color="#C6C8C7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58"/>
        </w:trPr>
        <w:tc>
          <w:tcPr>
            <w:tcW w:type="dxa" w:w="1606"/>
            <w:tcBorders>
              <w:top w:sz="4.0" w:val="single" w:color="#C6C8C7"/>
              <w:end w:sz="4.0" w:val="single" w:color="#C6C8C7"/>
              <w:bottom w:sz="16.0" w:val="single" w:color="#474B55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486"/>
            <w:tcBorders>
              <w:start w:sz="4.0" w:val="single" w:color="#C6C8C7"/>
              <w:top w:sz="4.0" w:val="single" w:color="#C6C8C7"/>
              <w:end w:sz="4.0" w:val="single" w:color="#C6C8C7"/>
              <w:bottom w:sz="16.0" w:val="single" w:color="#474B55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62"/>
            <w:tcBorders>
              <w:start w:sz="4.0" w:val="single" w:color="#C6C8C7"/>
              <w:top w:sz="4.0" w:val="single" w:color="#C6C8C7"/>
              <w:end w:sz="4.0" w:val="single" w:color="#C6C8C7"/>
              <w:bottom w:sz="16.0" w:val="single" w:color="#474B55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04"/>
            <w:tcBorders>
              <w:start w:sz="4.0" w:val="single" w:color="#C6C8C7"/>
              <w:top w:sz="4.0" w:val="single" w:color="#C6C8C7"/>
              <w:end w:sz="4.0" w:val="single" w:color="#C6C8C7"/>
              <w:bottom w:sz="16.0" w:val="single" w:color="#474B55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874"/>
            <w:tcBorders>
              <w:start w:sz="4.0" w:val="single" w:color="#C6C8C7"/>
              <w:top w:sz="4.0" w:val="single" w:color="#C6C8C7"/>
              <w:end w:sz="4.0" w:val="single" w:color="#C6C8C7"/>
              <w:bottom w:sz="16.0" w:val="single" w:color="#474B55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380"/>
            <w:tcBorders>
              <w:start w:sz="4.0" w:val="single" w:color="#C6C8C7"/>
              <w:top w:sz="4.0" w:val="single" w:color="#C6C8C7"/>
              <w:end w:sz="4.0" w:val="single" w:color="#C6C8C7"/>
              <w:bottom w:sz="16.0" w:val="single" w:color="#474B55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370"/>
            <w:tcBorders>
              <w:start w:sz="4.0" w:val="single" w:color="#C6C8C7"/>
              <w:top w:sz="4.0" w:val="single" w:color="#C6C8C7"/>
              <w:end w:sz="4.0" w:val="single" w:color="#C6C8C7"/>
              <w:bottom w:sz="16.0" w:val="single" w:color="#474B55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446"/>
            <w:tcBorders>
              <w:start w:sz="4.0" w:val="single" w:color="#C6C8C7"/>
              <w:top w:sz="4.0" w:val="single" w:color="#C6C8C7"/>
              <w:bottom w:sz="16.0" w:val="single" w:color="#474B55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180" w:lineRule="exact" w:before="128" w:after="0"/>
        <w:ind w:left="738" w:right="0" w:firstLine="0"/>
        <w:jc w:val="left"/>
      </w:pPr>
      <w:r>
        <w:rPr>
          <w:rFonts w:ascii="Asap" w:hAnsi="Asap" w:eastAsia="Asap"/>
          <w:b w:val="0"/>
          <w:i/>
          <w:color w:val="000000"/>
          <w:sz w:val="15"/>
        </w:rPr>
        <w:t>AC = active control; CCS = case-control study; DB = double-blind; PC = placebo control; PCS = prospective cohort study; PG = parallel group; MA = meta-</w:t>
      </w:r>
      <w:r>
        <w:rPr>
          <w:rFonts w:ascii="Asap" w:hAnsi="Asap" w:eastAsia="Asap"/>
          <w:b w:val="0"/>
          <w:i/>
          <w:color w:val="000000"/>
          <w:sz w:val="15"/>
        </w:rPr>
        <w:t>analysis; MC = multicenter; RCS = retrospective cohort study; RCT = randomized controlled trial; XO = crossover.</w:t>
      </w:r>
    </w:p>
    <w:p>
      <w:pPr>
        <w:autoSpaceDN w:val="0"/>
        <w:autoSpaceDE w:val="0"/>
        <w:widowControl/>
        <w:spacing w:line="186" w:lineRule="exact" w:before="506" w:after="0"/>
        <w:ind w:left="740" w:right="0" w:firstLine="0"/>
        <w:jc w:val="left"/>
      </w:pPr>
      <w:r>
        <w:rPr>
          <w:rFonts w:ascii="Asap" w:hAnsi="Asap" w:eastAsia="Asap"/>
          <w:b/>
          <w:i w:val="0"/>
          <w:color w:val="14377D"/>
          <w:sz w:val="14"/>
        </w:rPr>
        <w:t>JMCP</w:t>
      </w:r>
      <w:r>
        <w:rPr>
          <w:rFonts w:ascii="Asap" w:hAnsi="Asap" w:eastAsia="Asap"/>
          <w:b w:val="0"/>
          <w:i w:val="0"/>
          <w:color w:val="14377D"/>
          <w:sz w:val="14"/>
        </w:rPr>
        <w:t>.org</w:t>
      </w:r>
      <w:r>
        <w:rPr>
          <w:rFonts w:ascii="Asap" w:hAnsi="Asap" w:eastAsia="Asap"/>
          <w:b w:val="0"/>
          <w:i w:val="0"/>
          <w:color w:val="474C55"/>
          <w:sz w:val="14"/>
        </w:rPr>
        <w:t>|</w:t>
      </w:r>
      <w:r>
        <w:rPr>
          <w:rFonts w:ascii="Asap" w:hAnsi="Asap" w:eastAsia="Asap"/>
          <w:b w:val="0"/>
          <w:i w:val="0"/>
          <w:color w:val="474C55"/>
          <w:sz w:val="14"/>
        </w:rPr>
        <w:t>April 2024</w:t>
      </w:r>
      <w:r>
        <w:rPr>
          <w:rFonts w:ascii="Asap" w:hAnsi="Asap" w:eastAsia="Asap"/>
          <w:b w:val="0"/>
          <w:i w:val="0"/>
          <w:color w:val="474C55"/>
          <w:sz w:val="14"/>
        </w:rPr>
        <w:t>|</w:t>
      </w:r>
      <w:r>
        <w:rPr>
          <w:rFonts w:ascii="Asap" w:hAnsi="Asap" w:eastAsia="Asap"/>
          <w:b w:val="0"/>
          <w:i w:val="0"/>
          <w:color w:val="474C55"/>
          <w:sz w:val="14"/>
        </w:rPr>
        <w:t>Vol. 30, No. 4-B</w:t>
      </w:r>
    </w:p>
    <w:p>
      <w:pPr>
        <w:sectPr>
          <w:type w:val="continuous"/>
          <w:pgSz w:w="11880" w:h="15660"/>
          <w:pgMar w:top="360" w:right="674" w:bottom="266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240.0" w:type="dxa"/>
      </w:tblPr>
      <w:tblGrid>
        <w:gridCol w:w="4870"/>
        <w:gridCol w:w="4870"/>
      </w:tblGrid>
      <w:tr>
        <w:trPr>
          <w:trHeight w:hRule="exact" w:val="382"/>
        </w:trPr>
        <w:tc>
          <w:tcPr>
            <w:tcW w:type="dxa" w:w="584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4" w:after="0"/>
              <w:ind w:left="0" w:right="90" w:firstLine="0"/>
              <w:jc w:val="right"/>
            </w:pPr>
            <w:r>
              <w:rPr>
                <w:rFonts w:ascii="Asap" w:hAnsi="Asap" w:eastAsia="Asap"/>
                <w:b/>
                <w:i w:val="0"/>
                <w:color w:val="474C55"/>
                <w:sz w:val="18"/>
              </w:rPr>
              <w:t>AMCP FORMAT 5.0</w:t>
            </w:r>
          </w:p>
        </w:tc>
        <w:tc>
          <w:tcPr>
            <w:tcW w:type="dxa" w:w="1094"/>
            <w:tcBorders/>
            <w:shd w:fill="6b146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72" w:after="0"/>
              <w:ind w:left="90" w:right="0" w:firstLine="0"/>
              <w:jc w:val="left"/>
            </w:pPr>
            <w:r>
              <w:rPr>
                <w:rFonts w:ascii="Asap" w:hAnsi="Asap" w:eastAsia="Asap"/>
                <w:b/>
                <w:i w:val="0"/>
                <w:color w:val="FFFFFF"/>
                <w:sz w:val="18"/>
              </w:rPr>
              <w:t>57</w:t>
            </w:r>
          </w:p>
        </w:tc>
      </w:tr>
    </w:tbl>
    <w:p>
      <w:pPr>
        <w:autoSpaceDN w:val="0"/>
        <w:autoSpaceDE w:val="0"/>
        <w:widowControl/>
        <w:spacing w:line="266" w:lineRule="exact" w:before="1032" w:after="172"/>
        <w:ind w:left="20" w:right="0" w:firstLine="0"/>
        <w:jc w:val="left"/>
      </w:pPr>
      <w:r>
        <w:rPr>
          <w:rFonts w:ascii="Asap" w:hAnsi="Asap" w:eastAsia="Asap"/>
          <w:b/>
          <w:i w:val="0"/>
          <w:color w:val="14377D"/>
          <w:sz w:val="20"/>
        </w:rPr>
        <w:t>VALIDATION OF INSTRUMENTS USED IN STUDIES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.0000000000000284" w:type="dxa"/>
      </w:tblPr>
      <w:tblGrid>
        <w:gridCol w:w="1623"/>
        <w:gridCol w:w="1623"/>
        <w:gridCol w:w="1623"/>
        <w:gridCol w:w="1623"/>
        <w:gridCol w:w="1623"/>
        <w:gridCol w:w="1623"/>
      </w:tblGrid>
      <w:tr>
        <w:trPr>
          <w:trHeight w:hRule="exact" w:val="584"/>
        </w:trPr>
        <w:tc>
          <w:tcPr>
            <w:tcW w:type="dxa" w:w="1492"/>
            <w:tcBorders>
              <w:top w:sz="16.0" w:val="single" w:color="#474B55"/>
              <w:end w:sz="4.0" w:val="single" w:color="#FFFFFF"/>
              <w:bottom w:sz="4.0" w:val="single" w:color="#13377C"/>
            </w:tcBorders>
            <w:shd w:fill="c6c8c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20" w:after="0"/>
              <w:ind w:left="288" w:right="288" w:firstLine="0"/>
              <w:jc w:val="center"/>
            </w:pPr>
            <w:r>
              <w:rPr>
                <w:w w:val="102.46950387954712"/>
                <w:rFonts w:ascii="Asap" w:hAnsi="Asap" w:eastAsia="Asap"/>
                <w:b/>
                <w:i w:val="0"/>
                <w:color w:val="000000"/>
                <w:sz w:val="16"/>
              </w:rPr>
              <w:t xml:space="preserve">Name of </w:t>
            </w:r>
            <w:r>
              <w:br/>
            </w:r>
            <w:r>
              <w:rPr>
                <w:w w:val="102.46950387954712"/>
                <w:rFonts w:ascii="Asap" w:hAnsi="Asap" w:eastAsia="Asap"/>
                <w:b/>
                <w:i w:val="0"/>
                <w:color w:val="000000"/>
                <w:sz w:val="16"/>
              </w:rPr>
              <w:t>Instrument</w:t>
            </w:r>
          </w:p>
        </w:tc>
        <w:tc>
          <w:tcPr>
            <w:tcW w:type="dxa" w:w="1524"/>
            <w:tcBorders>
              <w:start w:sz="4.0" w:val="single" w:color="#FFFFFF"/>
              <w:top w:sz="16.0" w:val="single" w:color="#474B55"/>
              <w:end w:sz="4.0" w:val="single" w:color="#FFFFFF"/>
              <w:bottom w:sz="4.0" w:val="single" w:color="#13377C"/>
            </w:tcBorders>
            <w:shd w:fill="c6c8c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2" w:lineRule="exact" w:before="178" w:after="0"/>
              <w:ind w:left="0" w:right="0" w:firstLine="0"/>
              <w:jc w:val="center"/>
            </w:pPr>
            <w:r>
              <w:rPr>
                <w:w w:val="102.46950387954712"/>
                <w:rFonts w:ascii="Asap" w:hAnsi="Asap" w:eastAsia="Asap"/>
                <w:b/>
                <w:i w:val="0"/>
                <w:color w:val="000000"/>
                <w:sz w:val="16"/>
              </w:rPr>
              <w:t>Abbreviation</w:t>
            </w:r>
          </w:p>
        </w:tc>
        <w:tc>
          <w:tcPr>
            <w:tcW w:type="dxa" w:w="2246"/>
            <w:tcBorders>
              <w:start w:sz="4.0" w:val="single" w:color="#FFFFFF"/>
              <w:top w:sz="16.0" w:val="single" w:color="#474B55"/>
              <w:end w:sz="4.0" w:val="single" w:color="#FFFFFF"/>
              <w:bottom w:sz="4.0" w:val="single" w:color="#13377C"/>
            </w:tcBorders>
            <w:shd w:fill="c6c8c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2" w:lineRule="exact" w:before="178" w:after="0"/>
              <w:ind w:left="0" w:right="0" w:firstLine="0"/>
              <w:jc w:val="center"/>
            </w:pPr>
            <w:r>
              <w:rPr>
                <w:w w:val="102.46950387954712"/>
                <w:rFonts w:ascii="Asap" w:hAnsi="Asap" w:eastAsia="Asap"/>
                <w:b/>
                <w:i w:val="0"/>
                <w:color w:val="000000"/>
                <w:sz w:val="16"/>
              </w:rPr>
              <w:t>Description</w:t>
            </w:r>
          </w:p>
        </w:tc>
        <w:tc>
          <w:tcPr>
            <w:tcW w:type="dxa" w:w="1208"/>
            <w:tcBorders>
              <w:start w:sz="4.0" w:val="single" w:color="#FFFFFF"/>
              <w:top w:sz="16.0" w:val="single" w:color="#474B55"/>
              <w:end w:sz="4.0" w:val="single" w:color="#FFFFFF"/>
              <w:bottom w:sz="4.0" w:val="single" w:color="#13377C"/>
            </w:tcBorders>
            <w:shd w:fill="c6c8c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20" w:after="0"/>
              <w:ind w:left="144" w:right="144" w:firstLine="0"/>
              <w:jc w:val="center"/>
            </w:pPr>
            <w:r>
              <w:rPr>
                <w:w w:val="102.46950387954712"/>
                <w:rFonts w:ascii="Asap" w:hAnsi="Asap" w:eastAsia="Asap"/>
                <w:b/>
                <w:i w:val="0"/>
                <w:color w:val="000000"/>
                <w:sz w:val="16"/>
              </w:rPr>
              <w:t xml:space="preserve">Numerical </w:t>
            </w:r>
            <w:r>
              <w:rPr>
                <w:w w:val="102.46950387954712"/>
                <w:rFonts w:ascii="Asap" w:hAnsi="Asap" w:eastAsia="Asap"/>
                <w:b/>
                <w:i w:val="0"/>
                <w:color w:val="000000"/>
                <w:sz w:val="16"/>
              </w:rPr>
              <w:t>Scale</w:t>
            </w:r>
          </w:p>
        </w:tc>
        <w:tc>
          <w:tcPr>
            <w:tcW w:type="dxa" w:w="1718"/>
            <w:tcBorders>
              <w:start w:sz="4.0" w:val="single" w:color="#FFFFFF"/>
              <w:top w:sz="16.0" w:val="single" w:color="#474B55"/>
              <w:end w:sz="4.0" w:val="single" w:color="#FFFFFF"/>
              <w:bottom w:sz="4.0" w:val="single" w:color="#13377C"/>
            </w:tcBorders>
            <w:shd w:fill="c6c8c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20" w:after="0"/>
              <w:ind w:left="144" w:right="144" w:firstLine="0"/>
              <w:jc w:val="center"/>
            </w:pPr>
            <w:r>
              <w:rPr>
                <w:w w:val="102.46950387954712"/>
                <w:rFonts w:ascii="Asap" w:hAnsi="Asap" w:eastAsia="Asap"/>
                <w:b/>
                <w:i w:val="0"/>
                <w:color w:val="000000"/>
                <w:sz w:val="16"/>
              </w:rPr>
              <w:t xml:space="preserve">Interpretation of </w:t>
            </w:r>
            <w:r>
              <w:rPr>
                <w:w w:val="102.46950387954712"/>
                <w:rFonts w:ascii="Asap" w:hAnsi="Asap" w:eastAsia="Asap"/>
                <w:b/>
                <w:i w:val="0"/>
                <w:color w:val="000000"/>
                <w:sz w:val="16"/>
              </w:rPr>
              <w:t>Values</w:t>
            </w:r>
          </w:p>
        </w:tc>
        <w:tc>
          <w:tcPr>
            <w:tcW w:type="dxa" w:w="2280"/>
            <w:tcBorders>
              <w:start w:sz="4.0" w:val="single" w:color="#FFFFFF"/>
              <w:top w:sz="16.0" w:val="single" w:color="#474B55"/>
              <w:bottom w:sz="4.0" w:val="single" w:color="#13377C"/>
            </w:tcBorders>
            <w:shd w:fill="c6c8c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2" w:lineRule="exact" w:before="178" w:after="0"/>
              <w:ind w:left="0" w:right="0" w:firstLine="0"/>
              <w:jc w:val="center"/>
            </w:pPr>
            <w:r>
              <w:rPr>
                <w:w w:val="102.46950387954712"/>
                <w:rFonts w:ascii="Asap" w:hAnsi="Asap" w:eastAsia="Asap"/>
                <w:b/>
                <w:i w:val="0"/>
                <w:color w:val="000000"/>
                <w:sz w:val="16"/>
              </w:rPr>
              <w:t>MCID*</w:t>
            </w:r>
          </w:p>
        </w:tc>
      </w:tr>
      <w:tr>
        <w:trPr>
          <w:trHeight w:hRule="exact" w:val="362"/>
        </w:trPr>
        <w:tc>
          <w:tcPr>
            <w:tcW w:type="dxa" w:w="1492"/>
            <w:tcBorders>
              <w:top w:sz="4.0" w:val="single" w:color="#13377C"/>
              <w:end w:sz="4.0" w:val="single" w:color="#FFFFFF"/>
              <w:bottom w:sz="4.0" w:val="single" w:color="#C6C8C7"/>
            </w:tcBorders>
            <w:shd w:fill="eaeaf2"/>
            <w:tcMar>
              <w:start w:w="0" w:type="dxa"/>
              <w:end w:w="0" w:type="dxa"/>
            </w:tcMar>
          </w:tcPr>
          <w:p/>
        </w:tc>
        <w:tc>
          <w:tcPr>
            <w:tcW w:type="dxa" w:w="1524"/>
            <w:tcBorders>
              <w:start w:sz="4.0" w:val="single" w:color="#FFFFFF"/>
              <w:top w:sz="4.0" w:val="single" w:color="#13377C"/>
              <w:end w:sz="4.0" w:val="single" w:color="#FFFFFF"/>
              <w:bottom w:sz="4.0" w:val="single" w:color="#C6C8C7"/>
            </w:tcBorders>
            <w:shd w:fill="eaeaf2"/>
            <w:tcMar>
              <w:start w:w="0" w:type="dxa"/>
              <w:end w:w="0" w:type="dxa"/>
            </w:tcMar>
          </w:tcPr>
          <w:p/>
        </w:tc>
        <w:tc>
          <w:tcPr>
            <w:tcW w:type="dxa" w:w="2246"/>
            <w:tcBorders>
              <w:start w:sz="4.0" w:val="single" w:color="#FFFFFF"/>
              <w:top w:sz="4.0" w:val="single" w:color="#13377C"/>
              <w:end w:sz="4.0" w:val="single" w:color="#FFFFFF"/>
              <w:bottom w:sz="4.0" w:val="single" w:color="#C6C8C7"/>
            </w:tcBorders>
            <w:shd w:fill="eaeaf2"/>
            <w:tcMar>
              <w:start w:w="0" w:type="dxa"/>
              <w:end w:w="0" w:type="dxa"/>
            </w:tcMar>
          </w:tcPr>
          <w:p/>
        </w:tc>
        <w:tc>
          <w:tcPr>
            <w:tcW w:type="dxa" w:w="1208"/>
            <w:tcBorders>
              <w:start w:sz="4.0" w:val="single" w:color="#FFFFFF"/>
              <w:top w:sz="4.0" w:val="single" w:color="#13377C"/>
              <w:end w:sz="4.0" w:val="single" w:color="#FFFFFF"/>
              <w:bottom w:sz="4.0" w:val="single" w:color="#C6C8C7"/>
            </w:tcBorders>
            <w:shd w:fill="eaeaf2"/>
            <w:tcMar>
              <w:start w:w="0" w:type="dxa"/>
              <w:end w:w="0" w:type="dxa"/>
            </w:tcMar>
          </w:tcPr>
          <w:p/>
        </w:tc>
        <w:tc>
          <w:tcPr>
            <w:tcW w:type="dxa" w:w="1718"/>
            <w:tcBorders>
              <w:start w:sz="4.0" w:val="single" w:color="#FFFFFF"/>
              <w:top w:sz="4.0" w:val="single" w:color="#13377C"/>
              <w:end w:sz="4.0" w:val="single" w:color="#FFFFFF"/>
              <w:bottom w:sz="4.0" w:val="single" w:color="#C6C8C7"/>
            </w:tcBorders>
            <w:shd w:fill="eaeaf2"/>
            <w:tcMar>
              <w:start w:w="0" w:type="dxa"/>
              <w:end w:w="0" w:type="dxa"/>
            </w:tcMar>
          </w:tcPr>
          <w:p/>
        </w:tc>
        <w:tc>
          <w:tcPr>
            <w:tcW w:type="dxa" w:w="2280"/>
            <w:tcBorders>
              <w:start w:sz="4.0" w:val="single" w:color="#FFFFFF"/>
              <w:top w:sz="4.0" w:val="single" w:color="#13377C"/>
              <w:bottom w:sz="4.0" w:val="single" w:color="#C6C8C7"/>
            </w:tcBorders>
            <w:shd w:fill="eaeaf2"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58"/>
        </w:trPr>
        <w:tc>
          <w:tcPr>
            <w:tcW w:type="dxa" w:w="1492"/>
            <w:tcBorders>
              <w:top w:sz="4.0" w:val="single" w:color="#C6C8C7"/>
              <w:end w:sz="4.0" w:val="single" w:color="#C6C8C7"/>
              <w:bottom w:sz="4.0" w:val="single" w:color="#13377C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524"/>
            <w:tcBorders>
              <w:start w:sz="4.0" w:val="single" w:color="#C6C8C7"/>
              <w:top w:sz="4.0" w:val="single" w:color="#C6C8C7"/>
              <w:end w:sz="4.0" w:val="single" w:color="#C6C8C7"/>
              <w:bottom w:sz="4.0" w:val="single" w:color="#13377C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246"/>
            <w:tcBorders>
              <w:start w:sz="4.0" w:val="single" w:color="#C6C8C7"/>
              <w:top w:sz="4.0" w:val="single" w:color="#C6C8C7"/>
              <w:end w:sz="4.0" w:val="single" w:color="#C6C8C7"/>
              <w:bottom w:sz="4.0" w:val="single" w:color="#13377C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08"/>
            <w:tcBorders>
              <w:start w:sz="4.0" w:val="single" w:color="#C6C8C7"/>
              <w:top w:sz="4.0" w:val="single" w:color="#C6C8C7"/>
              <w:end w:sz="4.0" w:val="single" w:color="#C6C8C7"/>
              <w:bottom w:sz="4.0" w:val="single" w:color="#13377C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718"/>
            <w:tcBorders>
              <w:start w:sz="4.0" w:val="single" w:color="#C6C8C7"/>
              <w:top w:sz="4.0" w:val="single" w:color="#C6C8C7"/>
              <w:end w:sz="4.0" w:val="single" w:color="#C6C8C7"/>
              <w:bottom w:sz="4.0" w:val="single" w:color="#13377C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280"/>
            <w:tcBorders>
              <w:start w:sz="4.0" w:val="single" w:color="#C6C8C7"/>
              <w:top w:sz="4.0" w:val="single" w:color="#C6C8C7"/>
              <w:bottom w:sz="4.0" w:val="single" w:color="#13377C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62"/>
        </w:trPr>
        <w:tc>
          <w:tcPr>
            <w:tcW w:type="dxa" w:w="1492"/>
            <w:tcBorders>
              <w:top w:sz="4.0" w:val="single" w:color="#13377C"/>
              <w:end w:sz="4.0" w:val="single" w:color="#FFFFFF"/>
              <w:bottom w:sz="4.0" w:val="single" w:color="#C6C8C7"/>
            </w:tcBorders>
            <w:shd w:fill="eaeaf2"/>
            <w:tcMar>
              <w:start w:w="0" w:type="dxa"/>
              <w:end w:w="0" w:type="dxa"/>
            </w:tcMar>
          </w:tcPr>
          <w:p/>
        </w:tc>
        <w:tc>
          <w:tcPr>
            <w:tcW w:type="dxa" w:w="1524"/>
            <w:tcBorders>
              <w:start w:sz="4.0" w:val="single" w:color="#FFFFFF"/>
              <w:top w:sz="4.0" w:val="single" w:color="#13377C"/>
              <w:end w:sz="4.0" w:val="single" w:color="#FFFFFF"/>
              <w:bottom w:sz="4.0" w:val="single" w:color="#C6C8C7"/>
            </w:tcBorders>
            <w:shd w:fill="eaeaf2"/>
            <w:tcMar>
              <w:start w:w="0" w:type="dxa"/>
              <w:end w:w="0" w:type="dxa"/>
            </w:tcMar>
          </w:tcPr>
          <w:p/>
        </w:tc>
        <w:tc>
          <w:tcPr>
            <w:tcW w:type="dxa" w:w="2246"/>
            <w:tcBorders>
              <w:start w:sz="4.0" w:val="single" w:color="#FFFFFF"/>
              <w:top w:sz="4.0" w:val="single" w:color="#13377C"/>
              <w:end w:sz="4.0" w:val="single" w:color="#FFFFFF"/>
              <w:bottom w:sz="4.0" w:val="single" w:color="#C6C8C7"/>
            </w:tcBorders>
            <w:shd w:fill="eaeaf2"/>
            <w:tcMar>
              <w:start w:w="0" w:type="dxa"/>
              <w:end w:w="0" w:type="dxa"/>
            </w:tcMar>
          </w:tcPr>
          <w:p/>
        </w:tc>
        <w:tc>
          <w:tcPr>
            <w:tcW w:type="dxa" w:w="1208"/>
            <w:tcBorders>
              <w:start w:sz="4.0" w:val="single" w:color="#FFFFFF"/>
              <w:top w:sz="4.0" w:val="single" w:color="#13377C"/>
              <w:end w:sz="4.0" w:val="single" w:color="#FFFFFF"/>
              <w:bottom w:sz="4.0" w:val="single" w:color="#C6C8C7"/>
            </w:tcBorders>
            <w:shd w:fill="eaeaf2"/>
            <w:tcMar>
              <w:start w:w="0" w:type="dxa"/>
              <w:end w:w="0" w:type="dxa"/>
            </w:tcMar>
          </w:tcPr>
          <w:p/>
        </w:tc>
        <w:tc>
          <w:tcPr>
            <w:tcW w:type="dxa" w:w="1718"/>
            <w:tcBorders>
              <w:start w:sz="4.0" w:val="single" w:color="#FFFFFF"/>
              <w:top w:sz="4.0" w:val="single" w:color="#13377C"/>
              <w:end w:sz="4.0" w:val="single" w:color="#FFFFFF"/>
              <w:bottom w:sz="4.0" w:val="single" w:color="#C6C8C7"/>
            </w:tcBorders>
            <w:shd w:fill="eaeaf2"/>
            <w:tcMar>
              <w:start w:w="0" w:type="dxa"/>
              <w:end w:w="0" w:type="dxa"/>
            </w:tcMar>
          </w:tcPr>
          <w:p/>
        </w:tc>
        <w:tc>
          <w:tcPr>
            <w:tcW w:type="dxa" w:w="2280"/>
            <w:tcBorders>
              <w:start w:sz="4.0" w:val="single" w:color="#FFFFFF"/>
              <w:top w:sz="4.0" w:val="single" w:color="#13377C"/>
              <w:bottom w:sz="4.0" w:val="single" w:color="#C6C8C7"/>
            </w:tcBorders>
            <w:shd w:fill="eaeaf2"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58"/>
        </w:trPr>
        <w:tc>
          <w:tcPr>
            <w:tcW w:type="dxa" w:w="1492"/>
            <w:tcBorders>
              <w:top w:sz="4.0" w:val="single" w:color="#C6C8C7"/>
              <w:end w:sz="4.0" w:val="single" w:color="#C6C8C7"/>
              <w:bottom w:sz="4.0" w:val="single" w:color="#13377C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524"/>
            <w:tcBorders>
              <w:start w:sz="4.0" w:val="single" w:color="#C6C8C7"/>
              <w:top w:sz="4.0" w:val="single" w:color="#C6C8C7"/>
              <w:end w:sz="4.0" w:val="single" w:color="#C6C8C7"/>
              <w:bottom w:sz="4.0" w:val="single" w:color="#13377C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246"/>
            <w:tcBorders>
              <w:start w:sz="4.0" w:val="single" w:color="#C6C8C7"/>
              <w:top w:sz="4.0" w:val="single" w:color="#C6C8C7"/>
              <w:end w:sz="4.0" w:val="single" w:color="#C6C8C7"/>
              <w:bottom w:sz="4.0" w:val="single" w:color="#13377C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08"/>
            <w:tcBorders>
              <w:start w:sz="4.0" w:val="single" w:color="#C6C8C7"/>
              <w:top w:sz="4.0" w:val="single" w:color="#C6C8C7"/>
              <w:end w:sz="4.0" w:val="single" w:color="#C6C8C7"/>
              <w:bottom w:sz="4.0" w:val="single" w:color="#13377C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718"/>
            <w:tcBorders>
              <w:start w:sz="4.0" w:val="single" w:color="#C6C8C7"/>
              <w:top w:sz="4.0" w:val="single" w:color="#C6C8C7"/>
              <w:end w:sz="4.0" w:val="single" w:color="#C6C8C7"/>
              <w:bottom w:sz="4.0" w:val="single" w:color="#13377C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280"/>
            <w:tcBorders>
              <w:start w:sz="4.0" w:val="single" w:color="#C6C8C7"/>
              <w:top w:sz="4.0" w:val="single" w:color="#C6C8C7"/>
              <w:bottom w:sz="4.0" w:val="single" w:color="#13377C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62"/>
        </w:trPr>
        <w:tc>
          <w:tcPr>
            <w:tcW w:type="dxa" w:w="1492"/>
            <w:tcBorders>
              <w:top w:sz="4.0" w:val="single" w:color="#13377C"/>
              <w:end w:sz="4.0" w:val="single" w:color="#FFFFFF"/>
              <w:bottom w:sz="4.0" w:val="single" w:color="#C6C8C7"/>
            </w:tcBorders>
            <w:shd w:fill="eaeaf2"/>
            <w:tcMar>
              <w:start w:w="0" w:type="dxa"/>
              <w:end w:w="0" w:type="dxa"/>
            </w:tcMar>
          </w:tcPr>
          <w:p/>
        </w:tc>
        <w:tc>
          <w:tcPr>
            <w:tcW w:type="dxa" w:w="1524"/>
            <w:tcBorders>
              <w:start w:sz="4.0" w:val="single" w:color="#FFFFFF"/>
              <w:top w:sz="4.0" w:val="single" w:color="#13377C"/>
              <w:end w:sz="4.0" w:val="single" w:color="#FFFFFF"/>
              <w:bottom w:sz="4.0" w:val="single" w:color="#C6C8C7"/>
            </w:tcBorders>
            <w:shd w:fill="eaeaf2"/>
            <w:tcMar>
              <w:start w:w="0" w:type="dxa"/>
              <w:end w:w="0" w:type="dxa"/>
            </w:tcMar>
          </w:tcPr>
          <w:p/>
        </w:tc>
        <w:tc>
          <w:tcPr>
            <w:tcW w:type="dxa" w:w="2246"/>
            <w:tcBorders>
              <w:start w:sz="4.0" w:val="single" w:color="#FFFFFF"/>
              <w:top w:sz="4.0" w:val="single" w:color="#13377C"/>
              <w:end w:sz="4.0" w:val="single" w:color="#FFFFFF"/>
              <w:bottom w:sz="4.0" w:val="single" w:color="#C6C8C7"/>
            </w:tcBorders>
            <w:shd w:fill="eaeaf2"/>
            <w:tcMar>
              <w:start w:w="0" w:type="dxa"/>
              <w:end w:w="0" w:type="dxa"/>
            </w:tcMar>
          </w:tcPr>
          <w:p/>
        </w:tc>
        <w:tc>
          <w:tcPr>
            <w:tcW w:type="dxa" w:w="1208"/>
            <w:tcBorders>
              <w:start w:sz="4.0" w:val="single" w:color="#FFFFFF"/>
              <w:top w:sz="4.0" w:val="single" w:color="#13377C"/>
              <w:end w:sz="4.0" w:val="single" w:color="#FFFFFF"/>
              <w:bottom w:sz="4.0" w:val="single" w:color="#C6C8C7"/>
            </w:tcBorders>
            <w:shd w:fill="eaeaf2"/>
            <w:tcMar>
              <w:start w:w="0" w:type="dxa"/>
              <w:end w:w="0" w:type="dxa"/>
            </w:tcMar>
          </w:tcPr>
          <w:p/>
        </w:tc>
        <w:tc>
          <w:tcPr>
            <w:tcW w:type="dxa" w:w="1718"/>
            <w:tcBorders>
              <w:start w:sz="4.0" w:val="single" w:color="#FFFFFF"/>
              <w:top w:sz="4.0" w:val="single" w:color="#13377C"/>
              <w:end w:sz="4.0" w:val="single" w:color="#FFFFFF"/>
              <w:bottom w:sz="4.0" w:val="single" w:color="#C6C8C7"/>
            </w:tcBorders>
            <w:shd w:fill="eaeaf2"/>
            <w:tcMar>
              <w:start w:w="0" w:type="dxa"/>
              <w:end w:w="0" w:type="dxa"/>
            </w:tcMar>
          </w:tcPr>
          <w:p/>
        </w:tc>
        <w:tc>
          <w:tcPr>
            <w:tcW w:type="dxa" w:w="2280"/>
            <w:tcBorders>
              <w:start w:sz="4.0" w:val="single" w:color="#FFFFFF"/>
              <w:top w:sz="4.0" w:val="single" w:color="#13377C"/>
              <w:bottom w:sz="4.0" w:val="single" w:color="#C6C8C7"/>
            </w:tcBorders>
            <w:shd w:fill="eaeaf2"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60"/>
        </w:trPr>
        <w:tc>
          <w:tcPr>
            <w:tcW w:type="dxa" w:w="1492"/>
            <w:tcBorders>
              <w:top w:sz="4.0" w:val="single" w:color="#C6C8C7"/>
              <w:end w:sz="4.0" w:val="single" w:color="#C6C8C7"/>
              <w:bottom w:sz="4.0" w:val="single" w:color="#13377C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524"/>
            <w:tcBorders>
              <w:start w:sz="4.0" w:val="single" w:color="#C6C8C7"/>
              <w:top w:sz="4.0" w:val="single" w:color="#C6C8C7"/>
              <w:end w:sz="4.0" w:val="single" w:color="#C6C8C7"/>
              <w:bottom w:sz="4.0" w:val="single" w:color="#13377C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246"/>
            <w:tcBorders>
              <w:start w:sz="4.0" w:val="single" w:color="#C6C8C7"/>
              <w:top w:sz="4.0" w:val="single" w:color="#C6C8C7"/>
              <w:end w:sz="4.0" w:val="single" w:color="#C6C8C7"/>
              <w:bottom w:sz="4.0" w:val="single" w:color="#13377C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08"/>
            <w:tcBorders>
              <w:start w:sz="4.0" w:val="single" w:color="#C6C8C7"/>
              <w:top w:sz="4.0" w:val="single" w:color="#C6C8C7"/>
              <w:end w:sz="4.0" w:val="single" w:color="#C6C8C7"/>
              <w:bottom w:sz="4.0" w:val="single" w:color="#13377C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718"/>
            <w:tcBorders>
              <w:start w:sz="4.0" w:val="single" w:color="#C6C8C7"/>
              <w:top w:sz="4.0" w:val="single" w:color="#C6C8C7"/>
              <w:end w:sz="4.0" w:val="single" w:color="#C6C8C7"/>
              <w:bottom w:sz="4.0" w:val="single" w:color="#13377C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280"/>
            <w:tcBorders>
              <w:start w:sz="4.0" w:val="single" w:color="#C6C8C7"/>
              <w:top w:sz="4.0" w:val="single" w:color="#C6C8C7"/>
              <w:bottom w:sz="4.0" w:val="single" w:color="#13377C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60"/>
        </w:trPr>
        <w:tc>
          <w:tcPr>
            <w:tcW w:type="dxa" w:w="1492"/>
            <w:tcBorders>
              <w:top w:sz="4.0" w:val="single" w:color="#13377C"/>
              <w:end w:sz="4.0" w:val="single" w:color="#FFFFFF"/>
              <w:bottom w:sz="4.0" w:val="single" w:color="#C6C8C7"/>
            </w:tcBorders>
            <w:shd w:fill="eaeaf2"/>
            <w:tcMar>
              <w:start w:w="0" w:type="dxa"/>
              <w:end w:w="0" w:type="dxa"/>
            </w:tcMar>
          </w:tcPr>
          <w:p/>
        </w:tc>
        <w:tc>
          <w:tcPr>
            <w:tcW w:type="dxa" w:w="1524"/>
            <w:tcBorders>
              <w:start w:sz="4.0" w:val="single" w:color="#FFFFFF"/>
              <w:top w:sz="4.0" w:val="single" w:color="#13377C"/>
              <w:end w:sz="4.0" w:val="single" w:color="#FFFFFF"/>
              <w:bottom w:sz="4.0" w:val="single" w:color="#C6C8C7"/>
            </w:tcBorders>
            <w:shd w:fill="eaeaf2"/>
            <w:tcMar>
              <w:start w:w="0" w:type="dxa"/>
              <w:end w:w="0" w:type="dxa"/>
            </w:tcMar>
          </w:tcPr>
          <w:p/>
        </w:tc>
        <w:tc>
          <w:tcPr>
            <w:tcW w:type="dxa" w:w="2246"/>
            <w:tcBorders>
              <w:start w:sz="4.0" w:val="single" w:color="#FFFFFF"/>
              <w:top w:sz="4.0" w:val="single" w:color="#13377C"/>
              <w:end w:sz="4.0" w:val="single" w:color="#FFFFFF"/>
              <w:bottom w:sz="4.0" w:val="single" w:color="#C6C8C7"/>
            </w:tcBorders>
            <w:shd w:fill="eaeaf2"/>
            <w:tcMar>
              <w:start w:w="0" w:type="dxa"/>
              <w:end w:w="0" w:type="dxa"/>
            </w:tcMar>
          </w:tcPr>
          <w:p/>
        </w:tc>
        <w:tc>
          <w:tcPr>
            <w:tcW w:type="dxa" w:w="1208"/>
            <w:tcBorders>
              <w:start w:sz="4.0" w:val="single" w:color="#FFFFFF"/>
              <w:top w:sz="4.0" w:val="single" w:color="#13377C"/>
              <w:end w:sz="4.0" w:val="single" w:color="#FFFFFF"/>
              <w:bottom w:sz="4.0" w:val="single" w:color="#C6C8C7"/>
            </w:tcBorders>
            <w:shd w:fill="eaeaf2"/>
            <w:tcMar>
              <w:start w:w="0" w:type="dxa"/>
              <w:end w:w="0" w:type="dxa"/>
            </w:tcMar>
          </w:tcPr>
          <w:p/>
        </w:tc>
        <w:tc>
          <w:tcPr>
            <w:tcW w:type="dxa" w:w="1718"/>
            <w:tcBorders>
              <w:start w:sz="4.0" w:val="single" w:color="#FFFFFF"/>
              <w:top w:sz="4.0" w:val="single" w:color="#13377C"/>
              <w:end w:sz="4.0" w:val="single" w:color="#FFFFFF"/>
              <w:bottom w:sz="4.0" w:val="single" w:color="#C6C8C7"/>
            </w:tcBorders>
            <w:shd w:fill="eaeaf2"/>
            <w:tcMar>
              <w:start w:w="0" w:type="dxa"/>
              <w:end w:w="0" w:type="dxa"/>
            </w:tcMar>
          </w:tcPr>
          <w:p/>
        </w:tc>
        <w:tc>
          <w:tcPr>
            <w:tcW w:type="dxa" w:w="2280"/>
            <w:tcBorders>
              <w:start w:sz="4.0" w:val="single" w:color="#FFFFFF"/>
              <w:top w:sz="4.0" w:val="single" w:color="#13377C"/>
              <w:bottom w:sz="4.0" w:val="single" w:color="#C6C8C7"/>
            </w:tcBorders>
            <w:shd w:fill="eaeaf2"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60"/>
        </w:trPr>
        <w:tc>
          <w:tcPr>
            <w:tcW w:type="dxa" w:w="1492"/>
            <w:tcBorders>
              <w:top w:sz="4.0" w:val="single" w:color="#C6C8C7"/>
              <w:end w:sz="4.0" w:val="single" w:color="#C6C8C7"/>
              <w:bottom w:sz="4.0" w:val="single" w:color="#13377C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524"/>
            <w:tcBorders>
              <w:start w:sz="4.0" w:val="single" w:color="#C6C8C7"/>
              <w:top w:sz="4.0" w:val="single" w:color="#C6C8C7"/>
              <w:end w:sz="4.0" w:val="single" w:color="#C6C8C7"/>
              <w:bottom w:sz="4.0" w:val="single" w:color="#13377C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246"/>
            <w:tcBorders>
              <w:start w:sz="4.0" w:val="single" w:color="#C6C8C7"/>
              <w:top w:sz="4.0" w:val="single" w:color="#C6C8C7"/>
              <w:end w:sz="4.0" w:val="single" w:color="#C6C8C7"/>
              <w:bottom w:sz="4.0" w:val="single" w:color="#13377C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08"/>
            <w:tcBorders>
              <w:start w:sz="4.0" w:val="single" w:color="#C6C8C7"/>
              <w:top w:sz="4.0" w:val="single" w:color="#C6C8C7"/>
              <w:end w:sz="4.0" w:val="single" w:color="#C6C8C7"/>
              <w:bottom w:sz="4.0" w:val="single" w:color="#13377C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718"/>
            <w:tcBorders>
              <w:start w:sz="4.0" w:val="single" w:color="#C6C8C7"/>
              <w:top w:sz="4.0" w:val="single" w:color="#C6C8C7"/>
              <w:end w:sz="4.0" w:val="single" w:color="#C6C8C7"/>
              <w:bottom w:sz="4.0" w:val="single" w:color="#13377C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280"/>
            <w:tcBorders>
              <w:start w:sz="4.0" w:val="single" w:color="#C6C8C7"/>
              <w:top w:sz="4.0" w:val="single" w:color="#C6C8C7"/>
              <w:bottom w:sz="4.0" w:val="single" w:color="#13377C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60"/>
        </w:trPr>
        <w:tc>
          <w:tcPr>
            <w:tcW w:type="dxa" w:w="1492"/>
            <w:tcBorders>
              <w:top w:sz="4.0" w:val="single" w:color="#13377C"/>
              <w:end w:sz="4.0" w:val="single" w:color="#FFFFFF"/>
              <w:bottom w:sz="4.0" w:val="single" w:color="#C6C8C7"/>
            </w:tcBorders>
            <w:shd w:fill="eaeaf2"/>
            <w:tcMar>
              <w:start w:w="0" w:type="dxa"/>
              <w:end w:w="0" w:type="dxa"/>
            </w:tcMar>
          </w:tcPr>
          <w:p/>
        </w:tc>
        <w:tc>
          <w:tcPr>
            <w:tcW w:type="dxa" w:w="1524"/>
            <w:tcBorders>
              <w:start w:sz="4.0" w:val="single" w:color="#FFFFFF"/>
              <w:top w:sz="4.0" w:val="single" w:color="#13377C"/>
              <w:end w:sz="4.0" w:val="single" w:color="#FFFFFF"/>
              <w:bottom w:sz="4.0" w:val="single" w:color="#C6C8C7"/>
            </w:tcBorders>
            <w:shd w:fill="eaeaf2"/>
            <w:tcMar>
              <w:start w:w="0" w:type="dxa"/>
              <w:end w:w="0" w:type="dxa"/>
            </w:tcMar>
          </w:tcPr>
          <w:p/>
        </w:tc>
        <w:tc>
          <w:tcPr>
            <w:tcW w:type="dxa" w:w="2246"/>
            <w:tcBorders>
              <w:start w:sz="4.0" w:val="single" w:color="#FFFFFF"/>
              <w:top w:sz="4.0" w:val="single" w:color="#13377C"/>
              <w:end w:sz="4.0" w:val="single" w:color="#FFFFFF"/>
              <w:bottom w:sz="4.0" w:val="single" w:color="#C6C8C7"/>
            </w:tcBorders>
            <w:shd w:fill="eaeaf2"/>
            <w:tcMar>
              <w:start w:w="0" w:type="dxa"/>
              <w:end w:w="0" w:type="dxa"/>
            </w:tcMar>
          </w:tcPr>
          <w:p/>
        </w:tc>
        <w:tc>
          <w:tcPr>
            <w:tcW w:type="dxa" w:w="1208"/>
            <w:tcBorders>
              <w:start w:sz="4.0" w:val="single" w:color="#FFFFFF"/>
              <w:top w:sz="4.0" w:val="single" w:color="#13377C"/>
              <w:end w:sz="4.0" w:val="single" w:color="#FFFFFF"/>
              <w:bottom w:sz="4.0" w:val="single" w:color="#C6C8C7"/>
            </w:tcBorders>
            <w:shd w:fill="eaeaf2"/>
            <w:tcMar>
              <w:start w:w="0" w:type="dxa"/>
              <w:end w:w="0" w:type="dxa"/>
            </w:tcMar>
          </w:tcPr>
          <w:p/>
        </w:tc>
        <w:tc>
          <w:tcPr>
            <w:tcW w:type="dxa" w:w="1718"/>
            <w:tcBorders>
              <w:start w:sz="4.0" w:val="single" w:color="#FFFFFF"/>
              <w:top w:sz="4.0" w:val="single" w:color="#13377C"/>
              <w:end w:sz="4.0" w:val="single" w:color="#FFFFFF"/>
              <w:bottom w:sz="4.0" w:val="single" w:color="#C6C8C7"/>
            </w:tcBorders>
            <w:shd w:fill="eaeaf2"/>
            <w:tcMar>
              <w:start w:w="0" w:type="dxa"/>
              <w:end w:w="0" w:type="dxa"/>
            </w:tcMar>
          </w:tcPr>
          <w:p/>
        </w:tc>
        <w:tc>
          <w:tcPr>
            <w:tcW w:type="dxa" w:w="2280"/>
            <w:tcBorders>
              <w:start w:sz="4.0" w:val="single" w:color="#FFFFFF"/>
              <w:top w:sz="4.0" w:val="single" w:color="#13377C"/>
              <w:bottom w:sz="4.0" w:val="single" w:color="#C6C8C7"/>
            </w:tcBorders>
            <w:shd w:fill="eaeaf2"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60"/>
        </w:trPr>
        <w:tc>
          <w:tcPr>
            <w:tcW w:type="dxa" w:w="1492"/>
            <w:tcBorders>
              <w:top w:sz="4.0" w:val="single" w:color="#C6C8C7"/>
              <w:end w:sz="4.0" w:val="single" w:color="#C6C8C7"/>
              <w:bottom w:sz="4.0" w:val="single" w:color="#13377C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524"/>
            <w:tcBorders>
              <w:start w:sz="4.0" w:val="single" w:color="#C6C8C7"/>
              <w:top w:sz="4.0" w:val="single" w:color="#C6C8C7"/>
              <w:end w:sz="4.0" w:val="single" w:color="#C6C8C7"/>
              <w:bottom w:sz="4.0" w:val="single" w:color="#13377C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246"/>
            <w:tcBorders>
              <w:start w:sz="4.0" w:val="single" w:color="#C6C8C7"/>
              <w:top w:sz="4.0" w:val="single" w:color="#C6C8C7"/>
              <w:end w:sz="4.0" w:val="single" w:color="#C6C8C7"/>
              <w:bottom w:sz="4.0" w:val="single" w:color="#13377C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08"/>
            <w:tcBorders>
              <w:start w:sz="4.0" w:val="single" w:color="#C6C8C7"/>
              <w:top w:sz="4.0" w:val="single" w:color="#C6C8C7"/>
              <w:end w:sz="4.0" w:val="single" w:color="#C6C8C7"/>
              <w:bottom w:sz="4.0" w:val="single" w:color="#13377C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718"/>
            <w:tcBorders>
              <w:start w:sz="4.0" w:val="single" w:color="#C6C8C7"/>
              <w:top w:sz="4.0" w:val="single" w:color="#C6C8C7"/>
              <w:end w:sz="4.0" w:val="single" w:color="#C6C8C7"/>
              <w:bottom w:sz="4.0" w:val="single" w:color="#13377C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280"/>
            <w:tcBorders>
              <w:start w:sz="4.0" w:val="single" w:color="#C6C8C7"/>
              <w:top w:sz="4.0" w:val="single" w:color="#C6C8C7"/>
              <w:bottom w:sz="4.0" w:val="single" w:color="#13377C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60"/>
        </w:trPr>
        <w:tc>
          <w:tcPr>
            <w:tcW w:type="dxa" w:w="1492"/>
            <w:tcBorders>
              <w:top w:sz="4.0" w:val="single" w:color="#13377C"/>
              <w:end w:sz="4.0" w:val="single" w:color="#FFFFFF"/>
              <w:bottom w:sz="4.0" w:val="single" w:color="#C6C8C7"/>
            </w:tcBorders>
            <w:shd w:fill="eaeaf2"/>
            <w:tcMar>
              <w:start w:w="0" w:type="dxa"/>
              <w:end w:w="0" w:type="dxa"/>
            </w:tcMar>
          </w:tcPr>
          <w:p/>
        </w:tc>
        <w:tc>
          <w:tcPr>
            <w:tcW w:type="dxa" w:w="1524"/>
            <w:tcBorders>
              <w:start w:sz="4.0" w:val="single" w:color="#FFFFFF"/>
              <w:top w:sz="4.0" w:val="single" w:color="#13377C"/>
              <w:end w:sz="4.0" w:val="single" w:color="#FFFFFF"/>
              <w:bottom w:sz="4.0" w:val="single" w:color="#C6C8C7"/>
            </w:tcBorders>
            <w:shd w:fill="eaeaf2"/>
            <w:tcMar>
              <w:start w:w="0" w:type="dxa"/>
              <w:end w:w="0" w:type="dxa"/>
            </w:tcMar>
          </w:tcPr>
          <w:p/>
        </w:tc>
        <w:tc>
          <w:tcPr>
            <w:tcW w:type="dxa" w:w="2246"/>
            <w:tcBorders>
              <w:start w:sz="4.0" w:val="single" w:color="#FFFFFF"/>
              <w:top w:sz="4.0" w:val="single" w:color="#13377C"/>
              <w:end w:sz="4.0" w:val="single" w:color="#FFFFFF"/>
              <w:bottom w:sz="4.0" w:val="single" w:color="#C6C8C7"/>
            </w:tcBorders>
            <w:shd w:fill="eaeaf2"/>
            <w:tcMar>
              <w:start w:w="0" w:type="dxa"/>
              <w:end w:w="0" w:type="dxa"/>
            </w:tcMar>
          </w:tcPr>
          <w:p/>
        </w:tc>
        <w:tc>
          <w:tcPr>
            <w:tcW w:type="dxa" w:w="1208"/>
            <w:tcBorders>
              <w:start w:sz="4.0" w:val="single" w:color="#FFFFFF"/>
              <w:top w:sz="4.0" w:val="single" w:color="#13377C"/>
              <w:end w:sz="4.0" w:val="single" w:color="#FFFFFF"/>
              <w:bottom w:sz="4.0" w:val="single" w:color="#C6C8C7"/>
            </w:tcBorders>
            <w:shd w:fill="eaeaf2"/>
            <w:tcMar>
              <w:start w:w="0" w:type="dxa"/>
              <w:end w:w="0" w:type="dxa"/>
            </w:tcMar>
          </w:tcPr>
          <w:p/>
        </w:tc>
        <w:tc>
          <w:tcPr>
            <w:tcW w:type="dxa" w:w="1718"/>
            <w:tcBorders>
              <w:start w:sz="4.0" w:val="single" w:color="#FFFFFF"/>
              <w:top w:sz="4.0" w:val="single" w:color="#13377C"/>
              <w:end w:sz="4.0" w:val="single" w:color="#FFFFFF"/>
              <w:bottom w:sz="4.0" w:val="single" w:color="#C6C8C7"/>
            </w:tcBorders>
            <w:shd w:fill="eaeaf2"/>
            <w:tcMar>
              <w:start w:w="0" w:type="dxa"/>
              <w:end w:w="0" w:type="dxa"/>
            </w:tcMar>
          </w:tcPr>
          <w:p/>
        </w:tc>
        <w:tc>
          <w:tcPr>
            <w:tcW w:type="dxa" w:w="2280"/>
            <w:tcBorders>
              <w:start w:sz="4.0" w:val="single" w:color="#FFFFFF"/>
              <w:top w:sz="4.0" w:val="single" w:color="#13377C"/>
              <w:bottom w:sz="4.0" w:val="single" w:color="#C6C8C7"/>
            </w:tcBorders>
            <w:shd w:fill="eaeaf2"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58"/>
        </w:trPr>
        <w:tc>
          <w:tcPr>
            <w:tcW w:type="dxa" w:w="1492"/>
            <w:tcBorders>
              <w:top w:sz="4.0" w:val="single" w:color="#C6C8C7"/>
              <w:end w:sz="4.0" w:val="single" w:color="#C6C8C7"/>
              <w:bottom w:sz="16.0" w:val="single" w:color="#474B55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524"/>
            <w:tcBorders>
              <w:start w:sz="4.0" w:val="single" w:color="#C6C8C7"/>
              <w:top w:sz="4.0" w:val="single" w:color="#C6C8C7"/>
              <w:end w:sz="4.0" w:val="single" w:color="#C6C8C7"/>
              <w:bottom w:sz="16.0" w:val="single" w:color="#474B55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246"/>
            <w:tcBorders>
              <w:start w:sz="4.0" w:val="single" w:color="#C6C8C7"/>
              <w:top w:sz="4.0" w:val="single" w:color="#C6C8C7"/>
              <w:end w:sz="4.0" w:val="single" w:color="#C6C8C7"/>
              <w:bottom w:sz="16.0" w:val="single" w:color="#474B55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08"/>
            <w:tcBorders>
              <w:start w:sz="4.0" w:val="single" w:color="#C6C8C7"/>
              <w:top w:sz="4.0" w:val="single" w:color="#C6C8C7"/>
              <w:end w:sz="4.0" w:val="single" w:color="#C6C8C7"/>
              <w:bottom w:sz="16.0" w:val="single" w:color="#474B55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718"/>
            <w:tcBorders>
              <w:start w:sz="4.0" w:val="single" w:color="#C6C8C7"/>
              <w:top w:sz="4.0" w:val="single" w:color="#C6C8C7"/>
              <w:end w:sz="4.0" w:val="single" w:color="#C6C8C7"/>
              <w:bottom w:sz="16.0" w:val="single" w:color="#474B55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280"/>
            <w:tcBorders>
              <w:start w:sz="4.0" w:val="single" w:color="#C6C8C7"/>
              <w:top w:sz="4.0" w:val="single" w:color="#C6C8C7"/>
              <w:bottom w:sz="16.0" w:val="single" w:color="#474B55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188" w:lineRule="exact" w:before="164" w:after="0"/>
        <w:ind w:left="40" w:right="0" w:firstLine="0"/>
        <w:jc w:val="left"/>
      </w:pPr>
      <w:r>
        <w:rPr>
          <w:rFonts w:ascii="Asap" w:hAnsi="Asap" w:eastAsia="Asap"/>
          <w:b w:val="0"/>
          <w:i/>
          <w:color w:val="000000"/>
          <w:sz w:val="15"/>
        </w:rPr>
        <w:t>MCID = minimal clinically important difference.</w:t>
      </w:r>
    </w:p>
    <w:p>
      <w:pPr>
        <w:autoSpaceDN w:val="0"/>
        <w:autoSpaceDE w:val="0"/>
        <w:widowControl/>
        <w:spacing w:line="180" w:lineRule="exact" w:before="8" w:after="0"/>
        <w:ind w:left="40" w:right="682" w:firstLine="0"/>
        <w:jc w:val="both"/>
      </w:pPr>
      <w:r>
        <w:rPr>
          <w:rFonts w:ascii="Asap" w:hAnsi="Asap" w:eastAsia="Asap"/>
          <w:b w:val="0"/>
          <w:i/>
          <w:color w:val="000000"/>
          <w:sz w:val="15"/>
        </w:rPr>
        <w:t xml:space="preserve">*MCID is usually determined by the originator or owner of the instrument. This number represents a threshold below which a numerical difference is </w:t>
      </w:r>
      <w:r>
        <w:rPr>
          <w:rFonts w:ascii="Asap" w:hAnsi="Asap" w:eastAsia="Asap"/>
          <w:b w:val="0"/>
          <w:i/>
          <w:color w:val="000000"/>
          <w:sz w:val="15"/>
        </w:rPr>
        <w:t xml:space="preserve">not considered to be clinically meaningful, even if statistically significant. Differences less than this amount are usually excluded from discussions of </w:t>
      </w:r>
      <w:r>
        <w:rPr>
          <w:rFonts w:ascii="Asap" w:hAnsi="Asap" w:eastAsia="Asap"/>
          <w:b w:val="0"/>
          <w:i/>
          <w:color w:val="000000"/>
          <w:sz w:val="15"/>
        </w:rPr>
        <w:t>incremental clinical effect.</w:t>
      </w:r>
    </w:p>
    <w:p>
      <w:pPr>
        <w:autoSpaceDN w:val="0"/>
        <w:autoSpaceDE w:val="0"/>
        <w:widowControl/>
        <w:spacing w:line="246" w:lineRule="exact" w:before="286" w:after="150"/>
        <w:ind w:left="20" w:right="3600" w:firstLine="0"/>
        <w:jc w:val="left"/>
      </w:pPr>
      <w:r>
        <w:rPr>
          <w:rFonts w:ascii="Asap" w:hAnsi="Asap" w:eastAsia="Asap"/>
          <w:b/>
          <w:i w:val="0"/>
          <w:color w:val="14377D"/>
          <w:sz w:val="20"/>
        </w:rPr>
        <w:t xml:space="preserve">COST-EFFECTIVENESS EVIDENCE SUMMARY 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>(Table format may be modified as needed to better fit the economic study methodology.)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948"/>
        <w:gridCol w:w="1948"/>
        <w:gridCol w:w="1948"/>
        <w:gridCol w:w="1948"/>
        <w:gridCol w:w="1948"/>
      </w:tblGrid>
      <w:tr>
        <w:trPr>
          <w:trHeight w:hRule="exact" w:val="1024"/>
        </w:trPr>
        <w:tc>
          <w:tcPr>
            <w:tcW w:type="dxa" w:w="1154"/>
            <w:tcBorders>
              <w:top w:sz="16.0" w:val="single" w:color="#474B55"/>
              <w:end w:sz="4.0" w:val="single" w:color="#FFFFFF"/>
              <w:bottom w:sz="4.0" w:val="single" w:color="#13377C"/>
            </w:tcBorders>
            <w:shd w:fill="c6c8c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40" w:after="0"/>
              <w:ind w:left="144" w:right="144" w:firstLine="0"/>
              <w:jc w:val="center"/>
            </w:pPr>
            <w:r>
              <w:rPr>
                <w:w w:val="102.46950387954712"/>
                <w:rFonts w:ascii="Asap" w:hAnsi="Asap" w:eastAsia="Asap"/>
                <w:b/>
                <w:i w:val="0"/>
                <w:color w:val="000000"/>
                <w:sz w:val="16"/>
              </w:rPr>
              <w:t xml:space="preserve">Ref. and </w:t>
            </w:r>
            <w:r>
              <w:rPr>
                <w:w w:val="102.46950387954712"/>
                <w:rFonts w:ascii="Asap" w:hAnsi="Asap" w:eastAsia="Asap"/>
                <w:b/>
                <w:i w:val="0"/>
                <w:color w:val="000000"/>
                <w:sz w:val="16"/>
              </w:rPr>
              <w:t>Sponsor</w:t>
            </w:r>
          </w:p>
        </w:tc>
        <w:tc>
          <w:tcPr>
            <w:tcW w:type="dxa" w:w="1748"/>
            <w:tcBorders>
              <w:start w:sz="4.0" w:val="single" w:color="#FFFFFF"/>
              <w:top w:sz="16.0" w:val="single" w:color="#474B55"/>
              <w:end w:sz="4.0" w:val="single" w:color="#FFFFFF"/>
              <w:bottom w:sz="4.0" w:val="single" w:color="#13377C"/>
            </w:tcBorders>
            <w:shd w:fill="c6c8c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50" w:after="0"/>
              <w:ind w:left="144" w:right="144" w:firstLine="0"/>
              <w:jc w:val="center"/>
            </w:pPr>
            <w:r>
              <w:rPr>
                <w:w w:val="102.46950387954712"/>
                <w:rFonts w:ascii="Asap" w:hAnsi="Asap" w:eastAsia="Asap"/>
                <w:b/>
                <w:i w:val="0"/>
                <w:color w:val="000000"/>
                <w:sz w:val="16"/>
              </w:rPr>
              <w:t xml:space="preserve">Study Design </w:t>
            </w:r>
            <w:r>
              <w:br/>
            </w:r>
            <w:r>
              <w:rPr>
                <w:w w:val="102.46950387954712"/>
                <w:rFonts w:ascii="Asap" w:hAnsi="Asap" w:eastAsia="Asap"/>
                <w:b/>
                <w:i w:val="0"/>
                <w:color w:val="000000"/>
                <w:sz w:val="16"/>
              </w:rPr>
              <w:t xml:space="preserve">and Treatments </w:t>
            </w:r>
            <w:r>
              <w:rPr>
                <w:w w:val="102.46950387954712"/>
                <w:rFonts w:ascii="Asap" w:hAnsi="Asap" w:eastAsia="Asap"/>
                <w:b/>
                <w:i w:val="0"/>
                <w:color w:val="000000"/>
                <w:sz w:val="16"/>
              </w:rPr>
              <w:t>Compared</w:t>
            </w:r>
          </w:p>
        </w:tc>
        <w:tc>
          <w:tcPr>
            <w:tcW w:type="dxa" w:w="1708"/>
            <w:tcBorders>
              <w:start w:sz="4.0" w:val="single" w:color="#FFFFFF"/>
              <w:top w:sz="16.0" w:val="single" w:color="#474B55"/>
              <w:end w:sz="4.0" w:val="single" w:color="#FFFFFF"/>
              <w:bottom w:sz="4.0" w:val="single" w:color="#13377C"/>
            </w:tcBorders>
            <w:shd w:fill="c6c8c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40" w:after="0"/>
              <w:ind w:left="144" w:right="144" w:firstLine="0"/>
              <w:jc w:val="center"/>
            </w:pPr>
            <w:r>
              <w:rPr>
                <w:w w:val="102.46950387954712"/>
                <w:rFonts w:ascii="Asap" w:hAnsi="Asap" w:eastAsia="Asap"/>
                <w:b/>
                <w:i w:val="0"/>
                <w:color w:val="000000"/>
                <w:sz w:val="16"/>
              </w:rPr>
              <w:t xml:space="preserve">Time Horizon and </w:t>
            </w:r>
            <w:r>
              <w:rPr>
                <w:w w:val="102.46950387954712"/>
                <w:rFonts w:ascii="Asap" w:hAnsi="Asap" w:eastAsia="Asap"/>
                <w:b/>
                <w:i w:val="0"/>
                <w:color w:val="000000"/>
                <w:sz w:val="16"/>
              </w:rPr>
              <w:t>Demographics</w:t>
            </w:r>
          </w:p>
        </w:tc>
        <w:tc>
          <w:tcPr>
            <w:tcW w:type="dxa" w:w="1246"/>
            <w:tcBorders>
              <w:start w:sz="4.0" w:val="single" w:color="#FFFFFF"/>
              <w:top w:sz="16.0" w:val="single" w:color="#474B55"/>
              <w:end w:sz="4.0" w:val="single" w:color="#FFFFFF"/>
              <w:bottom w:sz="4.0" w:val="single" w:color="#13377C"/>
            </w:tcBorders>
            <w:shd w:fill="c6c8c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50" w:after="0"/>
              <w:ind w:left="0" w:right="0" w:firstLine="0"/>
              <w:jc w:val="center"/>
            </w:pPr>
            <w:r>
              <w:rPr>
                <w:w w:val="102.46950387954712"/>
                <w:rFonts w:ascii="Asap" w:hAnsi="Asap" w:eastAsia="Asap"/>
                <w:b/>
                <w:i w:val="0"/>
                <w:color w:val="000000"/>
                <w:sz w:val="16"/>
              </w:rPr>
              <w:t xml:space="preserve">Model Inputs </w:t>
            </w:r>
            <w:r>
              <w:rPr>
                <w:w w:val="102.46950387954712"/>
                <w:rFonts w:ascii="Asap" w:hAnsi="Asap" w:eastAsia="Asap"/>
                <w:b/>
                <w:i w:val="0"/>
                <w:color w:val="000000"/>
                <w:sz w:val="16"/>
              </w:rPr>
              <w:t xml:space="preserve">and Data </w:t>
            </w:r>
            <w:r>
              <w:br/>
            </w:r>
            <w:r>
              <w:rPr>
                <w:w w:val="102.46950387954712"/>
                <w:rFonts w:ascii="Asap" w:hAnsi="Asap" w:eastAsia="Asap"/>
                <w:b/>
                <w:i w:val="0"/>
                <w:color w:val="000000"/>
                <w:sz w:val="16"/>
              </w:rPr>
              <w:t>Sources</w:t>
            </w:r>
          </w:p>
        </w:tc>
        <w:tc>
          <w:tcPr>
            <w:tcW w:type="dxa" w:w="4614"/>
            <w:tcBorders>
              <w:start w:sz="4.0" w:val="single" w:color="#FFFFFF"/>
              <w:top w:sz="16.0" w:val="single" w:color="#474B55"/>
              <w:bottom w:sz="4.0" w:val="single" w:color="#13377C"/>
            </w:tcBorders>
            <w:shd w:fill="c6c8c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2" w:lineRule="exact" w:before="398" w:after="0"/>
              <w:ind w:left="0" w:right="0" w:firstLine="0"/>
              <w:jc w:val="center"/>
            </w:pPr>
            <w:r>
              <w:rPr>
                <w:w w:val="102.46950387954712"/>
                <w:rFonts w:ascii="Asap" w:hAnsi="Asap" w:eastAsia="Asap"/>
                <w:b/>
                <w:i w:val="0"/>
                <w:color w:val="000000"/>
                <w:sz w:val="16"/>
              </w:rPr>
              <w:t>Results: Base Case, Sensitivity Analysis, and Limitations</w:t>
            </w:r>
          </w:p>
        </w:tc>
      </w:tr>
      <w:tr>
        <w:trPr>
          <w:trHeight w:hRule="exact" w:val="360"/>
        </w:trPr>
        <w:tc>
          <w:tcPr>
            <w:tcW w:type="dxa" w:w="1154"/>
            <w:tcBorders>
              <w:top w:sz="4.0" w:val="single" w:color="#13377C"/>
              <w:end w:sz="4.0" w:val="single" w:color="#FFFFFF"/>
              <w:bottom w:sz="4.0" w:val="single" w:color="#C6C8C7"/>
            </w:tcBorders>
            <w:shd w:fill="eaeaf2"/>
            <w:tcMar>
              <w:start w:w="0" w:type="dxa"/>
              <w:end w:w="0" w:type="dxa"/>
            </w:tcMar>
          </w:tcPr>
          <w:p/>
        </w:tc>
        <w:tc>
          <w:tcPr>
            <w:tcW w:type="dxa" w:w="1748"/>
            <w:tcBorders>
              <w:start w:sz="4.0" w:val="single" w:color="#FFFFFF"/>
              <w:top w:sz="4.0" w:val="single" w:color="#13377C"/>
              <w:end w:sz="4.0" w:val="single" w:color="#FFFFFF"/>
              <w:bottom w:sz="4.0" w:val="single" w:color="#C6C8C7"/>
            </w:tcBorders>
            <w:shd w:fill="eaeaf2"/>
            <w:tcMar>
              <w:start w:w="0" w:type="dxa"/>
              <w:end w:w="0" w:type="dxa"/>
            </w:tcMar>
          </w:tcPr>
          <w:p/>
        </w:tc>
        <w:tc>
          <w:tcPr>
            <w:tcW w:type="dxa" w:w="1708"/>
            <w:tcBorders>
              <w:start w:sz="4.0" w:val="single" w:color="#FFFFFF"/>
              <w:top w:sz="4.0" w:val="single" w:color="#13377C"/>
              <w:end w:sz="4.0" w:val="single" w:color="#FFFFFF"/>
              <w:bottom w:sz="4.0" w:val="single" w:color="#C6C8C7"/>
            </w:tcBorders>
            <w:shd w:fill="eaeaf2"/>
            <w:tcMar>
              <w:start w:w="0" w:type="dxa"/>
              <w:end w:w="0" w:type="dxa"/>
            </w:tcMar>
          </w:tcPr>
          <w:p/>
        </w:tc>
        <w:tc>
          <w:tcPr>
            <w:tcW w:type="dxa" w:w="1246"/>
            <w:tcBorders>
              <w:start w:sz="4.0" w:val="single" w:color="#FFFFFF"/>
              <w:top w:sz="4.0" w:val="single" w:color="#13377C"/>
              <w:end w:sz="4.0" w:val="single" w:color="#FFFFFF"/>
              <w:bottom w:sz="4.0" w:val="single" w:color="#C6C8C7"/>
            </w:tcBorders>
            <w:shd w:fill="eaeaf2"/>
            <w:tcMar>
              <w:start w:w="0" w:type="dxa"/>
              <w:end w:w="0" w:type="dxa"/>
            </w:tcMar>
          </w:tcPr>
          <w:p/>
        </w:tc>
        <w:tc>
          <w:tcPr>
            <w:tcW w:type="dxa" w:w="4614"/>
            <w:tcBorders>
              <w:start w:sz="4.0" w:val="single" w:color="#FFFFFF"/>
              <w:top w:sz="4.0" w:val="single" w:color="#13377C"/>
              <w:bottom w:sz="4.0" w:val="single" w:color="#C6C8C7"/>
            </w:tcBorders>
            <w:shd w:fill="eaeaf2"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60"/>
        </w:trPr>
        <w:tc>
          <w:tcPr>
            <w:tcW w:type="dxa" w:w="1154"/>
            <w:tcBorders>
              <w:top w:sz="4.0" w:val="single" w:color="#C6C8C7"/>
              <w:end w:sz="4.0" w:val="single" w:color="#C6C8C7"/>
              <w:bottom w:sz="4.0" w:val="single" w:color="#13377C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748"/>
            <w:tcBorders>
              <w:start w:sz="4.0" w:val="single" w:color="#C6C8C7"/>
              <w:top w:sz="4.0" w:val="single" w:color="#C6C8C7"/>
              <w:end w:sz="4.0" w:val="single" w:color="#C6C8C7"/>
              <w:bottom w:sz="4.0" w:val="single" w:color="#13377C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708"/>
            <w:tcBorders>
              <w:start w:sz="4.0" w:val="single" w:color="#C6C8C7"/>
              <w:top w:sz="4.0" w:val="single" w:color="#C6C8C7"/>
              <w:end w:sz="4.0" w:val="single" w:color="#C6C8C7"/>
              <w:bottom w:sz="4.0" w:val="single" w:color="#13377C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46"/>
            <w:tcBorders>
              <w:start w:sz="4.0" w:val="single" w:color="#C6C8C7"/>
              <w:top w:sz="4.0" w:val="single" w:color="#C6C8C7"/>
              <w:end w:sz="4.0" w:val="single" w:color="#C6C8C7"/>
              <w:bottom w:sz="4.0" w:val="single" w:color="#13377C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614"/>
            <w:tcBorders>
              <w:start w:sz="4.0" w:val="single" w:color="#C6C8C7"/>
              <w:top w:sz="4.0" w:val="single" w:color="#C6C8C7"/>
              <w:bottom w:sz="4.0" w:val="single" w:color="#13377C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60"/>
        </w:trPr>
        <w:tc>
          <w:tcPr>
            <w:tcW w:type="dxa" w:w="1154"/>
            <w:tcBorders>
              <w:top w:sz="4.0" w:val="single" w:color="#13377C"/>
              <w:end w:sz="4.0" w:val="single" w:color="#FFFFFF"/>
              <w:bottom w:sz="4.0" w:val="single" w:color="#C6C8C7"/>
            </w:tcBorders>
            <w:shd w:fill="eaeaf2"/>
            <w:tcMar>
              <w:start w:w="0" w:type="dxa"/>
              <w:end w:w="0" w:type="dxa"/>
            </w:tcMar>
          </w:tcPr>
          <w:p/>
        </w:tc>
        <w:tc>
          <w:tcPr>
            <w:tcW w:type="dxa" w:w="1748"/>
            <w:tcBorders>
              <w:start w:sz="4.0" w:val="single" w:color="#FFFFFF"/>
              <w:top w:sz="4.0" w:val="single" w:color="#13377C"/>
              <w:end w:sz="4.0" w:val="single" w:color="#FFFFFF"/>
              <w:bottom w:sz="4.0" w:val="single" w:color="#C6C8C7"/>
            </w:tcBorders>
            <w:shd w:fill="eaeaf2"/>
            <w:tcMar>
              <w:start w:w="0" w:type="dxa"/>
              <w:end w:w="0" w:type="dxa"/>
            </w:tcMar>
          </w:tcPr>
          <w:p/>
        </w:tc>
        <w:tc>
          <w:tcPr>
            <w:tcW w:type="dxa" w:w="1708"/>
            <w:tcBorders>
              <w:start w:sz="4.0" w:val="single" w:color="#FFFFFF"/>
              <w:top w:sz="4.0" w:val="single" w:color="#13377C"/>
              <w:end w:sz="4.0" w:val="single" w:color="#FFFFFF"/>
              <w:bottom w:sz="4.0" w:val="single" w:color="#C6C8C7"/>
            </w:tcBorders>
            <w:shd w:fill="eaeaf2"/>
            <w:tcMar>
              <w:start w:w="0" w:type="dxa"/>
              <w:end w:w="0" w:type="dxa"/>
            </w:tcMar>
          </w:tcPr>
          <w:p/>
        </w:tc>
        <w:tc>
          <w:tcPr>
            <w:tcW w:type="dxa" w:w="1246"/>
            <w:tcBorders>
              <w:start w:sz="4.0" w:val="single" w:color="#FFFFFF"/>
              <w:top w:sz="4.0" w:val="single" w:color="#13377C"/>
              <w:end w:sz="4.0" w:val="single" w:color="#FFFFFF"/>
              <w:bottom w:sz="4.0" w:val="single" w:color="#C6C8C7"/>
            </w:tcBorders>
            <w:shd w:fill="eaeaf2"/>
            <w:tcMar>
              <w:start w:w="0" w:type="dxa"/>
              <w:end w:w="0" w:type="dxa"/>
            </w:tcMar>
          </w:tcPr>
          <w:p/>
        </w:tc>
        <w:tc>
          <w:tcPr>
            <w:tcW w:type="dxa" w:w="4614"/>
            <w:tcBorders>
              <w:start w:sz="4.0" w:val="single" w:color="#FFFFFF"/>
              <w:top w:sz="4.0" w:val="single" w:color="#13377C"/>
              <w:bottom w:sz="4.0" w:val="single" w:color="#C6C8C7"/>
            </w:tcBorders>
            <w:shd w:fill="eaeaf2"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60"/>
        </w:trPr>
        <w:tc>
          <w:tcPr>
            <w:tcW w:type="dxa" w:w="1154"/>
            <w:tcBorders>
              <w:top w:sz="4.0" w:val="single" w:color="#C6C8C7"/>
              <w:end w:sz="4.0" w:val="single" w:color="#C6C8C7"/>
              <w:bottom w:sz="4.0" w:val="single" w:color="#13377C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748"/>
            <w:tcBorders>
              <w:start w:sz="4.0" w:val="single" w:color="#C6C8C7"/>
              <w:top w:sz="4.0" w:val="single" w:color="#C6C8C7"/>
              <w:end w:sz="4.0" w:val="single" w:color="#C6C8C7"/>
              <w:bottom w:sz="4.0" w:val="single" w:color="#13377C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708"/>
            <w:tcBorders>
              <w:start w:sz="4.0" w:val="single" w:color="#C6C8C7"/>
              <w:top w:sz="4.0" w:val="single" w:color="#C6C8C7"/>
              <w:end w:sz="4.0" w:val="single" w:color="#C6C8C7"/>
              <w:bottom w:sz="4.0" w:val="single" w:color="#13377C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46"/>
            <w:tcBorders>
              <w:start w:sz="4.0" w:val="single" w:color="#C6C8C7"/>
              <w:top w:sz="4.0" w:val="single" w:color="#C6C8C7"/>
              <w:end w:sz="4.0" w:val="single" w:color="#C6C8C7"/>
              <w:bottom w:sz="4.0" w:val="single" w:color="#13377C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614"/>
            <w:tcBorders>
              <w:start w:sz="4.0" w:val="single" w:color="#C6C8C7"/>
              <w:top w:sz="4.0" w:val="single" w:color="#C6C8C7"/>
              <w:bottom w:sz="4.0" w:val="single" w:color="#13377C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60"/>
        </w:trPr>
        <w:tc>
          <w:tcPr>
            <w:tcW w:type="dxa" w:w="1154"/>
            <w:tcBorders>
              <w:top w:sz="4.0" w:val="single" w:color="#13377C"/>
              <w:end w:sz="4.0" w:val="single" w:color="#FFFFFF"/>
              <w:bottom w:sz="4.0" w:val="single" w:color="#C6C8C7"/>
            </w:tcBorders>
            <w:shd w:fill="eaeaf2"/>
            <w:tcMar>
              <w:start w:w="0" w:type="dxa"/>
              <w:end w:w="0" w:type="dxa"/>
            </w:tcMar>
          </w:tcPr>
          <w:p/>
        </w:tc>
        <w:tc>
          <w:tcPr>
            <w:tcW w:type="dxa" w:w="1748"/>
            <w:tcBorders>
              <w:start w:sz="4.0" w:val="single" w:color="#FFFFFF"/>
              <w:top w:sz="4.0" w:val="single" w:color="#13377C"/>
              <w:end w:sz="4.0" w:val="single" w:color="#FFFFFF"/>
              <w:bottom w:sz="4.0" w:val="single" w:color="#C6C8C7"/>
            </w:tcBorders>
            <w:shd w:fill="eaeaf2"/>
            <w:tcMar>
              <w:start w:w="0" w:type="dxa"/>
              <w:end w:w="0" w:type="dxa"/>
            </w:tcMar>
          </w:tcPr>
          <w:p/>
        </w:tc>
        <w:tc>
          <w:tcPr>
            <w:tcW w:type="dxa" w:w="1708"/>
            <w:tcBorders>
              <w:start w:sz="4.0" w:val="single" w:color="#FFFFFF"/>
              <w:top w:sz="4.0" w:val="single" w:color="#13377C"/>
              <w:end w:sz="4.0" w:val="single" w:color="#FFFFFF"/>
              <w:bottom w:sz="4.0" w:val="single" w:color="#C6C8C7"/>
            </w:tcBorders>
            <w:shd w:fill="eaeaf2"/>
            <w:tcMar>
              <w:start w:w="0" w:type="dxa"/>
              <w:end w:w="0" w:type="dxa"/>
            </w:tcMar>
          </w:tcPr>
          <w:p/>
        </w:tc>
        <w:tc>
          <w:tcPr>
            <w:tcW w:type="dxa" w:w="1246"/>
            <w:tcBorders>
              <w:start w:sz="4.0" w:val="single" w:color="#FFFFFF"/>
              <w:top w:sz="4.0" w:val="single" w:color="#13377C"/>
              <w:end w:sz="4.0" w:val="single" w:color="#FFFFFF"/>
              <w:bottom w:sz="4.0" w:val="single" w:color="#C6C8C7"/>
            </w:tcBorders>
            <w:shd w:fill="eaeaf2"/>
            <w:tcMar>
              <w:start w:w="0" w:type="dxa"/>
              <w:end w:w="0" w:type="dxa"/>
            </w:tcMar>
          </w:tcPr>
          <w:p/>
        </w:tc>
        <w:tc>
          <w:tcPr>
            <w:tcW w:type="dxa" w:w="4614"/>
            <w:tcBorders>
              <w:start w:sz="4.0" w:val="single" w:color="#FFFFFF"/>
              <w:top w:sz="4.0" w:val="single" w:color="#13377C"/>
              <w:bottom w:sz="4.0" w:val="single" w:color="#C6C8C7"/>
            </w:tcBorders>
            <w:shd w:fill="eaeaf2"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60"/>
        </w:trPr>
        <w:tc>
          <w:tcPr>
            <w:tcW w:type="dxa" w:w="1154"/>
            <w:tcBorders>
              <w:top w:sz="4.0" w:val="single" w:color="#C6C8C7"/>
              <w:end w:sz="4.0" w:val="single" w:color="#C6C8C7"/>
              <w:bottom w:sz="4.0" w:val="single" w:color="#13377C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748"/>
            <w:tcBorders>
              <w:start w:sz="4.0" w:val="single" w:color="#C6C8C7"/>
              <w:top w:sz="4.0" w:val="single" w:color="#C6C8C7"/>
              <w:end w:sz="4.0" w:val="single" w:color="#C6C8C7"/>
              <w:bottom w:sz="4.0" w:val="single" w:color="#13377C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708"/>
            <w:tcBorders>
              <w:start w:sz="4.0" w:val="single" w:color="#C6C8C7"/>
              <w:top w:sz="4.0" w:val="single" w:color="#C6C8C7"/>
              <w:end w:sz="4.0" w:val="single" w:color="#C6C8C7"/>
              <w:bottom w:sz="4.0" w:val="single" w:color="#13377C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46"/>
            <w:tcBorders>
              <w:start w:sz="4.0" w:val="single" w:color="#C6C8C7"/>
              <w:top w:sz="4.0" w:val="single" w:color="#C6C8C7"/>
              <w:end w:sz="4.0" w:val="single" w:color="#C6C8C7"/>
              <w:bottom w:sz="4.0" w:val="single" w:color="#13377C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614"/>
            <w:tcBorders>
              <w:start w:sz="4.0" w:val="single" w:color="#C6C8C7"/>
              <w:top w:sz="4.0" w:val="single" w:color="#C6C8C7"/>
              <w:bottom w:sz="4.0" w:val="single" w:color="#13377C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60"/>
        </w:trPr>
        <w:tc>
          <w:tcPr>
            <w:tcW w:type="dxa" w:w="1154"/>
            <w:tcBorders>
              <w:top w:sz="4.0" w:val="single" w:color="#13377C"/>
              <w:end w:sz="4.0" w:val="single" w:color="#FFFFFF"/>
              <w:bottom w:sz="4.0" w:val="single" w:color="#C6C8C7"/>
            </w:tcBorders>
            <w:shd w:fill="eaeaf2"/>
            <w:tcMar>
              <w:start w:w="0" w:type="dxa"/>
              <w:end w:w="0" w:type="dxa"/>
            </w:tcMar>
          </w:tcPr>
          <w:p/>
        </w:tc>
        <w:tc>
          <w:tcPr>
            <w:tcW w:type="dxa" w:w="1748"/>
            <w:tcBorders>
              <w:start w:sz="4.0" w:val="single" w:color="#FFFFFF"/>
              <w:top w:sz="4.0" w:val="single" w:color="#13377C"/>
              <w:end w:sz="4.0" w:val="single" w:color="#FFFFFF"/>
              <w:bottom w:sz="4.0" w:val="single" w:color="#C6C8C7"/>
            </w:tcBorders>
            <w:shd w:fill="eaeaf2"/>
            <w:tcMar>
              <w:start w:w="0" w:type="dxa"/>
              <w:end w:w="0" w:type="dxa"/>
            </w:tcMar>
          </w:tcPr>
          <w:p/>
        </w:tc>
        <w:tc>
          <w:tcPr>
            <w:tcW w:type="dxa" w:w="1708"/>
            <w:tcBorders>
              <w:start w:sz="4.0" w:val="single" w:color="#FFFFFF"/>
              <w:top w:sz="4.0" w:val="single" w:color="#13377C"/>
              <w:end w:sz="4.0" w:val="single" w:color="#FFFFFF"/>
              <w:bottom w:sz="4.0" w:val="single" w:color="#C6C8C7"/>
            </w:tcBorders>
            <w:shd w:fill="eaeaf2"/>
            <w:tcMar>
              <w:start w:w="0" w:type="dxa"/>
              <w:end w:w="0" w:type="dxa"/>
            </w:tcMar>
          </w:tcPr>
          <w:p/>
        </w:tc>
        <w:tc>
          <w:tcPr>
            <w:tcW w:type="dxa" w:w="1246"/>
            <w:tcBorders>
              <w:start w:sz="4.0" w:val="single" w:color="#FFFFFF"/>
              <w:top w:sz="4.0" w:val="single" w:color="#13377C"/>
              <w:end w:sz="4.0" w:val="single" w:color="#FFFFFF"/>
              <w:bottom w:sz="4.0" w:val="single" w:color="#C6C8C7"/>
            </w:tcBorders>
            <w:shd w:fill="eaeaf2"/>
            <w:tcMar>
              <w:start w:w="0" w:type="dxa"/>
              <w:end w:w="0" w:type="dxa"/>
            </w:tcMar>
          </w:tcPr>
          <w:p/>
        </w:tc>
        <w:tc>
          <w:tcPr>
            <w:tcW w:type="dxa" w:w="4614"/>
            <w:tcBorders>
              <w:start w:sz="4.0" w:val="single" w:color="#FFFFFF"/>
              <w:top w:sz="4.0" w:val="single" w:color="#13377C"/>
              <w:bottom w:sz="4.0" w:val="single" w:color="#C6C8C7"/>
            </w:tcBorders>
            <w:shd w:fill="eaeaf2"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60"/>
        </w:trPr>
        <w:tc>
          <w:tcPr>
            <w:tcW w:type="dxa" w:w="1154"/>
            <w:tcBorders>
              <w:top w:sz="4.0" w:val="single" w:color="#C6C8C7"/>
              <w:end w:sz="4.0" w:val="single" w:color="#C6C8C7"/>
              <w:bottom w:sz="4.0" w:val="single" w:color="#13377C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748"/>
            <w:tcBorders>
              <w:start w:sz="4.0" w:val="single" w:color="#C6C8C7"/>
              <w:top w:sz="4.0" w:val="single" w:color="#C6C8C7"/>
              <w:end w:sz="4.0" w:val="single" w:color="#C6C8C7"/>
              <w:bottom w:sz="4.0" w:val="single" w:color="#13377C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708"/>
            <w:tcBorders>
              <w:start w:sz="4.0" w:val="single" w:color="#C6C8C7"/>
              <w:top w:sz="4.0" w:val="single" w:color="#C6C8C7"/>
              <w:end w:sz="4.0" w:val="single" w:color="#C6C8C7"/>
              <w:bottom w:sz="4.0" w:val="single" w:color="#13377C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46"/>
            <w:tcBorders>
              <w:start w:sz="4.0" w:val="single" w:color="#C6C8C7"/>
              <w:top w:sz="4.0" w:val="single" w:color="#C6C8C7"/>
              <w:end w:sz="4.0" w:val="single" w:color="#C6C8C7"/>
              <w:bottom w:sz="4.0" w:val="single" w:color="#13377C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614"/>
            <w:tcBorders>
              <w:start w:sz="4.0" w:val="single" w:color="#C6C8C7"/>
              <w:top w:sz="4.0" w:val="single" w:color="#C6C8C7"/>
              <w:bottom w:sz="4.0" w:val="single" w:color="#13377C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60"/>
        </w:trPr>
        <w:tc>
          <w:tcPr>
            <w:tcW w:type="dxa" w:w="1154"/>
            <w:tcBorders>
              <w:top w:sz="4.0" w:val="single" w:color="#13377C"/>
              <w:end w:sz="4.0" w:val="single" w:color="#FFFFFF"/>
              <w:bottom w:sz="4.0" w:val="single" w:color="#C6C8C7"/>
            </w:tcBorders>
            <w:shd w:fill="eaeaf2"/>
            <w:tcMar>
              <w:start w:w="0" w:type="dxa"/>
              <w:end w:w="0" w:type="dxa"/>
            </w:tcMar>
          </w:tcPr>
          <w:p/>
        </w:tc>
        <w:tc>
          <w:tcPr>
            <w:tcW w:type="dxa" w:w="1748"/>
            <w:tcBorders>
              <w:start w:sz="4.0" w:val="single" w:color="#FFFFFF"/>
              <w:top w:sz="4.0" w:val="single" w:color="#13377C"/>
              <w:end w:sz="4.0" w:val="single" w:color="#FFFFFF"/>
              <w:bottom w:sz="4.0" w:val="single" w:color="#C6C8C7"/>
            </w:tcBorders>
            <w:shd w:fill="eaeaf2"/>
            <w:tcMar>
              <w:start w:w="0" w:type="dxa"/>
              <w:end w:w="0" w:type="dxa"/>
            </w:tcMar>
          </w:tcPr>
          <w:p/>
        </w:tc>
        <w:tc>
          <w:tcPr>
            <w:tcW w:type="dxa" w:w="1708"/>
            <w:tcBorders>
              <w:start w:sz="4.0" w:val="single" w:color="#FFFFFF"/>
              <w:top w:sz="4.0" w:val="single" w:color="#13377C"/>
              <w:end w:sz="4.0" w:val="single" w:color="#FFFFFF"/>
              <w:bottom w:sz="4.0" w:val="single" w:color="#C6C8C7"/>
            </w:tcBorders>
            <w:shd w:fill="eaeaf2"/>
            <w:tcMar>
              <w:start w:w="0" w:type="dxa"/>
              <w:end w:w="0" w:type="dxa"/>
            </w:tcMar>
          </w:tcPr>
          <w:p/>
        </w:tc>
        <w:tc>
          <w:tcPr>
            <w:tcW w:type="dxa" w:w="1246"/>
            <w:tcBorders>
              <w:start w:sz="4.0" w:val="single" w:color="#FFFFFF"/>
              <w:top w:sz="4.0" w:val="single" w:color="#13377C"/>
              <w:end w:sz="4.0" w:val="single" w:color="#FFFFFF"/>
              <w:bottom w:sz="4.0" w:val="single" w:color="#C6C8C7"/>
            </w:tcBorders>
            <w:shd w:fill="eaeaf2"/>
            <w:tcMar>
              <w:start w:w="0" w:type="dxa"/>
              <w:end w:w="0" w:type="dxa"/>
            </w:tcMar>
          </w:tcPr>
          <w:p/>
        </w:tc>
        <w:tc>
          <w:tcPr>
            <w:tcW w:type="dxa" w:w="4614"/>
            <w:tcBorders>
              <w:start w:sz="4.0" w:val="single" w:color="#FFFFFF"/>
              <w:top w:sz="4.0" w:val="single" w:color="#13377C"/>
              <w:bottom w:sz="4.0" w:val="single" w:color="#C6C8C7"/>
            </w:tcBorders>
            <w:shd w:fill="eaeaf2"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62"/>
        </w:trPr>
        <w:tc>
          <w:tcPr>
            <w:tcW w:type="dxa" w:w="1154"/>
            <w:tcBorders>
              <w:top w:sz="4.0" w:val="single" w:color="#C6C8C7"/>
              <w:end w:sz="4.0" w:val="single" w:color="#C6C8C7"/>
              <w:bottom w:sz="16.0" w:val="single" w:color="#474B55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748"/>
            <w:tcBorders>
              <w:start w:sz="4.0" w:val="single" w:color="#C6C8C7"/>
              <w:top w:sz="4.0" w:val="single" w:color="#C6C8C7"/>
              <w:end w:sz="4.0" w:val="single" w:color="#C6C8C7"/>
              <w:bottom w:sz="16.0" w:val="single" w:color="#474B55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708"/>
            <w:tcBorders>
              <w:start w:sz="4.0" w:val="single" w:color="#C6C8C7"/>
              <w:top w:sz="4.0" w:val="single" w:color="#C6C8C7"/>
              <w:end w:sz="4.0" w:val="single" w:color="#C6C8C7"/>
              <w:bottom w:sz="16.0" w:val="single" w:color="#474B55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46"/>
            <w:tcBorders>
              <w:start w:sz="4.0" w:val="single" w:color="#C6C8C7"/>
              <w:top w:sz="4.0" w:val="single" w:color="#C6C8C7"/>
              <w:end w:sz="4.0" w:val="single" w:color="#C6C8C7"/>
              <w:bottom w:sz="16.0" w:val="single" w:color="#474B55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614"/>
            <w:tcBorders>
              <w:start w:sz="4.0" w:val="single" w:color="#C6C8C7"/>
              <w:top w:sz="4.0" w:val="single" w:color="#C6C8C7"/>
              <w:bottom w:sz="16.0" w:val="single" w:color="#474B55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188" w:lineRule="exact" w:before="282" w:after="0"/>
        <w:ind w:left="30" w:right="0" w:firstLine="0"/>
        <w:jc w:val="left"/>
      </w:pPr>
      <w:r>
        <w:rPr>
          <w:rFonts w:ascii="Asap" w:hAnsi="Asap" w:eastAsia="Asap"/>
          <w:b w:val="0"/>
          <w:i/>
          <w:color w:val="000000"/>
          <w:sz w:val="15"/>
        </w:rPr>
        <w:t>LYS = life-years saved; QALY = quality-adjusted life-year; QHES = Quality of Health Economic Studies; QOL = quality of life.</w:t>
      </w:r>
    </w:p>
    <w:p>
      <w:pPr>
        <w:autoSpaceDN w:val="0"/>
        <w:autoSpaceDE w:val="0"/>
        <w:widowControl/>
        <w:spacing w:line="186" w:lineRule="exact" w:before="470" w:after="0"/>
        <w:ind w:left="0" w:right="742" w:firstLine="0"/>
        <w:jc w:val="right"/>
      </w:pPr>
      <w:r>
        <w:rPr>
          <w:rFonts w:ascii="Asap" w:hAnsi="Asap" w:eastAsia="Asap"/>
          <w:b w:val="0"/>
          <w:i w:val="0"/>
          <w:color w:val="474C55"/>
          <w:sz w:val="14"/>
        </w:rPr>
        <w:t>Vol. 30, No. 4-b</w:t>
      </w:r>
      <w:r>
        <w:rPr>
          <w:rFonts w:ascii="Asap" w:hAnsi="Asap" w:eastAsia="Asap"/>
          <w:b w:val="0"/>
          <w:i w:val="0"/>
          <w:color w:val="474C55"/>
          <w:sz w:val="14"/>
        </w:rPr>
        <w:t>|</w:t>
      </w:r>
      <w:r>
        <w:rPr>
          <w:rFonts w:ascii="Asap" w:hAnsi="Asap" w:eastAsia="Asap"/>
          <w:b w:val="0"/>
          <w:i w:val="0"/>
          <w:color w:val="474C55"/>
          <w:sz w:val="14"/>
        </w:rPr>
        <w:t>April 2024</w:t>
      </w:r>
      <w:r>
        <w:rPr>
          <w:rFonts w:ascii="Asap" w:hAnsi="Asap" w:eastAsia="Asap"/>
          <w:b w:val="0"/>
          <w:i w:val="0"/>
          <w:color w:val="474C55"/>
          <w:sz w:val="14"/>
        </w:rPr>
        <w:t>|</w:t>
      </w:r>
      <w:r>
        <w:rPr>
          <w:rFonts w:ascii="Asap" w:hAnsi="Asap" w:eastAsia="Asap"/>
          <w:b/>
          <w:i w:val="0"/>
          <w:color w:val="14377D"/>
          <w:sz w:val="14"/>
        </w:rPr>
        <w:t xml:space="preserve"> JMCP</w:t>
      </w:r>
      <w:r>
        <w:rPr>
          <w:rFonts w:ascii="Asap" w:hAnsi="Asap" w:eastAsia="Asap"/>
          <w:b w:val="0"/>
          <w:i w:val="0"/>
          <w:color w:val="14377D"/>
          <w:sz w:val="14"/>
        </w:rPr>
        <w:t>.org</w:t>
      </w:r>
    </w:p>
    <w:p>
      <w:pPr>
        <w:sectPr>
          <w:pgSz w:w="11880" w:h="15660"/>
          <w:pgMar w:top="360" w:right="0" w:bottom="266" w:left="70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883"/>
        <w:gridCol w:w="4883"/>
      </w:tblGrid>
      <w:tr>
        <w:trPr>
          <w:trHeight w:hRule="exact" w:val="362"/>
        </w:trPr>
        <w:tc>
          <w:tcPr>
            <w:tcW w:type="dxa" w:w="1094"/>
            <w:tcBorders/>
            <w:shd w:fill="6b146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4" w:after="0"/>
              <w:ind w:left="0" w:right="90" w:firstLine="0"/>
              <w:jc w:val="right"/>
            </w:pPr>
            <w:r>
              <w:rPr>
                <w:rFonts w:ascii="Asap" w:hAnsi="Asap" w:eastAsia="Asap"/>
                <w:b/>
                <w:i w:val="0"/>
                <w:color w:val="FFFFFF"/>
                <w:sz w:val="18"/>
              </w:rPr>
              <w:t>58</w:t>
            </w:r>
          </w:p>
        </w:tc>
        <w:tc>
          <w:tcPr>
            <w:tcW w:type="dxa" w:w="584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4" w:after="0"/>
              <w:ind w:left="90" w:right="0" w:firstLine="0"/>
              <w:jc w:val="left"/>
            </w:pPr>
            <w:r>
              <w:rPr>
                <w:rFonts w:ascii="Asap" w:hAnsi="Asap" w:eastAsia="Asap"/>
                <w:b/>
                <w:i w:val="0"/>
                <w:color w:val="474C55"/>
                <w:sz w:val="18"/>
              </w:rPr>
              <w:t>AMCP FORMAT 5.0</w:t>
            </w:r>
          </w:p>
        </w:tc>
      </w:tr>
    </w:tbl>
    <w:p>
      <w:pPr>
        <w:autoSpaceDN w:val="0"/>
        <w:autoSpaceDE w:val="0"/>
        <w:widowControl/>
        <w:spacing w:line="14" w:lineRule="exact" w:before="0" w:after="1032"/>
        <w:ind w:left="0" w:right="0"/>
      </w:pPr>
    </w:p>
    <w:p>
      <w:pPr>
        <w:sectPr>
          <w:pgSz w:w="11880" w:h="15660"/>
          <w:pgMar w:top="360" w:right="674" w:bottom="266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66" w:lineRule="exact" w:before="0" w:after="0"/>
        <w:ind w:left="698" w:right="0" w:firstLine="0"/>
        <w:jc w:val="left"/>
      </w:pPr>
      <w:r>
        <w:rPr>
          <w:rFonts w:ascii="Asap" w:hAnsi="Asap" w:eastAsia="Asap"/>
          <w:b/>
          <w:i w:val="0"/>
          <w:color w:val="14377D"/>
          <w:sz w:val="20"/>
        </w:rPr>
        <w:t>DISEASE BACKGROUND</w:t>
      </w:r>
    </w:p>
    <w:p>
      <w:pPr>
        <w:autoSpaceDN w:val="0"/>
        <w:autoSpaceDE w:val="0"/>
        <w:widowControl/>
        <w:spacing w:line="245" w:lineRule="auto" w:before="156" w:after="0"/>
        <w:ind w:left="698" w:right="3168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DISEASE DESCRIPTION 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>[Text]</w:t>
      </w:r>
    </w:p>
    <w:p>
      <w:pPr>
        <w:autoSpaceDN w:val="0"/>
        <w:autoSpaceDE w:val="0"/>
        <w:widowControl/>
        <w:spacing w:line="245" w:lineRule="auto" w:before="150" w:after="0"/>
        <w:ind w:left="698" w:right="3600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DISEASE BURDEN 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>[Text]</w:t>
      </w:r>
    </w:p>
    <w:p>
      <w:pPr>
        <w:autoSpaceDN w:val="0"/>
        <w:autoSpaceDE w:val="0"/>
        <w:widowControl/>
        <w:spacing w:line="245" w:lineRule="auto" w:before="150" w:after="0"/>
        <w:ind w:left="698" w:right="3456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PATHOPHYSIOLOGY 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>[Text]</w:t>
      </w:r>
    </w:p>
    <w:p>
      <w:pPr>
        <w:autoSpaceDN w:val="0"/>
        <w:autoSpaceDE w:val="0"/>
        <w:widowControl/>
        <w:spacing w:line="240" w:lineRule="exact" w:before="160" w:after="0"/>
        <w:ind w:left="698" w:right="144" w:firstLine="0"/>
        <w:jc w:val="left"/>
      </w:pPr>
      <w:r>
        <w:rPr>
          <w:rFonts w:ascii="Asap" w:hAnsi="Asap" w:eastAsia="Asap"/>
          <w:b/>
          <w:i w:val="0"/>
          <w:color w:val="14377D"/>
          <w:sz w:val="18"/>
        </w:rPr>
        <w:t>T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REATMENT ALTERNATIVES 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[Discussion of other existing pharmacologic alternatives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or nonpharmacologic treatments that could be used in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place of the drug being reviewed. If there are no existing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treatment modalities, indicate “best supportive care” etc. </w:t>
      </w:r>
    </w:p>
    <w:p>
      <w:pPr>
        <w:autoSpaceDN w:val="0"/>
        <w:autoSpaceDE w:val="0"/>
        <w:widowControl/>
        <w:spacing w:line="221" w:lineRule="auto" w:before="0" w:after="0"/>
        <w:ind w:left="698" w:right="0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>and delete the next two subsections.]</w:t>
      </w:r>
    </w:p>
    <w:p>
      <w:pPr>
        <w:sectPr>
          <w:type w:val="continuous"/>
          <w:pgSz w:w="11880" w:h="15660"/>
          <w:pgMar w:top="360" w:right="674" w:bottom="266" w:left="0" w:header="720" w:footer="720" w:gutter="0"/>
          <w:cols w:num="2" w:equalWidth="0">
            <w:col w:w="5940" w:space="0"/>
            <w:col w:w="5265" w:space="0"/>
          </w:cols>
          <w:docGrid w:linePitch="360"/>
        </w:sectPr>
      </w:pPr>
    </w:p>
    <w:p>
      <w:pPr>
        <w:autoSpaceDN w:val="0"/>
        <w:autoSpaceDE w:val="0"/>
        <w:widowControl/>
        <w:spacing w:line="238" w:lineRule="exact" w:before="0" w:after="0"/>
        <w:ind w:left="158" w:right="0" w:firstLine="0"/>
        <w:jc w:val="left"/>
      </w:pPr>
      <w:r>
        <w:rPr>
          <w:rFonts w:ascii="Asap" w:hAnsi="Asap" w:eastAsia="Asap"/>
          <w:b/>
          <w:i w:val="0"/>
          <w:color w:val="14377D"/>
          <w:sz w:val="18"/>
        </w:rPr>
        <w:t>ADVERSE EVENT PROFILE</w:t>
      </w:r>
    </w:p>
    <w:p>
      <w:pPr>
        <w:autoSpaceDN w:val="0"/>
        <w:autoSpaceDE w:val="0"/>
        <w:widowControl/>
        <w:spacing w:line="245" w:lineRule="auto" w:before="152" w:after="0"/>
        <w:ind w:left="158" w:right="0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>[Brief text summary of known side effects and general tol-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erability from the PI or other available sources. If clinically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important, include a brief table of side effects from the PI,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listing only side effects with incidence rates significantly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different from placebo. This section is for discussion of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routine side effects. Major safety issues should be discussed </w:t>
      </w:r>
      <w:r>
        <w:rPr>
          <w:rFonts w:ascii="Lora" w:hAnsi="Lora" w:eastAsia="Lora"/>
          <w:b w:val="0"/>
          <w:i w:val="0"/>
          <w:color w:val="000000"/>
          <w:sz w:val="18"/>
        </w:rPr>
        <w:t>under Issue 3 above.]</w:t>
      </w:r>
    </w:p>
    <w:p>
      <w:pPr>
        <w:autoSpaceDN w:val="0"/>
        <w:autoSpaceDE w:val="0"/>
        <w:widowControl/>
        <w:spacing w:line="223" w:lineRule="auto" w:before="150" w:after="0"/>
        <w:ind w:left="158" w:right="0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>DRUG INTERACTIONS</w:t>
      </w:r>
    </w:p>
    <w:p>
      <w:pPr>
        <w:autoSpaceDN w:val="0"/>
        <w:autoSpaceDE w:val="0"/>
        <w:widowControl/>
        <w:spacing w:line="223" w:lineRule="auto" w:before="150" w:after="0"/>
        <w:ind w:left="158" w:right="0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>[List these from the PI. Include a table if appropriate.]</w:t>
      </w:r>
    </w:p>
    <w:p>
      <w:pPr>
        <w:autoSpaceDN w:val="0"/>
        <w:autoSpaceDE w:val="0"/>
        <w:widowControl/>
        <w:spacing w:line="266" w:lineRule="exact" w:before="354" w:after="156"/>
        <w:ind w:left="158" w:right="0" w:firstLine="0"/>
        <w:jc w:val="left"/>
      </w:pPr>
      <w:r>
        <w:rPr>
          <w:rFonts w:ascii="Asap" w:hAnsi="Asap" w:eastAsia="Asap"/>
          <w:b/>
          <w:i w:val="0"/>
          <w:color w:val="14377D"/>
          <w:sz w:val="20"/>
        </w:rPr>
        <w:t>REVIEW METHODOLOGY</w:t>
      </w:r>
    </w:p>
    <w:p>
      <w:pPr>
        <w:sectPr>
          <w:type w:val="nextColumn"/>
          <w:pgSz w:w="11880" w:h="15660"/>
          <w:pgMar w:top="360" w:right="674" w:bottom="266" w:left="0" w:header="720" w:footer="720" w:gutter="0"/>
          <w:cols w:num="2" w:equalWidth="0">
            <w:col w:w="5940" w:space="0"/>
            <w:col w:w="5265" w:space="0"/>
          </w:cols>
          <w:docGrid w:linePitch="360"/>
        </w:sectPr>
      </w:pPr>
    </w:p>
    <w:p>
      <w:pPr>
        <w:autoSpaceDN w:val="0"/>
        <w:tabs>
          <w:tab w:pos="6098" w:val="left"/>
        </w:tabs>
        <w:autoSpaceDE w:val="0"/>
        <w:widowControl/>
        <w:spacing w:line="247" w:lineRule="auto" w:before="0" w:after="152"/>
        <w:ind w:left="698" w:right="0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Preferred Existing Therapy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DATABASES SEARCHED</w:t>
      </w:r>
    </w:p>
    <w:p>
      <w:pPr>
        <w:sectPr>
          <w:type w:val="continuous"/>
          <w:pgSz w:w="11880" w:h="15660"/>
          <w:pgMar w:top="360" w:right="674" w:bottom="266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45" w:lineRule="auto" w:before="0" w:after="0"/>
        <w:ind w:left="698" w:right="156" w:firstLine="0"/>
        <w:jc w:val="both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[Discuss current treatment standards. If there is a “gold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standard” treatment that is endorsed by practice guidelines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or specialty society opinion statements, reference these </w:t>
      </w:r>
      <w:r>
        <w:rPr>
          <w:rFonts w:ascii="Lora" w:hAnsi="Lora" w:eastAsia="Lora"/>
          <w:b w:val="0"/>
          <w:i w:val="0"/>
          <w:color w:val="000000"/>
          <w:sz w:val="18"/>
        </w:rPr>
        <w:t>authorities.]</w:t>
      </w:r>
    </w:p>
    <w:p>
      <w:pPr>
        <w:autoSpaceDN w:val="0"/>
        <w:autoSpaceDE w:val="0"/>
        <w:widowControl/>
        <w:spacing w:line="221" w:lineRule="auto" w:before="152" w:after="0"/>
        <w:ind w:left="698" w:right="0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>Other Therapeutic Alternatives</w:t>
      </w:r>
    </w:p>
    <w:p>
      <w:pPr>
        <w:autoSpaceDN w:val="0"/>
        <w:autoSpaceDE w:val="0"/>
        <w:widowControl/>
        <w:spacing w:line="245" w:lineRule="auto" w:before="152" w:after="0"/>
        <w:ind w:left="698" w:right="156" w:firstLine="0"/>
        <w:jc w:val="both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[Discuss other generally accepted treatment options,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including “watchful waiting” or “best supportive care” if </w:t>
      </w:r>
      <w:r>
        <w:rPr>
          <w:rFonts w:ascii="Lora" w:hAnsi="Lora" w:eastAsia="Lora"/>
          <w:b w:val="0"/>
          <w:i w:val="0"/>
          <w:color w:val="000000"/>
          <w:sz w:val="18"/>
        </w:rPr>
        <w:t>these are considered appropriate.]</w:t>
      </w:r>
    </w:p>
    <w:p>
      <w:pPr>
        <w:autoSpaceDN w:val="0"/>
        <w:autoSpaceDE w:val="0"/>
        <w:widowControl/>
        <w:spacing w:line="266" w:lineRule="exact" w:before="356" w:after="0"/>
        <w:ind w:left="698" w:right="0" w:firstLine="0"/>
        <w:jc w:val="left"/>
      </w:pPr>
      <w:r>
        <w:rPr>
          <w:rFonts w:ascii="Asap" w:hAnsi="Asap" w:eastAsia="Asap"/>
          <w:b/>
          <w:i w:val="0"/>
          <w:color w:val="14377D"/>
          <w:sz w:val="20"/>
        </w:rPr>
        <w:t>PRODUCT BACKGROUND</w:t>
      </w:r>
    </w:p>
    <w:p>
      <w:pPr>
        <w:autoSpaceDN w:val="0"/>
        <w:autoSpaceDE w:val="0"/>
        <w:widowControl/>
        <w:spacing w:line="223" w:lineRule="auto" w:before="156" w:after="0"/>
        <w:ind w:left="698" w:right="0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>PHARMACOLOGY</w:t>
      </w:r>
    </w:p>
    <w:p>
      <w:pPr>
        <w:autoSpaceDN w:val="0"/>
        <w:autoSpaceDE w:val="0"/>
        <w:widowControl/>
        <w:spacing w:line="245" w:lineRule="auto" w:before="150" w:after="0"/>
        <w:ind w:left="698" w:right="144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[Brief description of mechanism. If it is a novel mechanism, </w:t>
      </w:r>
      <w:r>
        <w:rPr>
          <w:rFonts w:ascii="Lora" w:hAnsi="Lora" w:eastAsia="Lora"/>
          <w:b w:val="0"/>
          <w:i w:val="0"/>
          <w:color w:val="000000"/>
          <w:sz w:val="18"/>
        </w:rPr>
        <w:t>a longer description may be appropriate.]</w:t>
      </w:r>
    </w:p>
    <w:p>
      <w:pPr>
        <w:sectPr>
          <w:type w:val="continuous"/>
          <w:pgSz w:w="11880" w:h="15660"/>
          <w:pgMar w:top="360" w:right="674" w:bottom="266" w:left="0" w:header="720" w:footer="720" w:gutter="0"/>
          <w:cols w:num="2" w:equalWidth="0">
            <w:col w:w="5942" w:space="0"/>
            <w:col w:w="5263" w:space="0"/>
          </w:cols>
          <w:docGrid w:linePitch="360"/>
        </w:sectPr>
      </w:pPr>
    </w:p>
    <w:p>
      <w:pPr>
        <w:autoSpaceDN w:val="0"/>
        <w:autoSpaceDE w:val="0"/>
        <w:widowControl/>
        <w:spacing w:line="245" w:lineRule="auto" w:before="0" w:after="0"/>
        <w:ind w:left="156" w:right="1008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Medline 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Embase 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Cochrane Central Register of Controlled Trials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ClinicalTrials.gov 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>Other [Name]</w:t>
      </w:r>
    </w:p>
    <w:p>
      <w:pPr>
        <w:autoSpaceDN w:val="0"/>
        <w:autoSpaceDE w:val="0"/>
        <w:widowControl/>
        <w:spacing w:line="245" w:lineRule="auto" w:before="150" w:after="0"/>
        <w:ind w:left="156" w:right="1440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SECONDARY SOURCES 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Cochrane Database of Systematic Reviews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BCBSA TEC 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NICE 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>Other [Name]</w:t>
      </w:r>
    </w:p>
    <w:p>
      <w:pPr>
        <w:autoSpaceDN w:val="0"/>
        <w:autoSpaceDE w:val="0"/>
        <w:widowControl/>
        <w:spacing w:line="245" w:lineRule="auto" w:before="150" w:after="354"/>
        <w:ind w:left="156" w:right="3168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SEARCH STRATEGY 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[Text] 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INCLUSION CRITERIA 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>[Text]</w:t>
      </w:r>
    </w:p>
    <w:p>
      <w:pPr>
        <w:sectPr>
          <w:type w:val="nextColumn"/>
          <w:pgSz w:w="11880" w:h="15660"/>
          <w:pgMar w:top="360" w:right="674" w:bottom="266" w:left="0" w:header="720" w:footer="720" w:gutter="0"/>
          <w:cols w:num="2" w:equalWidth="0">
            <w:col w:w="5942" w:space="0"/>
            <w:col w:w="5263" w:space="0"/>
          </w:cols>
          <w:docGrid w:linePitch="360"/>
        </w:sectPr>
      </w:pPr>
    </w:p>
    <w:p>
      <w:pPr>
        <w:autoSpaceDN w:val="0"/>
        <w:tabs>
          <w:tab w:pos="6098" w:val="left"/>
        </w:tabs>
        <w:autoSpaceDE w:val="0"/>
        <w:widowControl/>
        <w:spacing w:line="250" w:lineRule="exact" w:before="0" w:after="150"/>
        <w:ind w:left="698" w:right="0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PHARMACODYNAMICS </w:t>
      </w:r>
      <w:r>
        <w:tab/>
      </w:r>
      <w:r>
        <w:rPr>
          <w:rFonts w:ascii="Asap" w:hAnsi="Asap" w:eastAsia="Asap"/>
          <w:b/>
          <w:i w:val="0"/>
          <w:color w:val="14377D"/>
          <w:sz w:val="20"/>
        </w:rPr>
        <w:t>SEARCH RESULTS</w:t>
      </w:r>
    </w:p>
    <w:p>
      <w:pPr>
        <w:sectPr>
          <w:type w:val="continuous"/>
          <w:pgSz w:w="11880" w:h="15660"/>
          <w:pgMar w:top="360" w:right="674" w:bottom="266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40.0" w:type="dxa"/>
      </w:tblPr>
      <w:tblGrid>
        <w:gridCol w:w="1953"/>
        <w:gridCol w:w="1953"/>
        <w:gridCol w:w="1953"/>
        <w:gridCol w:w="1953"/>
        <w:gridCol w:w="1953"/>
      </w:tblGrid>
      <w:tr>
        <w:trPr>
          <w:trHeight w:hRule="exact" w:val="238"/>
        </w:trPr>
        <w:tc>
          <w:tcPr>
            <w:tcW w:type="dxa" w:w="1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3" w:lineRule="auto" w:before="0" w:after="0"/>
              <w:ind w:left="0" w:right="114" w:firstLine="0"/>
              <w:jc w:val="right"/>
            </w:pPr>
            <w:r>
              <w:rPr>
                <w:rFonts w:ascii="Lora" w:hAnsi="Lora" w:eastAsia="Lora"/>
                <w:b w:val="0"/>
                <w:i w:val="0"/>
                <w:color w:val="000000"/>
                <w:sz w:val="18"/>
              </w:rPr>
              <w:t xml:space="preserve">[Text </w:t>
            </w:r>
          </w:p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3" w:lineRule="auto" w:before="0" w:after="0"/>
              <w:ind w:left="0" w:right="0" w:firstLine="0"/>
              <w:jc w:val="center"/>
            </w:pPr>
            <w:r>
              <w:rPr>
                <w:rFonts w:ascii="Lora" w:hAnsi="Lora" w:eastAsia="Lora"/>
                <w:b w:val="0"/>
                <w:i w:val="0"/>
                <w:color w:val="000000"/>
                <w:sz w:val="18"/>
              </w:rPr>
              <w:t xml:space="preserve">summary </w:t>
            </w:r>
          </w:p>
        </w:tc>
        <w:tc>
          <w:tcPr>
            <w:tcW w:type="dxa" w:w="4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3" w:lineRule="auto" w:before="0" w:after="0"/>
              <w:ind w:left="0" w:right="0" w:firstLine="0"/>
              <w:jc w:val="center"/>
            </w:pPr>
            <w:r>
              <w:rPr>
                <w:rFonts w:ascii="Lora" w:hAnsi="Lora" w:eastAsia="Lora"/>
                <w:b w:val="0"/>
                <w:i w:val="0"/>
                <w:color w:val="000000"/>
                <w:sz w:val="18"/>
              </w:rPr>
              <w:t xml:space="preserve">of </w:t>
            </w:r>
          </w:p>
        </w:tc>
        <w:tc>
          <w:tcPr>
            <w:tcW w:type="dxa" w:w="10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3" w:lineRule="auto" w:before="0" w:after="0"/>
              <w:ind w:left="0" w:right="0" w:firstLine="0"/>
              <w:jc w:val="center"/>
            </w:pPr>
            <w:r>
              <w:rPr>
                <w:rFonts w:ascii="Lora" w:hAnsi="Lora" w:eastAsia="Lora"/>
                <w:b w:val="0"/>
                <w:i w:val="0"/>
                <w:color w:val="000000"/>
                <w:sz w:val="18"/>
              </w:rPr>
              <w:t xml:space="preserve">relevant </w:t>
            </w:r>
          </w:p>
        </w:tc>
        <w:tc>
          <w:tcPr>
            <w:tcW w:type="dxa" w:w="19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3" w:lineRule="auto" w:before="0" w:after="0"/>
              <w:ind w:left="0" w:right="0" w:firstLine="0"/>
              <w:jc w:val="center"/>
            </w:pPr>
            <w:r>
              <w:rPr>
                <w:rFonts w:ascii="Lora" w:hAnsi="Lora" w:eastAsia="Lora"/>
                <w:b w:val="0"/>
                <w:i w:val="0"/>
                <w:color w:val="000000"/>
                <w:sz w:val="18"/>
              </w:rPr>
              <w:t xml:space="preserve">pharmacodynamic </w:t>
            </w:r>
          </w:p>
        </w:tc>
      </w:tr>
      <w:tr>
        <w:trPr>
          <w:trHeight w:hRule="exact" w:val="312"/>
        </w:trPr>
        <w:tc>
          <w:tcPr>
            <w:tcW w:type="dxa" w:w="21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3" w:lineRule="auto" w:before="2" w:after="0"/>
              <w:ind w:left="358" w:right="0" w:firstLine="0"/>
              <w:jc w:val="left"/>
            </w:pPr>
            <w:r>
              <w:rPr>
                <w:rFonts w:ascii="Lora" w:hAnsi="Lora" w:eastAsia="Lora"/>
                <w:b w:val="0"/>
                <w:i w:val="0"/>
                <w:color w:val="000000"/>
                <w:sz w:val="18"/>
              </w:rPr>
              <w:t>considerations]</w:t>
            </w:r>
          </w:p>
        </w:tc>
        <w:tc>
          <w:tcPr>
            <w:tcW w:type="dxa" w:w="1953"/>
            <w:vMerge/>
            <w:tcBorders/>
          </w:tcPr>
          <w:p/>
        </w:tc>
        <w:tc>
          <w:tcPr>
            <w:tcW w:type="dxa" w:w="1953"/>
            <w:vMerge/>
            <w:tcBorders/>
          </w:tcPr>
          <w:p/>
        </w:tc>
        <w:tc>
          <w:tcPr>
            <w:tcW w:type="dxa" w:w="1953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223" w:lineRule="auto" w:before="170" w:after="0"/>
        <w:ind w:left="698" w:right="0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>PHARMACOKINETICS</w:t>
      </w:r>
    </w:p>
    <w:p>
      <w:pPr>
        <w:autoSpaceDN w:val="0"/>
        <w:autoSpaceDE w:val="0"/>
        <w:widowControl/>
        <w:spacing w:line="245" w:lineRule="auto" w:before="150" w:after="0"/>
        <w:ind w:left="698" w:right="156" w:firstLine="0"/>
        <w:jc w:val="both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[Text summary, if kinetics will factor significantly into the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decision, including, but not limited to, absorption changes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when administered (e.g., with food and medications),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bioavailability, time to peak concentration, overall drug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exposure, metabolism and clearance, multiple dosing, and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elimination in patients with hepatic or renal impairment or </w:t>
      </w:r>
      <w:r>
        <w:rPr>
          <w:rFonts w:ascii="Lora" w:hAnsi="Lora" w:eastAsia="Lora"/>
          <w:b w:val="0"/>
          <w:i w:val="0"/>
          <w:color w:val="000000"/>
          <w:sz w:val="18"/>
        </w:rPr>
        <w:t>who are taking interacting drugs).]</w:t>
      </w:r>
    </w:p>
    <w:p>
      <w:pPr>
        <w:autoSpaceDN w:val="0"/>
        <w:autoSpaceDE w:val="0"/>
        <w:widowControl/>
        <w:spacing w:line="186" w:lineRule="exact" w:before="1192" w:after="0"/>
        <w:ind w:left="740" w:right="0" w:firstLine="0"/>
        <w:jc w:val="left"/>
      </w:pPr>
      <w:r>
        <w:rPr>
          <w:rFonts w:ascii="Asap" w:hAnsi="Asap" w:eastAsia="Asap"/>
          <w:b/>
          <w:i w:val="0"/>
          <w:color w:val="14377D"/>
          <w:sz w:val="14"/>
        </w:rPr>
        <w:t>JMCP</w:t>
      </w:r>
      <w:r>
        <w:rPr>
          <w:rFonts w:ascii="Asap" w:hAnsi="Asap" w:eastAsia="Asap"/>
          <w:b w:val="0"/>
          <w:i w:val="0"/>
          <w:color w:val="14377D"/>
          <w:sz w:val="14"/>
        </w:rPr>
        <w:t>.org</w:t>
      </w:r>
      <w:r>
        <w:rPr>
          <w:rFonts w:ascii="Asap" w:hAnsi="Asap" w:eastAsia="Asap"/>
          <w:b w:val="0"/>
          <w:i w:val="0"/>
          <w:color w:val="474C55"/>
          <w:sz w:val="14"/>
        </w:rPr>
        <w:t>|</w:t>
      </w:r>
      <w:r>
        <w:rPr>
          <w:rFonts w:ascii="Asap" w:hAnsi="Asap" w:eastAsia="Asap"/>
          <w:b w:val="0"/>
          <w:i w:val="0"/>
          <w:color w:val="474C55"/>
          <w:sz w:val="14"/>
        </w:rPr>
        <w:t>April 2024</w:t>
      </w:r>
      <w:r>
        <w:rPr>
          <w:rFonts w:ascii="Asap" w:hAnsi="Asap" w:eastAsia="Asap"/>
          <w:b w:val="0"/>
          <w:i w:val="0"/>
          <w:color w:val="474C55"/>
          <w:sz w:val="14"/>
        </w:rPr>
        <w:t>|</w:t>
      </w:r>
      <w:r>
        <w:rPr>
          <w:rFonts w:ascii="Asap" w:hAnsi="Asap" w:eastAsia="Asap"/>
          <w:b w:val="0"/>
          <w:i w:val="0"/>
          <w:color w:val="474C55"/>
          <w:sz w:val="14"/>
        </w:rPr>
        <w:t>Vol. 30, No. 4-B</w:t>
      </w:r>
    </w:p>
    <w:p>
      <w:pPr>
        <w:sectPr>
          <w:type w:val="continuous"/>
          <w:pgSz w:w="11880" w:h="15660"/>
          <w:pgMar w:top="360" w:right="674" w:bottom="266" w:left="0" w:header="720" w:footer="720" w:gutter="0"/>
          <w:cols w:num="2" w:equalWidth="0">
            <w:col w:w="5942" w:space="0"/>
            <w:col w:w="5263" w:space="0"/>
          </w:cols>
          <w:docGrid w:linePitch="360"/>
        </w:sectPr>
      </w:pPr>
    </w:p>
    <w:p>
      <w:pPr>
        <w:autoSpaceDN w:val="0"/>
        <w:autoSpaceDE w:val="0"/>
        <w:widowControl/>
        <w:spacing w:line="223" w:lineRule="auto" w:before="0" w:after="0"/>
        <w:ind w:left="156" w:right="0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>Study Type</w:t>
      </w:r>
    </w:p>
    <w:p>
      <w:pPr>
        <w:autoSpaceDN w:val="0"/>
        <w:autoSpaceDE w:val="0"/>
        <w:widowControl/>
        <w:spacing w:line="245" w:lineRule="auto" w:before="230" w:after="0"/>
        <w:ind w:left="156" w:right="864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Randomized controlled trials (RCT) 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Meta-analyses of RCTs 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Systematic reviews 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Randomized pragmatic trials 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Prospective cohort studies 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Retrospective cohort or case-control studies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Economic modeling studies 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Case series 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RCT abstracts, not peer-reviewed 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>Other abstracts, posters, etc. not peer-reviewed</w:t>
      </w:r>
    </w:p>
    <w:p>
      <w:pPr>
        <w:sectPr>
          <w:type w:val="nextColumn"/>
          <w:pgSz w:w="11880" w:h="15660"/>
          <w:pgMar w:top="360" w:right="674" w:bottom="266" w:left="0" w:header="720" w:footer="720" w:gutter="0"/>
          <w:cols w:num="2" w:equalWidth="0">
            <w:col w:w="5942" w:space="0"/>
            <w:col w:w="5263" w:space="0"/>
          </w:cols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240.0" w:type="dxa"/>
      </w:tblPr>
      <w:tblGrid>
        <w:gridCol w:w="4870"/>
        <w:gridCol w:w="4870"/>
      </w:tblGrid>
      <w:tr>
        <w:trPr>
          <w:trHeight w:hRule="exact" w:val="382"/>
        </w:trPr>
        <w:tc>
          <w:tcPr>
            <w:tcW w:type="dxa" w:w="584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4" w:after="0"/>
              <w:ind w:left="0" w:right="90" w:firstLine="0"/>
              <w:jc w:val="right"/>
            </w:pPr>
            <w:r>
              <w:rPr>
                <w:rFonts w:ascii="Asap" w:hAnsi="Asap" w:eastAsia="Asap"/>
                <w:b/>
                <w:i w:val="0"/>
                <w:color w:val="474C55"/>
                <w:sz w:val="18"/>
              </w:rPr>
              <w:t>AMCP FORMAT 5.0</w:t>
            </w:r>
          </w:p>
        </w:tc>
        <w:tc>
          <w:tcPr>
            <w:tcW w:type="dxa" w:w="1094"/>
            <w:tcBorders/>
            <w:shd w:fill="6b146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72" w:after="0"/>
              <w:ind w:left="90" w:right="0" w:firstLine="0"/>
              <w:jc w:val="left"/>
            </w:pPr>
            <w:r>
              <w:rPr>
                <w:rFonts w:ascii="Asap" w:hAnsi="Asap" w:eastAsia="Asap"/>
                <w:b/>
                <w:i w:val="0"/>
                <w:color w:val="FFFFFF"/>
                <w:sz w:val="18"/>
              </w:rPr>
              <w:t>59</w:t>
            </w:r>
          </w:p>
        </w:tc>
      </w:tr>
    </w:tbl>
    <w:p>
      <w:pPr>
        <w:autoSpaceDN w:val="0"/>
        <w:autoSpaceDE w:val="0"/>
        <w:widowControl/>
        <w:spacing w:line="266" w:lineRule="exact" w:before="1032" w:after="268"/>
        <w:ind w:left="40" w:right="0" w:firstLine="0"/>
        <w:jc w:val="left"/>
      </w:pPr>
      <w:r>
        <w:rPr>
          <w:rFonts w:ascii="Asap" w:hAnsi="Asap" w:eastAsia="Asap"/>
          <w:b/>
          <w:i w:val="0"/>
          <w:color w:val="14377D"/>
          <w:sz w:val="20"/>
        </w:rPr>
        <w:t>STUDIES/ARTICLES EXCLUDED FROM EVIDENCE SYNTHESIS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4.000000000000057" w:type="dxa"/>
      </w:tblPr>
      <w:tblGrid>
        <w:gridCol w:w="4870"/>
        <w:gridCol w:w="4870"/>
      </w:tblGrid>
      <w:tr>
        <w:trPr>
          <w:trHeight w:hRule="exact" w:val="386"/>
        </w:trPr>
        <w:tc>
          <w:tcPr>
            <w:tcW w:type="dxa" w:w="5216"/>
            <w:tcBorders>
              <w:start w:sz="4.0" w:val="single" w:color="#FFFFFF"/>
              <w:top w:sz="16.0" w:val="single" w:color="#474B55"/>
              <w:end w:sz="4.0" w:val="single" w:color="#FFFFFF"/>
              <w:bottom w:sz="4.0" w:val="single" w:color="#13377C"/>
            </w:tcBorders>
            <w:shd w:fill="c6c8c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2" w:lineRule="exact" w:before="78" w:after="0"/>
              <w:ind w:left="0" w:right="0" w:firstLine="0"/>
              <w:jc w:val="center"/>
            </w:pPr>
            <w:r>
              <w:rPr>
                <w:w w:val="102.46950387954712"/>
                <w:rFonts w:ascii="Asap" w:hAnsi="Asap" w:eastAsia="Asap"/>
                <w:b/>
                <w:i w:val="0"/>
                <w:color w:val="000000"/>
                <w:sz w:val="16"/>
              </w:rPr>
              <w:t>Study/Article Excluded</w:t>
            </w:r>
          </w:p>
        </w:tc>
        <w:tc>
          <w:tcPr>
            <w:tcW w:type="dxa" w:w="5216"/>
            <w:tcBorders>
              <w:start w:sz="4.0" w:val="single" w:color="#FFFFFF"/>
              <w:top w:sz="16.0" w:val="single" w:color="#474B55"/>
              <w:end w:sz="4.0" w:val="single" w:color="#FFFFFF"/>
              <w:bottom w:sz="4.0" w:val="single" w:color="#13377C"/>
            </w:tcBorders>
            <w:shd w:fill="c6c8c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2" w:lineRule="exact" w:before="78" w:after="0"/>
              <w:ind w:left="0" w:right="0" w:firstLine="0"/>
              <w:jc w:val="center"/>
            </w:pPr>
            <w:r>
              <w:rPr>
                <w:w w:val="102.46950387954712"/>
                <w:rFonts w:ascii="Asap" w:hAnsi="Asap" w:eastAsia="Asap"/>
                <w:b/>
                <w:i w:val="0"/>
                <w:color w:val="000000"/>
                <w:sz w:val="16"/>
              </w:rPr>
              <w:t>Reason for Exclusion</w:t>
            </w:r>
          </w:p>
        </w:tc>
      </w:tr>
      <w:tr>
        <w:trPr>
          <w:trHeight w:hRule="exact" w:val="402"/>
        </w:trPr>
        <w:tc>
          <w:tcPr>
            <w:tcW w:type="dxa" w:w="5216"/>
            <w:tcBorders>
              <w:top w:sz="4.0" w:val="single" w:color="#13377C"/>
              <w:end w:sz="4.0" w:val="single" w:color="#FFFFFF"/>
              <w:bottom w:sz="4.0" w:val="single" w:color="#C6C8C7"/>
            </w:tcBorders>
            <w:shd w:fill="eaeaf2"/>
            <w:tcMar>
              <w:start w:w="0" w:type="dxa"/>
              <w:end w:w="0" w:type="dxa"/>
            </w:tcMar>
          </w:tcPr>
          <w:p/>
        </w:tc>
        <w:tc>
          <w:tcPr>
            <w:tcW w:type="dxa" w:w="5216"/>
            <w:tcBorders>
              <w:start w:sz="4.0" w:val="single" w:color="#FFFFFF"/>
              <w:top w:sz="4.0" w:val="single" w:color="#13377C"/>
              <w:end w:sz="4.0" w:val="single" w:color="#FFFFFF"/>
              <w:bottom w:sz="4.0" w:val="single" w:color="#C6C8C7"/>
            </w:tcBorders>
            <w:shd w:fill="eaeaf2"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00"/>
        </w:trPr>
        <w:tc>
          <w:tcPr>
            <w:tcW w:type="dxa" w:w="5216"/>
            <w:tcBorders>
              <w:start w:sz="4.0" w:val="single" w:color="#81858D"/>
              <w:top w:sz="4.0" w:val="single" w:color="#C6C8C7"/>
              <w:end w:sz="4.0" w:val="single" w:color="#C6C8C7"/>
              <w:bottom w:sz="4.0" w:val="single" w:color="#13377C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5216"/>
            <w:tcBorders>
              <w:start w:sz="4.0" w:val="single" w:color="#C6C8C7"/>
              <w:top w:sz="4.0" w:val="single" w:color="#C6C8C7"/>
              <w:end w:sz="4.0" w:val="single" w:color="#81858D"/>
              <w:bottom w:sz="4.0" w:val="single" w:color="#13377C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02"/>
        </w:trPr>
        <w:tc>
          <w:tcPr>
            <w:tcW w:type="dxa" w:w="5216"/>
            <w:tcBorders>
              <w:top w:sz="4.0" w:val="single" w:color="#13377C"/>
              <w:end w:sz="4.0" w:val="single" w:color="#FFFFFF"/>
              <w:bottom w:sz="4.0" w:val="single" w:color="#C6C8C7"/>
            </w:tcBorders>
            <w:shd w:fill="eaeaf2"/>
            <w:tcMar>
              <w:start w:w="0" w:type="dxa"/>
              <w:end w:w="0" w:type="dxa"/>
            </w:tcMar>
          </w:tcPr>
          <w:p/>
        </w:tc>
        <w:tc>
          <w:tcPr>
            <w:tcW w:type="dxa" w:w="5216"/>
            <w:tcBorders>
              <w:start w:sz="4.0" w:val="single" w:color="#FFFFFF"/>
              <w:top w:sz="4.0" w:val="single" w:color="#13377C"/>
              <w:end w:sz="4.0" w:val="single" w:color="#FFFFFF"/>
              <w:bottom w:sz="4.0" w:val="single" w:color="#C6C8C7"/>
            </w:tcBorders>
            <w:shd w:fill="eaeaf2"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00"/>
        </w:trPr>
        <w:tc>
          <w:tcPr>
            <w:tcW w:type="dxa" w:w="5216"/>
            <w:tcBorders>
              <w:start w:sz="4.0" w:val="single" w:color="#C6C8C7"/>
              <w:top w:sz="4.0" w:val="single" w:color="#C6C8C7"/>
              <w:end w:sz="4.0" w:val="single" w:color="#C6C8C7"/>
              <w:bottom w:sz="16.0" w:val="single" w:color="#474B55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5216"/>
            <w:tcBorders>
              <w:start w:sz="4.0" w:val="single" w:color="#C6C8C7"/>
              <w:top w:sz="4.0" w:val="single" w:color="#C6C8C7"/>
              <w:end w:sz="4.0" w:val="single" w:color="#C6C8C7"/>
              <w:bottom w:sz="16.0" w:val="single" w:color="#474B55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tabs>
          <w:tab w:pos="5420" w:val="left"/>
        </w:tabs>
        <w:autoSpaceDE w:val="0"/>
        <w:widowControl/>
        <w:spacing w:line="264" w:lineRule="exact" w:before="558" w:after="158"/>
        <w:ind w:left="20" w:right="0" w:firstLine="0"/>
        <w:jc w:val="left"/>
      </w:pPr>
      <w:r>
        <w:rPr>
          <w:rFonts w:ascii="Asap" w:hAnsi="Asap" w:eastAsia="Asap"/>
          <w:b/>
          <w:i w:val="0"/>
          <w:color w:val="14377D"/>
          <w:sz w:val="20"/>
        </w:rPr>
        <w:t xml:space="preserve">AUTHORSHIP </w:t>
      </w:r>
      <w:r>
        <w:tab/>
      </w:r>
      <w:r>
        <w:rPr>
          <w:rFonts w:ascii="Asap" w:hAnsi="Asap" w:eastAsia="Asap"/>
          <w:b/>
          <w:i w:val="0"/>
          <w:color w:val="14377D"/>
          <w:sz w:val="20"/>
        </w:rPr>
        <w:t>REFERENCES</w:t>
      </w:r>
    </w:p>
    <w:p>
      <w:pPr>
        <w:sectPr>
          <w:pgSz w:w="11880" w:h="15660"/>
          <w:pgMar w:top="360" w:right="0" w:bottom="266" w:left="70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45" w:lineRule="auto" w:before="0" w:after="0"/>
        <w:ind w:left="20" w:right="144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Review prepared by: [author’s names, degrees, and </w:t>
      </w:r>
      <w:r>
        <w:rPr>
          <w:rFonts w:ascii="Lora" w:hAnsi="Lora" w:eastAsia="Lora"/>
          <w:b w:val="0"/>
          <w:i w:val="0"/>
          <w:color w:val="000000"/>
          <w:sz w:val="18"/>
        </w:rPr>
        <w:t>organization].</w:t>
      </w:r>
    </w:p>
    <w:p>
      <w:pPr>
        <w:sectPr>
          <w:type w:val="continuous"/>
          <w:pgSz w:w="11880" w:h="15660"/>
          <w:pgMar w:top="360" w:right="0" w:bottom="266" w:left="700" w:header="720" w:footer="720" w:gutter="0"/>
          <w:cols w:num="2" w:equalWidth="0">
            <w:col w:w="5264" w:space="0"/>
            <w:col w:w="5916" w:space="0"/>
          </w:cols>
          <w:docGrid w:linePitch="360"/>
        </w:sectPr>
      </w:pPr>
    </w:p>
    <w:p>
      <w:pPr>
        <w:autoSpaceDN w:val="0"/>
        <w:autoSpaceDE w:val="0"/>
        <w:widowControl/>
        <w:spacing w:line="245" w:lineRule="auto" w:before="0" w:after="0"/>
        <w:ind w:left="156" w:right="576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>Include references, cited appropriately based on the orga-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nization’s preferred style [e.g., American Psychological </w:t>
      </w:r>
      <w:r>
        <w:rPr>
          <w:rFonts w:ascii="Lora" w:hAnsi="Lora" w:eastAsia="Lora"/>
          <w:b w:val="0"/>
          <w:i w:val="0"/>
          <w:color w:val="000000"/>
          <w:sz w:val="18"/>
        </w:rPr>
        <w:t>Association (APA), Modern Language Association (MLA)].</w:t>
      </w:r>
    </w:p>
    <w:p>
      <w:pPr>
        <w:autoSpaceDN w:val="0"/>
        <w:autoSpaceDE w:val="0"/>
        <w:widowControl/>
        <w:spacing w:line="186" w:lineRule="exact" w:before="8546" w:after="0"/>
        <w:ind w:left="0" w:right="742" w:firstLine="0"/>
        <w:jc w:val="right"/>
      </w:pPr>
      <w:r>
        <w:rPr>
          <w:rFonts w:ascii="Asap" w:hAnsi="Asap" w:eastAsia="Asap"/>
          <w:b w:val="0"/>
          <w:i w:val="0"/>
          <w:color w:val="474C55"/>
          <w:sz w:val="14"/>
        </w:rPr>
        <w:t>Vol. 30, No. 4-b</w:t>
      </w:r>
      <w:r>
        <w:rPr>
          <w:rFonts w:ascii="Asap" w:hAnsi="Asap" w:eastAsia="Asap"/>
          <w:b w:val="0"/>
          <w:i w:val="0"/>
          <w:color w:val="474C55"/>
          <w:sz w:val="14"/>
        </w:rPr>
        <w:t>|</w:t>
      </w:r>
      <w:r>
        <w:rPr>
          <w:rFonts w:ascii="Asap" w:hAnsi="Asap" w:eastAsia="Asap"/>
          <w:b w:val="0"/>
          <w:i w:val="0"/>
          <w:color w:val="474C55"/>
          <w:sz w:val="14"/>
        </w:rPr>
        <w:t>April 2024</w:t>
      </w:r>
      <w:r>
        <w:rPr>
          <w:rFonts w:ascii="Asap" w:hAnsi="Asap" w:eastAsia="Asap"/>
          <w:b w:val="0"/>
          <w:i w:val="0"/>
          <w:color w:val="474C55"/>
          <w:sz w:val="14"/>
        </w:rPr>
        <w:t>|</w:t>
      </w:r>
      <w:r>
        <w:rPr>
          <w:rFonts w:ascii="Asap" w:hAnsi="Asap" w:eastAsia="Asap"/>
          <w:b/>
          <w:i w:val="0"/>
          <w:color w:val="14377D"/>
          <w:sz w:val="14"/>
        </w:rPr>
        <w:t xml:space="preserve"> JMCP</w:t>
      </w:r>
      <w:r>
        <w:rPr>
          <w:rFonts w:ascii="Asap" w:hAnsi="Asap" w:eastAsia="Asap"/>
          <w:b w:val="0"/>
          <w:i w:val="0"/>
          <w:color w:val="14377D"/>
          <w:sz w:val="14"/>
        </w:rPr>
        <w:t>.org</w:t>
      </w:r>
    </w:p>
    <w:p>
      <w:pPr>
        <w:sectPr>
          <w:type w:val="nextColumn"/>
          <w:pgSz w:w="11880" w:h="15660"/>
          <w:pgMar w:top="360" w:right="0" w:bottom="266" w:left="700" w:header="720" w:footer="720" w:gutter="0"/>
          <w:cols w:num="2" w:equalWidth="0">
            <w:col w:w="5264" w:space="0"/>
            <w:col w:w="5916" w:space="0"/>
          </w:cols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883"/>
        <w:gridCol w:w="4883"/>
      </w:tblGrid>
      <w:tr>
        <w:trPr>
          <w:trHeight w:hRule="exact" w:val="382"/>
        </w:trPr>
        <w:tc>
          <w:tcPr>
            <w:tcW w:type="dxa" w:w="1094"/>
            <w:tcBorders/>
            <w:shd w:fill="6b146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4" w:after="0"/>
              <w:ind w:left="0" w:right="90" w:firstLine="0"/>
              <w:jc w:val="right"/>
            </w:pPr>
            <w:r>
              <w:rPr>
                <w:rFonts w:ascii="Asap" w:hAnsi="Asap" w:eastAsia="Asap"/>
                <w:b/>
                <w:i w:val="0"/>
                <w:color w:val="FFFFFF"/>
                <w:sz w:val="18"/>
              </w:rPr>
              <w:t>60</w:t>
            </w:r>
          </w:p>
        </w:tc>
        <w:tc>
          <w:tcPr>
            <w:tcW w:type="dxa" w:w="584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4" w:after="0"/>
              <w:ind w:left="90" w:right="0" w:firstLine="0"/>
              <w:jc w:val="left"/>
            </w:pPr>
            <w:r>
              <w:rPr>
                <w:rFonts w:ascii="Asap" w:hAnsi="Asap" w:eastAsia="Asap"/>
                <w:b/>
                <w:i w:val="0"/>
                <w:color w:val="474C55"/>
                <w:sz w:val="18"/>
              </w:rPr>
              <w:t>AMCP FORMAT 5.0</w:t>
            </w:r>
          </w:p>
        </w:tc>
      </w:tr>
    </w:tbl>
    <w:p>
      <w:pPr>
        <w:autoSpaceDN w:val="0"/>
        <w:autoSpaceDE w:val="0"/>
        <w:widowControl/>
        <w:spacing w:line="620" w:lineRule="exact" w:before="848" w:after="200"/>
        <w:ind w:left="720" w:right="0" w:firstLine="0"/>
        <w:jc w:val="left"/>
      </w:pPr>
      <w:r>
        <w:rPr>
          <w:rFonts w:ascii="Asap" w:hAnsi="Asap" w:eastAsia="Asap"/>
          <w:b w:val="0"/>
          <w:i w:val="0"/>
          <w:color w:val="14377D"/>
          <w:sz w:val="48"/>
        </w:rPr>
        <w:t>References</w:t>
      </w:r>
    </w:p>
    <w:p>
      <w:pPr>
        <w:sectPr>
          <w:pgSz w:w="11880" w:h="15660"/>
          <w:pgMar w:top="360" w:right="674" w:bottom="266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45" w:lineRule="auto" w:before="0" w:after="0"/>
        <w:ind w:left="1238" w:right="288" w:hanging="27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1. Neumann PJ, Cohen JT. Measuring the value of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prescription drugs. </w:t>
      </w:r>
      <w:r>
        <w:rPr>
          <w:rFonts w:ascii="Lora" w:hAnsi="Lora" w:eastAsia="Lora"/>
          <w:b w:val="0"/>
          <w:i/>
          <w:color w:val="000000"/>
          <w:sz w:val="18"/>
        </w:rPr>
        <w:t>N Engl J Med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. 2015;373(27):2595-7. </w:t>
      </w:r>
    </w:p>
    <w:p>
      <w:pPr>
        <w:autoSpaceDN w:val="0"/>
        <w:tabs>
          <w:tab w:pos="1238" w:val="left"/>
        </w:tabs>
        <w:autoSpaceDE w:val="0"/>
        <w:widowControl/>
        <w:spacing w:line="245" w:lineRule="auto" w:before="0" w:after="0"/>
        <w:ind w:left="968" w:right="288" w:firstLine="0"/>
        <w:jc w:val="left"/>
      </w:pP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doi: 10.1056/NEJMp1512009 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2. Bach PB. New math on drug cost-effectiveness. N Engl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J Med. 2015;373(19):1797-9. doi: 10.1056/NEJMp1512750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3. U.S. Food &amp; Drug Administration. Drug and device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manufacturer communications with payors, formu-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lary committees, and similar entities — questions and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answers. Guidance for industry and</w:t>
      </w:r>
      <w:r>
        <w:rPr>
          <w:rFonts w:ascii="Lora" w:hAnsi="Lora" w:eastAsia="Lora"/>
          <w:b w:val="0"/>
          <w:i w:val="0"/>
          <w:color w:val="000000"/>
          <w:sz w:val="18"/>
        </w:rPr>
        <w:hyperlink r:id="rId18" w:history="1">
          <w:r>
            <w:rPr>
              <w:rStyle w:val="Hyperlink"/>
            </w:rPr>
            <w:t xml:space="preserve"> review staff. June</w:t>
          </w:r>
        </w:hyperlink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hyperlink r:id="rId18" w:history="1">
          <w:r>
            <w:rPr>
              <w:rStyle w:val="Hyperlink"/>
            </w:rPr>
            <w:t>2018. Accessed January 23, 2</w:t>
          </w:r>
        </w:hyperlink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024. </w:t>
      </w:r>
      <w:r>
        <w:rPr>
          <w:u w:val="single" w:color="13377c"/>
          <w:rFonts w:ascii="Lora" w:hAnsi="Lora" w:eastAsia="Lora"/>
          <w:b w:val="0"/>
          <w:i w:val="0"/>
          <w:color w:val="14377D"/>
          <w:sz w:val="18"/>
        </w:rPr>
        <w:hyperlink r:id="rId18" w:history="1">
          <w:r>
            <w:rPr>
              <w:rStyle w:val="Hyperlink"/>
            </w:rPr>
            <w:t>https://www.fda.</w:t>
          </w:r>
        </w:hyperlink>
      </w:r>
    </w:p>
    <w:p>
      <w:pPr>
        <w:autoSpaceDN w:val="0"/>
        <w:tabs>
          <w:tab w:pos="1238" w:val="left"/>
          <w:tab w:pos="2126" w:val="left"/>
          <w:tab w:pos="2584" w:val="left"/>
          <w:tab w:pos="3254" w:val="left"/>
        </w:tabs>
        <w:autoSpaceDE w:val="0"/>
        <w:widowControl/>
        <w:spacing w:line="245" w:lineRule="auto" w:before="0" w:after="0"/>
        <w:ind w:left="968" w:right="288" w:firstLine="0"/>
        <w:jc w:val="left"/>
      </w:pPr>
      <w:r>
        <w:tab/>
      </w:r>
      <w:r>
        <w:rPr>
          <w:u w:val="single" w:color="13377c"/>
          <w:rFonts w:ascii="Lora" w:hAnsi="Lora" w:eastAsia="Lora"/>
          <w:b w:val="0"/>
          <w:i w:val="0"/>
          <w:color w:val="14377D"/>
          <w:sz w:val="18"/>
        </w:rPr>
        <w:hyperlink r:id="rId18" w:history="1">
          <w:r>
            <w:rPr>
              <w:rStyle w:val="Hyperlink"/>
            </w:rPr>
            <w:t xml:space="preserve">gov/media/133620/download </w:t>
          </w:r>
        </w:hyperlink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4. </w:t>
      </w:r>
      <w:r>
        <w:rPr>
          <w:rFonts w:ascii="Lora" w:hAnsi="Lora" w:eastAsia="Lora"/>
          <w:b w:val="0"/>
          <w:i w:val="0"/>
          <w:color w:val="000000"/>
          <w:sz w:val="18"/>
        </w:rPr>
        <w:hyperlink r:id="rId18" w:history="1">
          <w:r>
            <w:rPr>
              <w:rStyle w:val="Hyperlink"/>
            </w:rPr>
            <w:t>Consolidated Appropriation</w:t>
          </w:r>
        </w:hyperlink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s Act of 2023, HR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2617, 117th Cong (2021</w:t>
      </w:r>
      <w:r>
        <w:rPr>
          <w:rFonts w:ascii="Lora" w:hAnsi="Lora" w:eastAsia="Lora"/>
          <w:b w:val="0"/>
          <w:i w:val="0"/>
          <w:color w:val="000000"/>
          <w:sz w:val="18"/>
        </w:rPr>
        <w:hyperlink r:id="rId19" w:history="1">
          <w:r>
            <w:rPr>
              <w:rStyle w:val="Hyperlink"/>
            </w:rPr>
            <w:t>-2022), Sec. 3630. Accessed</w:t>
          </w:r>
        </w:hyperlink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hyperlink r:id="rId19" w:history="1">
          <w:r>
            <w:rPr>
              <w:rStyle w:val="Hyperlink"/>
            </w:rPr>
            <w:t xml:space="preserve">January </w:t>
          </w:r>
        </w:hyperlink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hyperlink r:id="rId19" w:history="1">
          <w:r>
            <w:rPr>
              <w:rStyle w:val="Hyperlink"/>
            </w:rPr>
            <w:t xml:space="preserve">23, </w:t>
          </w:r>
        </w:hyperlink>
      </w:r>
      <w:r>
        <w:rPr>
          <w:rFonts w:ascii="Lora" w:hAnsi="Lora" w:eastAsia="Lora"/>
          <w:b w:val="0"/>
          <w:i w:val="0"/>
          <w:color w:val="000000"/>
          <w:sz w:val="18"/>
        </w:rPr>
        <w:hyperlink r:id="rId19" w:history="1">
          <w:r>
            <w:rPr>
              <w:rStyle w:val="Hyperlink"/>
            </w:rPr>
            <w:t xml:space="preserve">2024. </w:t>
          </w:r>
        </w:hyperlink>
      </w:r>
      <w:r>
        <w:rPr>
          <w:u w:val="single" w:color="13377c"/>
          <w:rFonts w:ascii="Lora" w:hAnsi="Lora" w:eastAsia="Lora"/>
          <w:b w:val="0"/>
          <w:i w:val="0"/>
          <w:color w:val="14377D"/>
          <w:sz w:val="18"/>
        </w:rPr>
        <w:hyperlink r:id="rId19" w:history="1">
          <w:r>
            <w:rPr>
              <w:rStyle w:val="Hyperlink"/>
            </w:rPr>
            <w:t>https://www.co</w:t>
          </w:r>
        </w:hyperlink>
      </w:r>
      <w:r>
        <w:rPr>
          <w:u w:val="single" w:color="13377c"/>
          <w:rFonts w:ascii="Lora" w:hAnsi="Lora" w:eastAsia="Lora"/>
          <w:b w:val="0"/>
          <w:i w:val="0"/>
          <w:color w:val="14377D"/>
          <w:sz w:val="18"/>
        </w:rPr>
        <w:hyperlink r:id="rId19" w:history="1">
          <w:r>
            <w:rPr>
              <w:rStyle w:val="Hyperlink"/>
            </w:rPr>
            <w:t xml:space="preserve">ngress.gov/ </w:t>
          </w:r>
        </w:hyperlink>
      </w:r>
      <w:r>
        <w:tab/>
      </w:r>
      <w:r>
        <w:rPr>
          <w:u w:val="single" w:color="13377c"/>
          <w:rFonts w:ascii="Lora" w:hAnsi="Lora" w:eastAsia="Lora"/>
          <w:b w:val="0"/>
          <w:i w:val="0"/>
          <w:color w:val="14377D"/>
          <w:sz w:val="18"/>
        </w:rPr>
        <w:hyperlink r:id="rId19" w:history="1">
          <w:r>
            <w:rPr>
              <w:rStyle w:val="Hyperlink"/>
            </w:rPr>
            <w:t>bill/117th-congress/hou</w:t>
          </w:r>
        </w:hyperlink>
      </w:r>
      <w:r>
        <w:rPr>
          <w:u w:val="single" w:color="13377c"/>
          <w:rFonts w:ascii="Lora" w:hAnsi="Lora" w:eastAsia="Lora"/>
          <w:b w:val="0"/>
          <w:i w:val="0"/>
          <w:color w:val="14377D"/>
          <w:sz w:val="18"/>
        </w:rPr>
        <w:hyperlink r:id="rId19" w:history="1">
          <w:r>
            <w:rPr>
              <w:rStyle w:val="Hyperlink"/>
            </w:rPr>
            <w:t xml:space="preserve">se-bill/2617/text </w:t>
          </w:r>
        </w:hyperlink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5. </w:t>
      </w:r>
      <w:r>
        <w:rPr>
          <w:rFonts w:ascii="Lora" w:hAnsi="Lora" w:eastAsia="Lora"/>
          <w:b w:val="0"/>
          <w:i w:val="0"/>
          <w:color w:val="000000"/>
          <w:sz w:val="18"/>
        </w:rPr>
        <w:hyperlink r:id="rId19" w:history="1">
          <w:r>
            <w:rPr>
              <w:rStyle w:val="Hyperlink"/>
            </w:rPr>
            <w:t>Inflation Reduction Act of 2022, HR 53</w:t>
          </w:r>
        </w:hyperlink>
      </w:r>
      <w:r>
        <w:rPr>
          <w:rFonts w:ascii="Lora" w:hAnsi="Lora" w:eastAsia="Lora"/>
          <w:b w:val="0"/>
          <w:i w:val="0"/>
          <w:color w:val="000000"/>
          <w:sz w:val="18"/>
        </w:rPr>
        <w:hyperlink r:id="rId19" w:history="1">
          <w:r>
            <w:rPr>
              <w:rStyle w:val="Hyperlink"/>
            </w:rPr>
            <w:t>76</w:t>
          </w:r>
        </w:hyperlink>
      </w:r>
      <w:r>
        <w:rPr>
          <w:rFonts w:ascii="Lora" w:hAnsi="Lora" w:eastAsia="Lora"/>
          <w:b w:val="0"/>
          <w:i w:val="0"/>
          <w:color w:val="000000"/>
          <w:sz w:val="18"/>
        </w:rPr>
        <w:hyperlink r:id="rId20" w:history="1">
          <w:r>
            <w:rPr>
              <w:rStyle w:val="Hyperlink"/>
            </w:rPr>
            <w:t>, 117th Cong</w:t>
          </w:r>
        </w:hyperlink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(2021-2022). Accessed January 23, 2024. </w:t>
      </w:r>
      <w:r>
        <w:rPr>
          <w:u w:val="single" w:color="13377c"/>
          <w:rFonts w:ascii="Lora" w:hAnsi="Lora" w:eastAsia="Lora"/>
          <w:b w:val="0"/>
          <w:i w:val="0"/>
          <w:color w:val="14377D"/>
          <w:sz w:val="18"/>
        </w:rPr>
        <w:hyperlink r:id="rId20" w:history="1">
          <w:r>
            <w:rPr>
              <w:rStyle w:val="Hyperlink"/>
            </w:rPr>
            <w:t>https://www.</w:t>
          </w:r>
        </w:hyperlink>
      </w:r>
    </w:p>
    <w:p>
      <w:pPr>
        <w:autoSpaceDN w:val="0"/>
        <w:tabs>
          <w:tab w:pos="1238" w:val="left"/>
        </w:tabs>
        <w:autoSpaceDE w:val="0"/>
        <w:widowControl/>
        <w:spacing w:line="245" w:lineRule="auto" w:before="0" w:after="0"/>
        <w:ind w:left="968" w:right="288" w:firstLine="0"/>
        <w:jc w:val="left"/>
      </w:pPr>
      <w:r>
        <w:tab/>
      </w:r>
      <w:r>
        <w:rPr>
          <w:u w:val="single" w:color="13377c"/>
          <w:rFonts w:ascii="Lora" w:hAnsi="Lora" w:eastAsia="Lora"/>
          <w:b w:val="0"/>
          <w:i w:val="0"/>
          <w:color w:val="14377D"/>
          <w:sz w:val="18"/>
        </w:rPr>
        <w:hyperlink r:id="rId20" w:history="1">
          <w:r>
            <w:rPr>
              <w:rStyle w:val="Hyperlink"/>
            </w:rPr>
            <w:t>cong</w:t>
          </w:r>
        </w:hyperlink>
      </w:r>
      <w:r>
        <w:rPr>
          <w:u w:val="single" w:color="13377c"/>
          <w:rFonts w:ascii="Lora" w:hAnsi="Lora" w:eastAsia="Lora"/>
          <w:b w:val="0"/>
          <w:i w:val="0"/>
          <w:color w:val="14377D"/>
          <w:sz w:val="18"/>
        </w:rPr>
        <w:hyperlink r:id="rId20" w:history="1">
          <w:r>
            <w:rPr>
              <w:rStyle w:val="Hyperlink"/>
            </w:rPr>
            <w:t>ress.gov/bill/117th-congress/hou</w:t>
          </w:r>
        </w:hyperlink>
      </w:r>
      <w:r>
        <w:rPr>
          <w:u w:val="single" w:color="13377c"/>
          <w:rFonts w:ascii="Lora" w:hAnsi="Lora" w:eastAsia="Lora"/>
          <w:b w:val="0"/>
          <w:i w:val="0"/>
          <w:color w:val="14377D"/>
          <w:sz w:val="18"/>
        </w:rPr>
        <w:hyperlink r:id="rId20" w:history="1">
          <w:r>
            <w:rPr>
              <w:rStyle w:val="Hyperlink"/>
            </w:rPr>
            <w:t xml:space="preserve">se-bill/5376/ </w:t>
          </w:r>
        </w:hyperlink>
      </w:r>
      <w:r>
        <w:tab/>
      </w:r>
      <w:r>
        <w:rPr>
          <w:u w:val="single" w:color="13377c"/>
          <w:rFonts w:ascii="Lora" w:hAnsi="Lora" w:eastAsia="Lora"/>
          <w:b w:val="0"/>
          <w:i w:val="0"/>
          <w:color w:val="14377D"/>
          <w:sz w:val="18"/>
        </w:rPr>
        <w:hyperlink r:id="rId20" w:history="1">
          <w:r>
            <w:rPr>
              <w:rStyle w:val="Hyperlink"/>
            </w:rPr>
            <w:t xml:space="preserve">text </w:t>
          </w:r>
        </w:hyperlink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6. </w:t>
      </w:r>
      <w:r>
        <w:rPr>
          <w:rFonts w:ascii="Lora" w:hAnsi="Lora" w:eastAsia="Lora"/>
          <w:b w:val="0"/>
          <w:i w:val="0"/>
          <w:color w:val="000000"/>
          <w:sz w:val="18"/>
        </w:rPr>
        <w:hyperlink r:id="rId20" w:history="1">
          <w:r>
            <w:rPr>
              <w:rStyle w:val="Hyperlink"/>
            </w:rPr>
            <w:t>Coal</w:t>
          </w:r>
        </w:hyperlink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ition Working Group (AMCP, AOCHP, American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Medical Association, American Society of Health-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System Pharmacists, Department of Veterans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Affairs, National Business Coalition on Health, US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Pharmacopeia). Principles of a sound drug formulary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hyperlink r:id="rId21" w:history="1">
          <w:r>
            <w:rPr>
              <w:rStyle w:val="Hyperlink"/>
            </w:rPr>
            <w:t>system. October 2000. Accessed January 23, 2024.</w:t>
          </w:r>
        </w:hyperlink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 </w:t>
      </w:r>
    </w:p>
    <w:p>
      <w:pPr>
        <w:autoSpaceDN w:val="0"/>
        <w:tabs>
          <w:tab w:pos="1238" w:val="left"/>
        </w:tabs>
        <w:autoSpaceDE w:val="0"/>
        <w:widowControl/>
        <w:spacing w:line="245" w:lineRule="auto" w:before="0" w:after="0"/>
        <w:ind w:left="968" w:right="288" w:firstLine="0"/>
        <w:jc w:val="left"/>
      </w:pPr>
      <w:r>
        <w:tab/>
      </w:r>
      <w:r>
        <w:rPr>
          <w:u w:val="single" w:color="13377c"/>
          <w:rFonts w:ascii="Lora" w:hAnsi="Lora" w:eastAsia="Lora"/>
          <w:b w:val="0"/>
          <w:i w:val="0"/>
          <w:color w:val="14377D"/>
          <w:sz w:val="18"/>
        </w:rPr>
        <w:hyperlink r:id="rId21" w:history="1">
          <w:r>
            <w:rPr>
              <w:rStyle w:val="Hyperlink"/>
            </w:rPr>
            <w:t>https://www.amcp.org/sites/default/files/2019-</w:t>
          </w:r>
        </w:hyperlink>
      </w:r>
      <w:r>
        <w:tab/>
      </w:r>
      <w:r>
        <w:rPr>
          <w:u w:val="single" w:color="13377c"/>
          <w:rFonts w:ascii="Lora" w:hAnsi="Lora" w:eastAsia="Lora"/>
          <w:b w:val="0"/>
          <w:i w:val="0"/>
          <w:color w:val="14377D"/>
          <w:sz w:val="18"/>
        </w:rPr>
        <w:hyperlink r:id="rId21" w:history="1">
          <w:r>
            <w:rPr>
              <w:rStyle w:val="Hyperlink"/>
            </w:rPr>
            <w:t>03/Principles%20of%20</w:t>
          </w:r>
        </w:hyperlink>
      </w:r>
      <w:r>
        <w:rPr>
          <w:u w:val="single" w:color="13377c"/>
          <w:rFonts w:ascii="Lora" w:hAnsi="Lora" w:eastAsia="Lora"/>
          <w:b w:val="0"/>
          <w:i w:val="0"/>
          <w:color w:val="14377D"/>
          <w:sz w:val="18"/>
        </w:rPr>
        <w:hyperlink r:id="rId21" w:history="1">
          <w:r>
            <w:rPr>
              <w:rStyle w:val="Hyperlink"/>
            </w:rPr>
            <w:t xml:space="preserve">a%20Sound%20Drug%20 </w:t>
          </w:r>
        </w:hyperlink>
      </w:r>
      <w:r>
        <w:tab/>
      </w:r>
      <w:r>
        <w:rPr>
          <w:u w:val="single" w:color="13377c"/>
          <w:rFonts w:ascii="Lora" w:hAnsi="Lora" w:eastAsia="Lora"/>
          <w:b w:val="0"/>
          <w:i w:val="0"/>
          <w:color w:val="14377D"/>
          <w:sz w:val="18"/>
        </w:rPr>
        <w:hyperlink r:id="rId21" w:history="1">
          <w:r>
            <w:rPr>
              <w:rStyle w:val="Hyperlink"/>
            </w:rPr>
            <w:t xml:space="preserve">Formulary%20System.pdf </w:t>
          </w:r>
        </w:hyperlink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7. </w:t>
      </w:r>
      <w:r>
        <w:rPr>
          <w:rFonts w:ascii="Lora" w:hAnsi="Lora" w:eastAsia="Lora"/>
          <w:b w:val="0"/>
          <w:i w:val="0"/>
          <w:color w:val="000000"/>
          <w:sz w:val="18"/>
        </w:rPr>
        <w:hyperlink r:id="rId21" w:history="1">
          <w:r>
            <w:rPr>
              <w:rStyle w:val="Hyperlink"/>
            </w:rPr>
            <w:t xml:space="preserve">Tyler LS, Cole SW, May </w:t>
          </w:r>
        </w:hyperlink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JR, et al. ASHP guidelines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on the pharmacy and therapeutics committee and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the formulary system. Am J Health Syst Pharm. </w:t>
      </w:r>
    </w:p>
    <w:p>
      <w:pPr>
        <w:autoSpaceDN w:val="0"/>
        <w:tabs>
          <w:tab w:pos="1238" w:val="left"/>
        </w:tabs>
        <w:autoSpaceDE w:val="0"/>
        <w:widowControl/>
        <w:spacing w:line="245" w:lineRule="auto" w:before="0" w:after="0"/>
        <w:ind w:left="968" w:right="288" w:firstLine="0"/>
        <w:jc w:val="left"/>
      </w:pP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2008;65(13):1272-83. doi: 10.2146/ajhp080086 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8. Schiff GD, Galanter WL, Duhig J, et al. A prescription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for improving drug formulary decision making. PLoS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Med. 2012;9(5):1-7. doi: 10.1371/journal.pmed.1001220 </w:t>
      </w:r>
      <w:r>
        <w:rPr>
          <w:rFonts w:ascii="Lora" w:hAnsi="Lora" w:eastAsia="Lora"/>
          <w:b w:val="0"/>
          <w:i w:val="0"/>
          <w:color w:val="000000"/>
          <w:sz w:val="18"/>
        </w:rPr>
        <w:t>9. Cantrell SA. The PIE Act: a case study in the impor-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tance of persistence in policymaking. A</w:t>
      </w:r>
      <w:r>
        <w:rPr>
          <w:rFonts w:ascii="Lora" w:hAnsi="Lora" w:eastAsia="Lora"/>
          <w:b w:val="0"/>
          <w:i w:val="0"/>
          <w:color w:val="000000"/>
          <w:sz w:val="18"/>
        </w:rPr>
        <w:hyperlink r:id="rId22" w:history="1">
          <w:r>
            <w:rPr>
              <w:rStyle w:val="Hyperlink"/>
            </w:rPr>
            <w:t>MCP. January</w:t>
          </w:r>
        </w:hyperlink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hyperlink r:id="rId22" w:history="1">
          <w:r>
            <w:rPr>
              <w:rStyle w:val="Hyperlink"/>
            </w:rPr>
            <w:t xml:space="preserve">23, 2023. Accessed February 2, 2024. </w:t>
          </w:r>
        </w:hyperlink>
      </w:r>
      <w:r>
        <w:rPr>
          <w:u w:val="single" w:color="13377c"/>
          <w:rFonts w:ascii="Lora" w:hAnsi="Lora" w:eastAsia="Lora"/>
          <w:b w:val="0"/>
          <w:i w:val="0"/>
          <w:color w:val="14377D"/>
          <w:sz w:val="18"/>
        </w:rPr>
        <w:hyperlink r:id="rId22" w:history="1">
          <w:r>
            <w:rPr>
              <w:rStyle w:val="Hyperlink"/>
            </w:rPr>
            <w:t>https://www.</w:t>
          </w:r>
        </w:hyperlink>
      </w:r>
    </w:p>
    <w:p>
      <w:pPr>
        <w:autoSpaceDN w:val="0"/>
        <w:tabs>
          <w:tab w:pos="1238" w:val="left"/>
        </w:tabs>
        <w:autoSpaceDE w:val="0"/>
        <w:widowControl/>
        <w:spacing w:line="245" w:lineRule="auto" w:before="0" w:after="0"/>
        <w:ind w:left="968" w:right="288" w:firstLine="0"/>
        <w:jc w:val="left"/>
      </w:pPr>
      <w:r>
        <w:tab/>
      </w:r>
      <w:r>
        <w:rPr>
          <w:u w:val="single" w:color="13377c"/>
          <w:rFonts w:ascii="Lora" w:hAnsi="Lora" w:eastAsia="Lora"/>
          <w:b w:val="0"/>
          <w:i w:val="0"/>
          <w:color w:val="14377D"/>
          <w:sz w:val="18"/>
        </w:rPr>
        <w:hyperlink r:id="rId22" w:history="1">
          <w:r>
            <w:rPr>
              <w:rStyle w:val="Hyperlink"/>
            </w:rPr>
            <w:t>amcp.org/Resource-Center/blog/p</w:t>
          </w:r>
        </w:hyperlink>
      </w:r>
      <w:r>
        <w:rPr>
          <w:u w:val="single" w:color="13377c"/>
          <w:rFonts w:ascii="Lora" w:hAnsi="Lora" w:eastAsia="Lora"/>
          <w:b w:val="0"/>
          <w:i w:val="0"/>
          <w:color w:val="14377D"/>
          <w:sz w:val="18"/>
        </w:rPr>
        <w:hyperlink r:id="rId22" w:history="1">
          <w:r>
            <w:rPr>
              <w:rStyle w:val="Hyperlink"/>
            </w:rPr>
            <w:t>ie-ac</w:t>
          </w:r>
        </w:hyperlink>
      </w:r>
      <w:r>
        <w:rPr>
          <w:u w:val="single" w:color="13377c"/>
          <w:rFonts w:ascii="Lora" w:hAnsi="Lora" w:eastAsia="Lora"/>
          <w:b w:val="0"/>
          <w:i w:val="0"/>
          <w:color w:val="14377D"/>
          <w:sz w:val="18"/>
        </w:rPr>
        <w:hyperlink r:id="rId22" w:history="1">
          <w:r>
            <w:rPr>
              <w:rStyle w:val="Hyperlink"/>
            </w:rPr>
            <w:t>t-case-</w:t>
          </w:r>
        </w:hyperlink>
      </w:r>
      <w:r>
        <w:tab/>
      </w:r>
      <w:r>
        <w:rPr>
          <w:u w:val="single" w:color="13377c"/>
          <w:rFonts w:ascii="Lora" w:hAnsi="Lora" w:eastAsia="Lora"/>
          <w:b w:val="0"/>
          <w:i w:val="0"/>
          <w:color w:val="14377D"/>
          <w:sz w:val="18"/>
        </w:rPr>
        <w:hyperlink r:id="rId22" w:history="1">
          <w:r>
            <w:rPr>
              <w:rStyle w:val="Hyperlink"/>
            </w:rPr>
            <w:t xml:space="preserve">study-importance-persistence-policymaking </w:t>
          </w:r>
        </w:hyperlink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10. </w:t>
      </w:r>
      <w:r>
        <w:rPr>
          <w:rFonts w:ascii="Lora" w:hAnsi="Lora" w:eastAsia="Lora"/>
          <w:b w:val="0"/>
          <w:i w:val="0"/>
          <w:color w:val="000000"/>
          <w:sz w:val="18"/>
        </w:rPr>
        <w:hyperlink r:id="rId22" w:history="1">
          <w:r>
            <w:rPr>
              <w:rStyle w:val="Hyperlink"/>
            </w:rPr>
            <w:t>AMCP. AMCP format for formulary subm</w:t>
          </w:r>
        </w:hyperlink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issions. </w:t>
      </w:r>
    </w:p>
    <w:p>
      <w:pPr>
        <w:autoSpaceDN w:val="0"/>
        <w:tabs>
          <w:tab w:pos="1238" w:val="left"/>
        </w:tabs>
        <w:autoSpaceDE w:val="0"/>
        <w:widowControl/>
        <w:spacing w:line="245" w:lineRule="auto" w:before="0" w:after="0"/>
        <w:ind w:left="968" w:right="288" w:firstLine="0"/>
        <w:jc w:val="left"/>
      </w:pP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Guidance on submission of pre-approval and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post-approval clinical and economic information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and evidenc</w:t>
      </w:r>
      <w:r>
        <w:rPr>
          <w:rFonts w:ascii="Lora" w:hAnsi="Lora" w:eastAsia="Lora"/>
          <w:b w:val="0"/>
          <w:i w:val="0"/>
          <w:color w:val="000000"/>
          <w:sz w:val="18"/>
        </w:rPr>
        <w:hyperlink r:id="rId23" w:history="1">
          <w:r>
            <w:rPr>
              <w:rStyle w:val="Hyperlink"/>
            </w:rPr>
            <w:t>e (version 4.1). 2020. Accessed January</w:t>
          </w:r>
        </w:hyperlink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hyperlink r:id="rId23" w:history="1">
          <w:r>
            <w:rPr>
              <w:rStyle w:val="Hyperlink"/>
            </w:rPr>
            <w:t xml:space="preserve">23, 2024. </w:t>
          </w:r>
        </w:hyperlink>
      </w:r>
      <w:r>
        <w:rPr>
          <w:u w:val="single" w:color="13377c"/>
          <w:rFonts w:ascii="Lora" w:hAnsi="Lora" w:eastAsia="Lora"/>
          <w:b w:val="0"/>
          <w:i w:val="0"/>
          <w:color w:val="14377D"/>
          <w:sz w:val="18"/>
        </w:rPr>
        <w:hyperlink r:id="rId23" w:history="1">
          <w:r>
            <w:rPr>
              <w:rStyle w:val="Hyperlink"/>
            </w:rPr>
            <w:t>https://www.amcp.org/sites/defaul</w:t>
          </w:r>
        </w:hyperlink>
      </w:r>
      <w:r>
        <w:rPr>
          <w:u w:val="single" w:color="13377c"/>
          <w:rFonts w:ascii="Lora" w:hAnsi="Lora" w:eastAsia="Lora"/>
          <w:b w:val="0"/>
          <w:i w:val="0"/>
          <w:color w:val="14377D"/>
          <w:sz w:val="18"/>
        </w:rPr>
        <w:hyperlink r:id="rId23" w:history="1">
          <w:r>
            <w:rPr>
              <w:rStyle w:val="Hyperlink"/>
            </w:rPr>
            <w:t xml:space="preserve">t/ </w:t>
          </w:r>
        </w:hyperlink>
      </w:r>
      <w:r>
        <w:tab/>
      </w:r>
      <w:r>
        <w:rPr>
          <w:u w:val="single" w:color="13377c"/>
          <w:rFonts w:ascii="Lora" w:hAnsi="Lora" w:eastAsia="Lora"/>
          <w:b w:val="0"/>
          <w:i w:val="0"/>
          <w:color w:val="14377D"/>
          <w:sz w:val="18"/>
        </w:rPr>
        <w:hyperlink r:id="rId23" w:history="1">
          <w:r>
            <w:rPr>
              <w:rStyle w:val="Hyperlink"/>
            </w:rPr>
            <w:t>files/2019-12</w:t>
          </w:r>
        </w:hyperlink>
      </w:r>
      <w:r>
        <w:rPr>
          <w:u w:val="single" w:color="13377c"/>
          <w:rFonts w:ascii="Lora" w:hAnsi="Lora" w:eastAsia="Lora"/>
          <w:b w:val="0"/>
          <w:i w:val="0"/>
          <w:color w:val="14377D"/>
          <w:sz w:val="18"/>
        </w:rPr>
        <w:hyperlink r:id="rId23" w:history="1">
          <w:r>
            <w:rPr>
              <w:rStyle w:val="Hyperlink"/>
            </w:rPr>
            <w:t xml:space="preserve">/AMCP_Format%204.1_1219_final.pdf </w:t>
          </w:r>
        </w:hyperlink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11. </w:t>
      </w:r>
      <w:r>
        <w:rPr>
          <w:rFonts w:ascii="Lora" w:hAnsi="Lora" w:eastAsia="Lora"/>
          <w:b w:val="0"/>
          <w:i w:val="0"/>
          <w:color w:val="000000"/>
          <w:sz w:val="18"/>
        </w:rPr>
        <w:hyperlink r:id="rId23" w:history="1">
          <w:r>
            <w:rPr>
              <w:rStyle w:val="Hyperlink"/>
            </w:rPr>
            <w:t>Prescription Drug Advertising (1962). 21 CFR 20</w:t>
          </w:r>
        </w:hyperlink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2. </w:t>
      </w:r>
    </w:p>
    <w:p>
      <w:pPr>
        <w:autoSpaceDN w:val="0"/>
        <w:autoSpaceDE w:val="0"/>
        <w:widowControl/>
        <w:spacing w:line="223" w:lineRule="auto" w:before="0" w:after="0"/>
        <w:ind w:left="1238" w:right="0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Updated October 17, 2023. Accessed January 23, 2024. </w:t>
      </w:r>
    </w:p>
    <w:p>
      <w:pPr>
        <w:autoSpaceDN w:val="0"/>
        <w:autoSpaceDE w:val="0"/>
        <w:widowControl/>
        <w:spacing w:line="186" w:lineRule="exact" w:before="644" w:after="0"/>
        <w:ind w:left="740" w:right="0" w:firstLine="0"/>
        <w:jc w:val="left"/>
      </w:pPr>
      <w:r>
        <w:rPr>
          <w:rFonts w:ascii="Asap" w:hAnsi="Asap" w:eastAsia="Asap"/>
          <w:b/>
          <w:i w:val="0"/>
          <w:color w:val="14377D"/>
          <w:sz w:val="14"/>
        </w:rPr>
        <w:t>JMCP</w:t>
      </w:r>
      <w:r>
        <w:rPr>
          <w:rFonts w:ascii="Asap" w:hAnsi="Asap" w:eastAsia="Asap"/>
          <w:b w:val="0"/>
          <w:i w:val="0"/>
          <w:color w:val="14377D"/>
          <w:sz w:val="14"/>
        </w:rPr>
        <w:t>.org</w:t>
      </w:r>
      <w:r>
        <w:rPr>
          <w:rFonts w:ascii="Asap" w:hAnsi="Asap" w:eastAsia="Asap"/>
          <w:b w:val="0"/>
          <w:i w:val="0"/>
          <w:color w:val="474C55"/>
          <w:sz w:val="14"/>
        </w:rPr>
        <w:t>|</w:t>
      </w:r>
      <w:r>
        <w:rPr>
          <w:rFonts w:ascii="Asap" w:hAnsi="Asap" w:eastAsia="Asap"/>
          <w:b w:val="0"/>
          <w:i w:val="0"/>
          <w:color w:val="474C55"/>
          <w:sz w:val="14"/>
        </w:rPr>
        <w:t>April 2024</w:t>
      </w:r>
      <w:r>
        <w:rPr>
          <w:rFonts w:ascii="Asap" w:hAnsi="Asap" w:eastAsia="Asap"/>
          <w:b w:val="0"/>
          <w:i w:val="0"/>
          <w:color w:val="474C55"/>
          <w:sz w:val="14"/>
        </w:rPr>
        <w:t>|</w:t>
      </w:r>
      <w:r>
        <w:rPr>
          <w:rFonts w:ascii="Asap" w:hAnsi="Asap" w:eastAsia="Asap"/>
          <w:b w:val="0"/>
          <w:i w:val="0"/>
          <w:color w:val="474C55"/>
          <w:sz w:val="14"/>
        </w:rPr>
        <w:t>Vol. 30, No. 4-B</w:t>
      </w:r>
    </w:p>
    <w:p>
      <w:pPr>
        <w:sectPr>
          <w:type w:val="continuous"/>
          <w:pgSz w:w="11880" w:h="15660"/>
          <w:pgMar w:top="360" w:right="674" w:bottom="266" w:left="0" w:header="720" w:footer="720" w:gutter="0"/>
          <w:cols w:num="2" w:equalWidth="0">
            <w:col w:w="6078" w:space="0"/>
            <w:col w:w="5128" w:space="0"/>
          </w:cols>
          <w:docGrid w:linePitch="360"/>
        </w:sectPr>
      </w:pPr>
    </w:p>
    <w:p>
      <w:pPr>
        <w:autoSpaceDN w:val="0"/>
        <w:tabs>
          <w:tab w:pos="560" w:val="left"/>
          <w:tab w:pos="1430" w:val="left"/>
        </w:tabs>
        <w:autoSpaceDE w:val="0"/>
        <w:widowControl/>
        <w:spacing w:line="245" w:lineRule="auto" w:before="0" w:after="0"/>
        <w:ind w:left="290" w:right="0" w:firstLine="0"/>
        <w:jc w:val="left"/>
      </w:pPr>
      <w:r>
        <w:tab/>
      </w:r>
      <w:r>
        <w:rPr>
          <w:u w:val="single" w:color="13377c"/>
          <w:rFonts w:ascii="Lora" w:hAnsi="Lora" w:eastAsia="Lora"/>
          <w:b w:val="0"/>
          <w:i w:val="0"/>
          <w:color w:val="14377D"/>
          <w:sz w:val="18"/>
        </w:rPr>
        <w:hyperlink r:id="rId24" w:history="1">
          <w:r>
            <w:rPr>
              <w:rStyle w:val="Hyperlink"/>
            </w:rPr>
            <w:t>https://www.accessdata.fda.gov/scrip</w:t>
          </w:r>
        </w:hyperlink>
      </w:r>
      <w:r>
        <w:rPr>
          <w:u w:val="single" w:color="13377c"/>
          <w:rFonts w:ascii="Lora" w:hAnsi="Lora" w:eastAsia="Lora"/>
          <w:b w:val="0"/>
          <w:i w:val="0"/>
          <w:color w:val="14377D"/>
          <w:sz w:val="18"/>
        </w:rPr>
        <w:hyperlink r:id="rId24" w:history="1">
          <w:r>
            <w:rPr>
              <w:rStyle w:val="Hyperlink"/>
            </w:rPr>
            <w:t xml:space="preserve">ts/cdrh/ </w:t>
          </w:r>
        </w:hyperlink>
      </w:r>
      <w:r>
        <w:tab/>
      </w:r>
      <w:r>
        <w:rPr>
          <w:u w:val="single" w:color="13377c"/>
          <w:rFonts w:ascii="Lora" w:hAnsi="Lora" w:eastAsia="Lora"/>
          <w:b w:val="0"/>
          <w:i w:val="0"/>
          <w:color w:val="14377D"/>
          <w:sz w:val="18"/>
        </w:rPr>
        <w:hyperlink r:id="rId24" w:history="1">
          <w:r>
            <w:rPr>
              <w:rStyle w:val="Hyperlink"/>
            </w:rPr>
            <w:t xml:space="preserve">cfdocs/cfcfr/CFRSearch.cfm?CFRPart=202 </w:t>
          </w:r>
        </w:hyperlink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12. </w:t>
      </w:r>
      <w:r>
        <w:rPr>
          <w:rFonts w:ascii="Lora" w:hAnsi="Lora" w:eastAsia="Lora"/>
          <w:b w:val="0"/>
          <w:i w:val="0"/>
          <w:color w:val="000000"/>
          <w:sz w:val="18"/>
        </w:rPr>
        <w:hyperlink r:id="rId24" w:history="1">
          <w:r>
            <w:rPr>
              <w:rStyle w:val="Hyperlink"/>
            </w:rPr>
            <w:t>Food and Drug Administration Moderni</w:t>
          </w:r>
        </w:hyperlink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zation Act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of 1997, 2</w:t>
      </w:r>
      <w:r>
        <w:rPr>
          <w:rFonts w:ascii="Lora" w:hAnsi="Lora" w:eastAsia="Lora"/>
          <w:b w:val="0"/>
          <w:i w:val="0"/>
          <w:color w:val="000000"/>
          <w:sz w:val="18"/>
        </w:rPr>
        <w:hyperlink r:id="rId25" w:history="1">
          <w:r>
            <w:rPr>
              <w:rStyle w:val="Hyperlink"/>
            </w:rPr>
            <w:t>1 USC §114 (1997). Accessed January 23,</w:t>
          </w:r>
        </w:hyperlink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hyperlink r:id="rId25" w:history="1">
          <w:r>
            <w:rPr>
              <w:rStyle w:val="Hyperlink"/>
            </w:rPr>
            <w:t xml:space="preserve">2024. </w:t>
          </w:r>
        </w:hyperlink>
      </w:r>
      <w:r>
        <w:tab/>
      </w:r>
      <w:r>
        <w:rPr>
          <w:u w:val="single" w:color="13377c"/>
          <w:rFonts w:ascii="Lora" w:hAnsi="Lora" w:eastAsia="Lora"/>
          <w:b w:val="0"/>
          <w:i w:val="0"/>
          <w:color w:val="14377D"/>
          <w:sz w:val="18"/>
        </w:rPr>
        <w:hyperlink r:id="rId25" w:history="1">
          <w:r>
            <w:rPr>
              <w:rStyle w:val="Hyperlink"/>
            </w:rPr>
            <w:t>https:</w:t>
          </w:r>
        </w:hyperlink>
      </w:r>
      <w:r>
        <w:rPr>
          <w:u w:val="single" w:color="13377c"/>
          <w:rFonts w:ascii="Lora" w:hAnsi="Lora" w:eastAsia="Lora"/>
          <w:b w:val="0"/>
          <w:i w:val="0"/>
          <w:color w:val="14377D"/>
          <w:sz w:val="18"/>
        </w:rPr>
        <w:hyperlink r:id="rId25" w:history="1">
          <w:r>
            <w:rPr>
              <w:rStyle w:val="Hyperlink"/>
            </w:rPr>
            <w:t xml:space="preserve">//www.govinfo.gov/app/details/ </w:t>
          </w:r>
        </w:hyperlink>
      </w:r>
      <w:r>
        <w:tab/>
      </w:r>
      <w:r>
        <w:rPr>
          <w:u w:val="single" w:color="13377c"/>
          <w:rFonts w:ascii="Lora" w:hAnsi="Lora" w:eastAsia="Lora"/>
          <w:b w:val="0"/>
          <w:i w:val="0"/>
          <w:color w:val="14377D"/>
          <w:sz w:val="18"/>
        </w:rPr>
        <w:hyperlink r:id="rId25" w:history="1">
          <w:r>
            <w:rPr>
              <w:rStyle w:val="Hyperlink"/>
            </w:rPr>
            <w:t>PLAW-105</w:t>
          </w:r>
        </w:hyperlink>
      </w:r>
      <w:r>
        <w:rPr>
          <w:u w:val="single" w:color="13377c"/>
          <w:rFonts w:ascii="Lora" w:hAnsi="Lora" w:eastAsia="Lora"/>
          <w:b w:val="0"/>
          <w:i w:val="0"/>
          <w:color w:val="14377D"/>
          <w:sz w:val="18"/>
        </w:rPr>
        <w:hyperlink r:id="rId25" w:history="1">
          <w:r>
            <w:rPr>
              <w:rStyle w:val="Hyperlink"/>
            </w:rPr>
            <w:t xml:space="preserve">publ115 </w:t>
          </w:r>
        </w:hyperlink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13. </w:t>
      </w:r>
      <w:r>
        <w:rPr>
          <w:rFonts w:ascii="Lora" w:hAnsi="Lora" w:eastAsia="Lora"/>
          <w:b w:val="0"/>
          <w:i w:val="0"/>
          <w:color w:val="000000"/>
          <w:sz w:val="18"/>
        </w:rPr>
        <w:hyperlink r:id="rId25" w:history="1">
          <w:r>
            <w:rPr>
              <w:rStyle w:val="Hyperlink"/>
            </w:rPr>
            <w:t>21st Century Cur</w:t>
          </w:r>
        </w:hyperlink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es Act, Pub L No. 114-255, 130 Stat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1033 (2016). Accessed January 23, 2024.</w:t>
      </w:r>
      <w:r>
        <w:rPr>
          <w:u w:val="single" w:color="13377c"/>
          <w:rFonts w:ascii="Lora" w:hAnsi="Lora" w:eastAsia="Lora"/>
          <w:b w:val="0"/>
          <w:i w:val="0"/>
          <w:color w:val="14377D"/>
          <w:sz w:val="18"/>
        </w:rPr>
        <w:t xml:space="preserve"> https://www.</w:t>
      </w:r>
    </w:p>
    <w:p>
      <w:pPr>
        <w:autoSpaceDN w:val="0"/>
        <w:tabs>
          <w:tab w:pos="560" w:val="left"/>
        </w:tabs>
        <w:autoSpaceDE w:val="0"/>
        <w:widowControl/>
        <w:spacing w:line="245" w:lineRule="auto" w:before="0" w:after="0"/>
        <w:ind w:left="290" w:right="0" w:firstLine="0"/>
        <w:jc w:val="left"/>
      </w:pPr>
      <w:r>
        <w:tab/>
      </w:r>
      <w:r>
        <w:rPr>
          <w:u w:val="single" w:color="13377c"/>
          <w:rFonts w:ascii="Lora" w:hAnsi="Lora" w:eastAsia="Lora"/>
          <w:b w:val="0"/>
          <w:i w:val="0"/>
          <w:color w:val="14377D"/>
          <w:sz w:val="18"/>
        </w:rPr>
        <w:t xml:space="preserve">govinfo.gov/content/pkg/PLAW-114publ255/html/ </w:t>
      </w:r>
      <w:r>
        <w:tab/>
      </w:r>
      <w:r>
        <w:rPr>
          <w:u w:val="single" w:color="13377c"/>
          <w:rFonts w:ascii="Lora" w:hAnsi="Lora" w:eastAsia="Lora"/>
          <w:b w:val="0"/>
          <w:i w:val="0"/>
          <w:color w:val="14377D"/>
          <w:sz w:val="18"/>
        </w:rPr>
        <w:t xml:space="preserve">PLAW-114publ255.htm 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14. U.S. Food &amp; Drug Administration. Responding to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unsolicited requests for off-label information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about prescription drugs and medical devices. </w:t>
      </w:r>
    </w:p>
    <w:p>
      <w:pPr>
        <w:autoSpaceDN w:val="0"/>
        <w:tabs>
          <w:tab w:pos="560" w:val="left"/>
          <w:tab w:pos="1156" w:val="left"/>
          <w:tab w:pos="1972" w:val="left"/>
        </w:tabs>
        <w:autoSpaceDE w:val="0"/>
        <w:widowControl/>
        <w:spacing w:line="245" w:lineRule="auto" w:before="0" w:after="0"/>
        <w:ind w:left="290" w:right="0" w:firstLine="0"/>
        <w:jc w:val="left"/>
      </w:pP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Draft guidance. </w:t>
      </w:r>
      <w:r>
        <w:rPr>
          <w:rFonts w:ascii="Lora" w:hAnsi="Lora" w:eastAsia="Lora"/>
          <w:b w:val="0"/>
          <w:i w:val="0"/>
          <w:color w:val="000000"/>
          <w:sz w:val="18"/>
        </w:rPr>
        <w:hyperlink r:id="rId26" w:history="1">
          <w:r>
            <w:rPr>
              <w:rStyle w:val="Hyperlink"/>
            </w:rPr>
            <w:t>December 2011. Accessed January</w:t>
          </w:r>
        </w:hyperlink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hyperlink r:id="rId26" w:history="1">
          <w:r>
            <w:rPr>
              <w:rStyle w:val="Hyperlink"/>
            </w:rPr>
            <w:t xml:space="preserve">23, </w:t>
          </w:r>
        </w:hyperlink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hyperlink r:id="rId26" w:history="1">
          <w:r>
            <w:rPr>
              <w:rStyle w:val="Hyperlink"/>
            </w:rPr>
            <w:t xml:space="preserve">2024. </w:t>
          </w:r>
        </w:hyperlink>
      </w:r>
      <w:r>
        <w:tab/>
      </w:r>
      <w:r>
        <w:rPr>
          <w:u w:val="single" w:color="13377c"/>
          <w:rFonts w:ascii="Lora" w:hAnsi="Lora" w:eastAsia="Lora"/>
          <w:b w:val="0"/>
          <w:i w:val="0"/>
          <w:color w:val="14377D"/>
          <w:sz w:val="18"/>
        </w:rPr>
        <w:hyperlink r:id="rId26" w:history="1">
          <w:r>
            <w:rPr>
              <w:rStyle w:val="Hyperlink"/>
            </w:rPr>
            <w:t>https://www.fda.gov/regulatory-</w:t>
          </w:r>
        </w:hyperlink>
      </w:r>
      <w:r>
        <w:tab/>
      </w:r>
      <w:r>
        <w:rPr>
          <w:u w:val="single" w:color="13377c"/>
          <w:rFonts w:ascii="Lora" w:hAnsi="Lora" w:eastAsia="Lora"/>
          <w:b w:val="0"/>
          <w:i w:val="0"/>
          <w:color w:val="14377D"/>
          <w:sz w:val="18"/>
        </w:rPr>
        <w:hyperlink r:id="rId26" w:history="1">
          <w:r>
            <w:rPr>
              <w:rStyle w:val="Hyperlink"/>
            </w:rPr>
            <w:t>information/se</w:t>
          </w:r>
        </w:hyperlink>
      </w:r>
      <w:r>
        <w:rPr>
          <w:u w:val="single" w:color="13377c"/>
          <w:rFonts w:ascii="Lora" w:hAnsi="Lora" w:eastAsia="Lora"/>
          <w:b w:val="0"/>
          <w:i w:val="0"/>
          <w:color w:val="14377D"/>
          <w:sz w:val="18"/>
        </w:rPr>
        <w:hyperlink r:id="rId26" w:history="1">
          <w:r>
            <w:rPr>
              <w:rStyle w:val="Hyperlink"/>
            </w:rPr>
            <w:t xml:space="preserve">arch-fda-guidance-documents/ </w:t>
          </w:r>
        </w:hyperlink>
      </w:r>
      <w:r>
        <w:tab/>
      </w:r>
      <w:r>
        <w:rPr>
          <w:u w:val="single" w:color="13377c"/>
          <w:rFonts w:ascii="Lora" w:hAnsi="Lora" w:eastAsia="Lora"/>
          <w:b w:val="0"/>
          <w:i w:val="0"/>
          <w:color w:val="14377D"/>
          <w:sz w:val="18"/>
        </w:rPr>
        <w:hyperlink r:id="rId26" w:history="1">
          <w:r>
            <w:rPr>
              <w:rStyle w:val="Hyperlink"/>
            </w:rPr>
            <w:t>responding-unsolicited-requests-label-informa</w:t>
          </w:r>
        </w:hyperlink>
      </w:r>
      <w:r>
        <w:rPr>
          <w:u w:val="single" w:color="13377c"/>
          <w:rFonts w:ascii="Lora" w:hAnsi="Lora" w:eastAsia="Lora"/>
          <w:b w:val="0"/>
          <w:i w:val="0"/>
          <w:color w:val="14377D"/>
          <w:sz w:val="18"/>
        </w:rPr>
        <w:hyperlink r:id="rId26" w:history="1">
          <w:r>
            <w:rPr>
              <w:rStyle w:val="Hyperlink"/>
            </w:rPr>
            <w:t>tion-</w:t>
          </w:r>
        </w:hyperlink>
      </w:r>
      <w:r>
        <w:tab/>
      </w:r>
      <w:r>
        <w:rPr>
          <w:u w:val="single" w:color="13377c"/>
          <w:rFonts w:ascii="Lora" w:hAnsi="Lora" w:eastAsia="Lora"/>
          <w:b w:val="0"/>
          <w:i w:val="0"/>
          <w:color w:val="14377D"/>
          <w:sz w:val="18"/>
        </w:rPr>
        <w:hyperlink r:id="rId26" w:history="1">
          <w:r>
            <w:rPr>
              <w:rStyle w:val="Hyperlink"/>
            </w:rPr>
            <w:t xml:space="preserve">about-prescription-drugs-and-medical-devices </w:t>
          </w:r>
        </w:hyperlink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15. </w:t>
      </w:r>
      <w:r>
        <w:rPr>
          <w:rFonts w:ascii="Lora" w:hAnsi="Lora" w:eastAsia="Lora"/>
          <w:b w:val="0"/>
          <w:i w:val="0"/>
          <w:color w:val="000000"/>
          <w:sz w:val="18"/>
        </w:rPr>
        <w:hyperlink r:id="rId26" w:history="1">
          <w:r>
            <w:rPr>
              <w:rStyle w:val="Hyperlink"/>
            </w:rPr>
            <w:t>U.S. Food &amp; Drug Administration. Ques</w:t>
          </w:r>
        </w:hyperlink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tions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and answers on biosimilar development and the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BPCI Act. Guidance for indu</w:t>
      </w:r>
      <w:r>
        <w:rPr>
          <w:rFonts w:ascii="Lora" w:hAnsi="Lora" w:eastAsia="Lora"/>
          <w:b w:val="0"/>
          <w:i w:val="0"/>
          <w:color w:val="000000"/>
          <w:sz w:val="18"/>
        </w:rPr>
        <w:hyperlink r:id="rId27" w:history="1">
          <w:r>
            <w:rPr>
              <w:rStyle w:val="Hyperlink"/>
            </w:rPr>
            <w:t>stry. September 2021.</w:t>
          </w:r>
        </w:hyperlink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 </w:t>
      </w:r>
    </w:p>
    <w:p>
      <w:pPr>
        <w:autoSpaceDN w:val="0"/>
        <w:tabs>
          <w:tab w:pos="560" w:val="left"/>
        </w:tabs>
        <w:autoSpaceDE w:val="0"/>
        <w:widowControl/>
        <w:spacing w:line="245" w:lineRule="auto" w:before="0" w:after="0"/>
        <w:ind w:left="290" w:right="0" w:firstLine="0"/>
        <w:jc w:val="left"/>
      </w:pP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hyperlink r:id="rId27" w:history="1">
          <w:r>
            <w:rPr>
              <w:rStyle w:val="Hyperlink"/>
            </w:rPr>
            <w:t>Accessed January 23, 2</w:t>
          </w:r>
        </w:hyperlink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024. </w:t>
      </w:r>
      <w:r>
        <w:rPr>
          <w:u w:val="single" w:color="13377c"/>
          <w:rFonts w:ascii="Lora" w:hAnsi="Lora" w:eastAsia="Lora"/>
          <w:b w:val="0"/>
          <w:i w:val="0"/>
          <w:color w:val="14377D"/>
          <w:sz w:val="18"/>
        </w:rPr>
        <w:hyperlink r:id="rId27" w:history="1">
          <w:r>
            <w:rPr>
              <w:rStyle w:val="Hyperlink"/>
            </w:rPr>
            <w:t xml:space="preserve">https://www.fda.gov/ </w:t>
          </w:r>
        </w:hyperlink>
      </w:r>
      <w:r>
        <w:tab/>
      </w:r>
      <w:r>
        <w:rPr>
          <w:u w:val="single" w:color="13377c"/>
          <w:rFonts w:ascii="Lora" w:hAnsi="Lora" w:eastAsia="Lora"/>
          <w:b w:val="0"/>
          <w:i w:val="0"/>
          <w:color w:val="14377D"/>
          <w:sz w:val="18"/>
        </w:rPr>
        <w:hyperlink r:id="rId27" w:history="1">
          <w:r>
            <w:rPr>
              <w:rStyle w:val="Hyperlink"/>
            </w:rPr>
            <w:t xml:space="preserve">media/119258/download </w:t>
          </w:r>
        </w:hyperlink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16. </w:t>
      </w:r>
      <w:r>
        <w:rPr>
          <w:rFonts w:ascii="Lora" w:hAnsi="Lora" w:eastAsia="Lora"/>
          <w:b w:val="0"/>
          <w:i w:val="0"/>
          <w:color w:val="000000"/>
          <w:sz w:val="18"/>
        </w:rPr>
        <w:hyperlink r:id="rId27" w:history="1">
          <w:r>
            <w:rPr>
              <w:rStyle w:val="Hyperlink"/>
            </w:rPr>
            <w:t>U.S. Food &amp; Drug Adm</w:t>
          </w:r>
        </w:hyperlink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inistration. Considerations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in demonstrating interchangeability with a refer-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ence product. Guidance for </w:t>
      </w:r>
      <w:r>
        <w:rPr>
          <w:rFonts w:ascii="Lora" w:hAnsi="Lora" w:eastAsia="Lora"/>
          <w:b w:val="0"/>
          <w:i w:val="0"/>
          <w:color w:val="000000"/>
          <w:sz w:val="18"/>
        </w:rPr>
        <w:hyperlink r:id="rId28" w:history="1">
          <w:r>
            <w:rPr>
              <w:rStyle w:val="Hyperlink"/>
            </w:rPr>
            <w:t>industry. May 2019.</w:t>
          </w:r>
        </w:hyperlink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 </w:t>
      </w:r>
    </w:p>
    <w:p>
      <w:pPr>
        <w:autoSpaceDN w:val="0"/>
        <w:tabs>
          <w:tab w:pos="560" w:val="left"/>
        </w:tabs>
        <w:autoSpaceDE w:val="0"/>
        <w:widowControl/>
        <w:spacing w:line="245" w:lineRule="auto" w:before="0" w:after="0"/>
        <w:ind w:left="290" w:right="0" w:firstLine="0"/>
        <w:jc w:val="left"/>
      </w:pP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hyperlink r:id="rId28" w:history="1">
          <w:r>
            <w:rPr>
              <w:rStyle w:val="Hyperlink"/>
            </w:rPr>
            <w:t>Accessed January 23, 2</w:t>
          </w:r>
        </w:hyperlink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024. </w:t>
      </w:r>
      <w:r>
        <w:rPr>
          <w:u w:val="single" w:color="13377c"/>
          <w:rFonts w:ascii="Lora" w:hAnsi="Lora" w:eastAsia="Lora"/>
          <w:b w:val="0"/>
          <w:i w:val="0"/>
          <w:color w:val="14377D"/>
          <w:sz w:val="18"/>
        </w:rPr>
        <w:hyperlink r:id="rId28" w:history="1">
          <w:r>
            <w:rPr>
              <w:rStyle w:val="Hyperlink"/>
            </w:rPr>
            <w:t xml:space="preserve">https://www.fda.gov/ </w:t>
          </w:r>
        </w:hyperlink>
      </w:r>
      <w:r>
        <w:tab/>
      </w:r>
      <w:r>
        <w:rPr>
          <w:u w:val="single" w:color="13377c"/>
          <w:rFonts w:ascii="Lora" w:hAnsi="Lora" w:eastAsia="Lora"/>
          <w:b w:val="0"/>
          <w:i w:val="0"/>
          <w:color w:val="14377D"/>
          <w:sz w:val="18"/>
        </w:rPr>
        <w:hyperlink r:id="rId28" w:history="1">
          <w:r>
            <w:rPr>
              <w:rStyle w:val="Hyperlink"/>
            </w:rPr>
            <w:t xml:space="preserve">media/124907/download </w:t>
          </w:r>
        </w:hyperlink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17. </w:t>
      </w:r>
      <w:r>
        <w:rPr>
          <w:rFonts w:ascii="Lora" w:hAnsi="Lora" w:eastAsia="Lora"/>
          <w:b w:val="0"/>
          <w:i w:val="0"/>
          <w:color w:val="000000"/>
          <w:sz w:val="18"/>
        </w:rPr>
        <w:hyperlink r:id="rId28" w:history="1">
          <w:r>
            <w:rPr>
              <w:rStyle w:val="Hyperlink"/>
            </w:rPr>
            <w:t>Biologics Price Competi</w:t>
          </w:r>
        </w:hyperlink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tion and Innovation (BPCI)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Act of 2009. Pub L No. 111-148, Stat 124, §7001-7003. </w:t>
      </w:r>
    </w:p>
    <w:p>
      <w:pPr>
        <w:autoSpaceDN w:val="0"/>
        <w:autoSpaceDE w:val="0"/>
        <w:widowControl/>
        <w:spacing w:line="223" w:lineRule="auto" w:before="0" w:after="0"/>
        <w:ind w:left="560" w:right="0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hyperlink r:id="rId29" w:history="1">
          <w:r>
            <w:rPr>
              <w:rStyle w:val="Hyperlink"/>
            </w:rPr>
            <w:t>Updated March 2023. Accessed January 23, 2024.</w:t>
          </w:r>
        </w:hyperlink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 </w:t>
      </w:r>
    </w:p>
    <w:p>
      <w:pPr>
        <w:autoSpaceDN w:val="0"/>
        <w:tabs>
          <w:tab w:pos="560" w:val="left"/>
        </w:tabs>
        <w:autoSpaceDE w:val="0"/>
        <w:widowControl/>
        <w:spacing w:line="245" w:lineRule="auto" w:before="0" w:after="0"/>
        <w:ind w:left="290" w:right="0" w:firstLine="0"/>
        <w:jc w:val="left"/>
      </w:pPr>
      <w:r>
        <w:tab/>
      </w:r>
      <w:r>
        <w:rPr>
          <w:u w:val="single" w:color="13377c"/>
          <w:rFonts w:ascii="Lora" w:hAnsi="Lora" w:eastAsia="Lora"/>
          <w:b w:val="0"/>
          <w:i w:val="0"/>
          <w:color w:val="14377D"/>
          <w:sz w:val="18"/>
        </w:rPr>
        <w:hyperlink r:id="rId29" w:history="1">
          <w:r>
            <w:rPr>
              <w:rStyle w:val="Hyperlink"/>
            </w:rPr>
            <w:t>https://www.cong</w:t>
          </w:r>
        </w:hyperlink>
      </w:r>
      <w:r>
        <w:rPr>
          <w:u w:val="single" w:color="13377c"/>
          <w:rFonts w:ascii="Lora" w:hAnsi="Lora" w:eastAsia="Lora"/>
          <w:b w:val="0"/>
          <w:i w:val="0"/>
          <w:color w:val="14377D"/>
          <w:sz w:val="18"/>
        </w:rPr>
        <w:hyperlink r:id="rId29" w:history="1">
          <w:r>
            <w:rPr>
              <w:rStyle w:val="Hyperlink"/>
            </w:rPr>
            <w:t xml:space="preserve">ress.gov/111/plaws/publ148/ </w:t>
          </w:r>
        </w:hyperlink>
      </w:r>
      <w:r>
        <w:tab/>
      </w:r>
      <w:r>
        <w:rPr>
          <w:u w:val="single" w:color="13377c"/>
          <w:rFonts w:ascii="Lora" w:hAnsi="Lora" w:eastAsia="Lora"/>
          <w:b w:val="0"/>
          <w:i w:val="0"/>
          <w:color w:val="14377D"/>
          <w:sz w:val="18"/>
        </w:rPr>
        <w:hyperlink r:id="rId29" w:history="1">
          <w:r>
            <w:rPr>
              <w:rStyle w:val="Hyperlink"/>
            </w:rPr>
            <w:t xml:space="preserve">PLAW-111publ148.pdf </w:t>
          </w:r>
        </w:hyperlink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18. </w:t>
      </w:r>
      <w:r>
        <w:rPr>
          <w:rFonts w:ascii="Lora" w:hAnsi="Lora" w:eastAsia="Lora"/>
          <w:b w:val="0"/>
          <w:i w:val="0"/>
          <w:color w:val="000000"/>
          <w:sz w:val="18"/>
        </w:rPr>
        <w:hyperlink r:id="rId29" w:history="1">
          <w:r>
            <w:rPr>
              <w:rStyle w:val="Hyperlink"/>
            </w:rPr>
            <w:t xml:space="preserve">U.S. Food &amp; Drug </w:t>
          </w:r>
        </w:hyperlink>
      </w:r>
      <w:r>
        <w:rPr>
          <w:rFonts w:ascii="Lora" w:hAnsi="Lora" w:eastAsia="Lora"/>
          <w:b w:val="0"/>
          <w:i w:val="0"/>
          <w:color w:val="000000"/>
          <w:sz w:val="18"/>
        </w:rPr>
        <w:t>Administration. Scientific con-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siderations in demonstrating biosimilarity to a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reference product. Guidance f</w:t>
      </w:r>
      <w:r>
        <w:rPr>
          <w:rFonts w:ascii="Lora" w:hAnsi="Lora" w:eastAsia="Lora"/>
          <w:b w:val="0"/>
          <w:i w:val="0"/>
          <w:color w:val="000000"/>
          <w:sz w:val="18"/>
        </w:rPr>
        <w:hyperlink r:id="rId30" w:history="1">
          <w:r>
            <w:rPr>
              <w:rStyle w:val="Hyperlink"/>
            </w:rPr>
            <w:t>or industry. April 2015.</w:t>
          </w:r>
        </w:hyperlink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 </w:t>
      </w:r>
    </w:p>
    <w:p>
      <w:pPr>
        <w:autoSpaceDN w:val="0"/>
        <w:tabs>
          <w:tab w:pos="560" w:val="left"/>
        </w:tabs>
        <w:autoSpaceDE w:val="0"/>
        <w:widowControl/>
        <w:spacing w:line="245" w:lineRule="auto" w:before="0" w:after="0"/>
        <w:ind w:left="290" w:right="0" w:firstLine="0"/>
        <w:jc w:val="left"/>
      </w:pP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hyperlink r:id="rId30" w:history="1">
          <w:r>
            <w:rPr>
              <w:rStyle w:val="Hyperlink"/>
            </w:rPr>
            <w:t xml:space="preserve">Accessed January 23, </w:t>
          </w:r>
        </w:hyperlink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2024. </w:t>
      </w:r>
      <w:r>
        <w:rPr>
          <w:u w:val="single" w:color="13377c"/>
          <w:rFonts w:ascii="Lora" w:hAnsi="Lora" w:eastAsia="Lora"/>
          <w:b w:val="0"/>
          <w:i w:val="0"/>
          <w:color w:val="14377D"/>
          <w:sz w:val="18"/>
        </w:rPr>
        <w:hyperlink r:id="rId30" w:history="1">
          <w:r>
            <w:rPr>
              <w:rStyle w:val="Hyperlink"/>
            </w:rPr>
            <w:t xml:space="preserve">https://www.fda.gov/ </w:t>
          </w:r>
        </w:hyperlink>
      </w:r>
      <w:r>
        <w:tab/>
      </w:r>
      <w:r>
        <w:rPr>
          <w:u w:val="single" w:color="13377c"/>
          <w:rFonts w:ascii="Lora" w:hAnsi="Lora" w:eastAsia="Lora"/>
          <w:b w:val="0"/>
          <w:i w:val="0"/>
          <w:color w:val="14377D"/>
          <w:sz w:val="18"/>
        </w:rPr>
        <w:hyperlink r:id="rId30" w:history="1">
          <w:r>
            <w:rPr>
              <w:rStyle w:val="Hyperlink"/>
            </w:rPr>
            <w:t xml:space="preserve">media/82647/download </w:t>
          </w:r>
        </w:hyperlink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19. </w:t>
      </w:r>
      <w:r>
        <w:rPr>
          <w:rFonts w:ascii="Lora" w:hAnsi="Lora" w:eastAsia="Lora"/>
          <w:b w:val="0"/>
          <w:i w:val="0"/>
          <w:color w:val="000000"/>
          <w:sz w:val="18"/>
        </w:rPr>
        <w:hyperlink r:id="rId30" w:history="1">
          <w:r>
            <w:rPr>
              <w:rStyle w:val="Hyperlink"/>
            </w:rPr>
            <w:t>U.S. Food &amp; Drug Ad</w:t>
          </w:r>
        </w:hyperlink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ministration. Development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of therapeutic protein biosimilars: comparative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analytical assessment and other quality-related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considerations. Guidance for</w:t>
      </w:r>
      <w:r>
        <w:rPr>
          <w:rFonts w:ascii="Lora" w:hAnsi="Lora" w:eastAsia="Lora"/>
          <w:b w:val="0"/>
          <w:i w:val="0"/>
          <w:color w:val="000000"/>
          <w:sz w:val="18"/>
        </w:rPr>
        <w:hyperlink r:id="rId31" w:history="1">
          <w:r>
            <w:rPr>
              <w:rStyle w:val="Hyperlink"/>
            </w:rPr>
            <w:t xml:space="preserve"> industry. May 2019.</w:t>
          </w:r>
        </w:hyperlink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 </w:t>
      </w:r>
    </w:p>
    <w:p>
      <w:pPr>
        <w:autoSpaceDN w:val="0"/>
        <w:tabs>
          <w:tab w:pos="560" w:val="left"/>
        </w:tabs>
        <w:autoSpaceDE w:val="0"/>
        <w:widowControl/>
        <w:spacing w:line="245" w:lineRule="auto" w:before="0" w:after="0"/>
        <w:ind w:left="290" w:right="0" w:firstLine="0"/>
        <w:jc w:val="left"/>
      </w:pP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hyperlink r:id="rId31" w:history="1">
          <w:r>
            <w:rPr>
              <w:rStyle w:val="Hyperlink"/>
            </w:rPr>
            <w:t>Accessed January 23, 2</w:t>
          </w:r>
        </w:hyperlink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024. </w:t>
      </w:r>
      <w:r>
        <w:rPr>
          <w:u w:val="single" w:color="13377c"/>
          <w:rFonts w:ascii="Lora" w:hAnsi="Lora" w:eastAsia="Lora"/>
          <w:b w:val="0"/>
          <w:i w:val="0"/>
          <w:color w:val="14377D"/>
          <w:sz w:val="18"/>
        </w:rPr>
        <w:hyperlink r:id="rId31" w:history="1">
          <w:r>
            <w:rPr>
              <w:rStyle w:val="Hyperlink"/>
            </w:rPr>
            <w:t xml:space="preserve">https://www.fda.gov/ </w:t>
          </w:r>
        </w:hyperlink>
      </w:r>
      <w:r>
        <w:tab/>
      </w:r>
      <w:r>
        <w:rPr>
          <w:u w:val="single" w:color="13377c"/>
          <w:rFonts w:ascii="Lora" w:hAnsi="Lora" w:eastAsia="Lora"/>
          <w:b w:val="0"/>
          <w:i w:val="0"/>
          <w:color w:val="14377D"/>
          <w:sz w:val="18"/>
        </w:rPr>
        <w:hyperlink r:id="rId31" w:history="1">
          <w:r>
            <w:rPr>
              <w:rStyle w:val="Hyperlink"/>
            </w:rPr>
            <w:t xml:space="preserve">media/159261/download </w:t>
          </w:r>
        </w:hyperlink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>20.</w:t>
      </w:r>
      <w:r>
        <w:rPr>
          <w:rFonts w:ascii="Lora" w:hAnsi="Lora" w:eastAsia="Lora"/>
          <w:b w:val="0"/>
          <w:i w:val="0"/>
          <w:color w:val="000000"/>
          <w:sz w:val="18"/>
        </w:rPr>
        <w:hyperlink r:id="rId31" w:history="1">
          <w:r>
            <w:rPr>
              <w:rStyle w:val="Hyperlink"/>
            </w:rPr>
            <w:t xml:space="preserve"> U.S. Food &amp; Drug Adm</w:t>
          </w:r>
        </w:hyperlink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inistration. Nonproprietary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naming of biological products: update. Guidance for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hyperlink r:id="rId32" w:history="1">
          <w:r>
            <w:rPr>
              <w:rStyle w:val="Hyperlink"/>
            </w:rPr>
            <w:t xml:space="preserve">industry. March 2019. Accessed January 23, </w:t>
          </w:r>
        </w:hyperlink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2024. </w:t>
      </w:r>
    </w:p>
    <w:p>
      <w:pPr>
        <w:autoSpaceDN w:val="0"/>
        <w:autoSpaceDE w:val="0"/>
        <w:widowControl/>
        <w:spacing w:line="223" w:lineRule="auto" w:before="0" w:after="0"/>
        <w:ind w:left="0" w:right="0" w:firstLine="0"/>
        <w:jc w:val="center"/>
      </w:pPr>
      <w:r>
        <w:rPr>
          <w:u w:val="single" w:color="13377c"/>
          <w:rFonts w:ascii="Lora" w:hAnsi="Lora" w:eastAsia="Lora"/>
          <w:b w:val="0"/>
          <w:i w:val="0"/>
          <w:color w:val="14377D"/>
          <w:sz w:val="18"/>
        </w:rPr>
        <w:hyperlink r:id="rId32" w:history="1">
          <w:r>
            <w:rPr>
              <w:rStyle w:val="Hyperlink"/>
            </w:rPr>
            <w:t xml:space="preserve">https://www.fda.gov/media/121316/download </w:t>
          </w:r>
        </w:hyperlink>
      </w:r>
    </w:p>
    <w:p>
      <w:pPr>
        <w:sectPr>
          <w:type w:val="nextColumn"/>
          <w:pgSz w:w="11880" w:h="15660"/>
          <w:pgMar w:top="360" w:right="674" w:bottom="266" w:left="0" w:header="720" w:footer="720" w:gutter="0"/>
          <w:cols w:num="2" w:equalWidth="0">
            <w:col w:w="6078" w:space="0"/>
            <w:col w:w="5128" w:space="0"/>
          </w:cols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090.0" w:type="dxa"/>
      </w:tblPr>
      <w:tblGrid>
        <w:gridCol w:w="4725"/>
        <w:gridCol w:w="4725"/>
      </w:tblGrid>
      <w:tr>
        <w:trPr>
          <w:trHeight w:hRule="exact" w:val="362"/>
        </w:trPr>
        <w:tc>
          <w:tcPr>
            <w:tcW w:type="dxa" w:w="570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4" w:after="0"/>
              <w:ind w:left="0" w:right="90" w:firstLine="0"/>
              <w:jc w:val="right"/>
            </w:pPr>
            <w:r>
              <w:rPr>
                <w:rFonts w:ascii="Asap" w:hAnsi="Asap" w:eastAsia="Asap"/>
                <w:b/>
                <w:i w:val="0"/>
                <w:color w:val="474C55"/>
                <w:sz w:val="18"/>
              </w:rPr>
              <w:t>AMCP FORMAT 5.0</w:t>
            </w:r>
          </w:p>
        </w:tc>
        <w:tc>
          <w:tcPr>
            <w:tcW w:type="dxa" w:w="1094"/>
            <w:tcBorders/>
            <w:shd w:fill="6b146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72" w:after="0"/>
              <w:ind w:left="90" w:right="0" w:firstLine="0"/>
              <w:jc w:val="left"/>
            </w:pPr>
            <w:r>
              <w:rPr>
                <w:rFonts w:ascii="Asap" w:hAnsi="Asap" w:eastAsia="Asap"/>
                <w:b/>
                <w:i w:val="0"/>
                <w:color w:val="FFFFFF"/>
                <w:sz w:val="18"/>
              </w:rPr>
              <w:t>61</w:t>
            </w:r>
          </w:p>
        </w:tc>
      </w:tr>
    </w:tbl>
    <w:p>
      <w:pPr>
        <w:autoSpaceDN w:val="0"/>
        <w:autoSpaceDE w:val="0"/>
        <w:widowControl/>
        <w:spacing w:line="14" w:lineRule="exact" w:before="0" w:after="1038"/>
        <w:ind w:left="0" w:right="0"/>
      </w:pPr>
    </w:p>
    <w:p>
      <w:pPr>
        <w:sectPr>
          <w:pgSz w:w="11880" w:h="15660"/>
          <w:pgMar w:top="360" w:right="0" w:bottom="266" w:left="990" w:header="720" w:footer="720" w:gutter="0"/>
          <w:cols/>
          <w:docGrid w:linePitch="360"/>
        </w:sectPr>
      </w:pPr>
    </w:p>
    <w:p>
      <w:pPr>
        <w:autoSpaceDN w:val="0"/>
        <w:tabs>
          <w:tab w:pos="270" w:val="left"/>
          <w:tab w:pos="1278" w:val="left"/>
          <w:tab w:pos="2538" w:val="left"/>
          <w:tab w:pos="3086" w:val="left"/>
          <w:tab w:pos="4258" w:val="left"/>
        </w:tabs>
        <w:autoSpaceDE w:val="0"/>
        <w:widowControl/>
        <w:spacing w:line="245" w:lineRule="auto" w:before="0" w:after="0"/>
        <w:ind w:left="0" w:right="288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21. U.S. Food &amp; Drug Administration. Reference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product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exclusivity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for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biological </w:t>
      </w:r>
      <w:r>
        <w:rPr>
          <w:rFonts w:ascii="Lora" w:hAnsi="Lora" w:eastAsia="Lora"/>
          <w:b w:val="0"/>
          <w:i w:val="0"/>
          <w:color w:val="000000"/>
          <w:sz w:val="18"/>
        </w:rPr>
        <w:t>prod-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ucts filed under Section 351(a) of the PHS Act. </w:t>
      </w:r>
    </w:p>
    <w:p>
      <w:pPr>
        <w:autoSpaceDN w:val="0"/>
        <w:tabs>
          <w:tab w:pos="270" w:val="left"/>
          <w:tab w:pos="866" w:val="left"/>
          <w:tab w:pos="1682" w:val="left"/>
        </w:tabs>
        <w:autoSpaceDE w:val="0"/>
        <w:widowControl/>
        <w:spacing w:line="245" w:lineRule="auto" w:before="0" w:after="0"/>
        <w:ind w:left="0" w:right="288" w:firstLine="0"/>
        <w:jc w:val="left"/>
      </w:pP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Draft guidance</w:t>
      </w:r>
      <w:r>
        <w:rPr>
          <w:rFonts w:ascii="Lora" w:hAnsi="Lora" w:eastAsia="Lora"/>
          <w:b w:val="0"/>
          <w:i w:val="0"/>
          <w:color w:val="000000"/>
          <w:sz w:val="18"/>
        </w:rPr>
        <w:hyperlink r:id="rId33" w:history="1">
          <w:r>
            <w:rPr>
              <w:rStyle w:val="Hyperlink"/>
            </w:rPr>
            <w:t>. August 2014. Accessed January</w:t>
          </w:r>
        </w:hyperlink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hyperlink r:id="rId33" w:history="1">
          <w:r>
            <w:rPr>
              <w:rStyle w:val="Hyperlink"/>
            </w:rPr>
            <w:t xml:space="preserve">23, </w:t>
          </w:r>
        </w:hyperlink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hyperlink r:id="rId33" w:history="1">
          <w:r>
            <w:rPr>
              <w:rStyle w:val="Hyperlink"/>
            </w:rPr>
            <w:t xml:space="preserve">2024. </w:t>
          </w:r>
        </w:hyperlink>
      </w:r>
      <w:r>
        <w:tab/>
      </w:r>
      <w:r>
        <w:rPr>
          <w:u w:val="single" w:color="13377c"/>
          <w:rFonts w:ascii="Lora" w:hAnsi="Lora" w:eastAsia="Lora"/>
          <w:b w:val="0"/>
          <w:i w:val="0"/>
          <w:color w:val="14377D"/>
          <w:sz w:val="18"/>
        </w:rPr>
        <w:hyperlink r:id="rId33" w:history="1">
          <w:r>
            <w:rPr>
              <w:rStyle w:val="Hyperlink"/>
            </w:rPr>
            <w:t>https://www.fda.gov/regulatory-</w:t>
          </w:r>
        </w:hyperlink>
      </w:r>
      <w:r>
        <w:tab/>
      </w:r>
      <w:r>
        <w:rPr>
          <w:u w:val="single" w:color="13377c"/>
          <w:rFonts w:ascii="Lora" w:hAnsi="Lora" w:eastAsia="Lora"/>
          <w:b w:val="0"/>
          <w:i w:val="0"/>
          <w:color w:val="14377D"/>
          <w:sz w:val="18"/>
        </w:rPr>
        <w:hyperlink r:id="rId33" w:history="1">
          <w:r>
            <w:rPr>
              <w:rStyle w:val="Hyperlink"/>
            </w:rPr>
            <w:t>information/se</w:t>
          </w:r>
        </w:hyperlink>
      </w:r>
      <w:r>
        <w:rPr>
          <w:u w:val="single" w:color="13377c"/>
          <w:rFonts w:ascii="Lora" w:hAnsi="Lora" w:eastAsia="Lora"/>
          <w:b w:val="0"/>
          <w:i w:val="0"/>
          <w:color w:val="14377D"/>
          <w:sz w:val="18"/>
        </w:rPr>
        <w:hyperlink r:id="rId33" w:history="1">
          <w:r>
            <w:rPr>
              <w:rStyle w:val="Hyperlink"/>
            </w:rPr>
            <w:t xml:space="preserve">arch-fda-guidance-documents/ </w:t>
          </w:r>
        </w:hyperlink>
      </w:r>
      <w:r>
        <w:tab/>
      </w:r>
      <w:r>
        <w:rPr>
          <w:u w:val="single" w:color="13377c"/>
          <w:rFonts w:ascii="Lora" w:hAnsi="Lora" w:eastAsia="Lora"/>
          <w:b w:val="0"/>
          <w:i w:val="0"/>
          <w:color w:val="14377D"/>
          <w:sz w:val="18"/>
        </w:rPr>
        <w:hyperlink r:id="rId33" w:history="1">
          <w:r>
            <w:rPr>
              <w:rStyle w:val="Hyperlink"/>
            </w:rPr>
            <w:t>reference-product-exclusivity-b</w:t>
          </w:r>
        </w:hyperlink>
      </w:r>
      <w:r>
        <w:rPr>
          <w:u w:val="single" w:color="13377c"/>
          <w:rFonts w:ascii="Lora" w:hAnsi="Lora" w:eastAsia="Lora"/>
          <w:b w:val="0"/>
          <w:i w:val="0"/>
          <w:color w:val="14377D"/>
          <w:sz w:val="18"/>
        </w:rPr>
        <w:hyperlink r:id="rId33" w:history="1">
          <w:r>
            <w:rPr>
              <w:rStyle w:val="Hyperlink"/>
            </w:rPr>
            <w:t>iological-products-</w:t>
          </w:r>
        </w:hyperlink>
      </w:r>
      <w:r>
        <w:tab/>
      </w:r>
      <w:r>
        <w:rPr>
          <w:u w:val="single" w:color="13377c"/>
          <w:rFonts w:ascii="Lora" w:hAnsi="Lora" w:eastAsia="Lora"/>
          <w:b w:val="0"/>
          <w:i w:val="0"/>
          <w:color w:val="14377D"/>
          <w:sz w:val="18"/>
        </w:rPr>
        <w:hyperlink r:id="rId33" w:history="1">
          <w:r>
            <w:rPr>
              <w:rStyle w:val="Hyperlink"/>
            </w:rPr>
            <w:t xml:space="preserve">filed-under-section-351a-phs-act </w:t>
          </w:r>
        </w:hyperlink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22. </w:t>
      </w:r>
      <w:r>
        <w:rPr>
          <w:rFonts w:ascii="Lora" w:hAnsi="Lora" w:eastAsia="Lora"/>
          <w:b w:val="0"/>
          <w:i w:val="0"/>
          <w:color w:val="000000"/>
          <w:sz w:val="18"/>
        </w:rPr>
        <w:hyperlink r:id="rId33" w:history="1">
          <w:r>
            <w:rPr>
              <w:rStyle w:val="Hyperlink"/>
            </w:rPr>
            <w:t>U.S. Food &amp; Drug Administrat</w:t>
          </w:r>
        </w:hyperlink>
      </w:r>
      <w:r>
        <w:rPr>
          <w:rFonts w:ascii="Lora" w:hAnsi="Lora" w:eastAsia="Lora"/>
          <w:b w:val="0"/>
          <w:i w:val="0"/>
          <w:color w:val="000000"/>
          <w:sz w:val="18"/>
        </w:rPr>
        <w:t>ion. Clinical phar-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macology data to support a demonstration of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biosimilarity to a reference product. Guidance for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hyperlink r:id="rId34" w:history="1">
          <w:r>
            <w:rPr>
              <w:rStyle w:val="Hyperlink"/>
            </w:rPr>
            <w:t xml:space="preserve">industry. December 2016. Accessed January 23, </w:t>
          </w:r>
        </w:hyperlink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2024. </w:t>
      </w:r>
    </w:p>
    <w:p>
      <w:pPr>
        <w:autoSpaceDN w:val="0"/>
        <w:tabs>
          <w:tab w:pos="270" w:val="left"/>
        </w:tabs>
        <w:autoSpaceDE w:val="0"/>
        <w:widowControl/>
        <w:spacing w:line="245" w:lineRule="auto" w:before="0" w:after="0"/>
        <w:ind w:left="0" w:right="288" w:firstLine="0"/>
        <w:jc w:val="left"/>
      </w:pPr>
      <w:r>
        <w:tab/>
      </w:r>
      <w:r>
        <w:rPr>
          <w:u w:val="single" w:color="13377c"/>
          <w:rFonts w:ascii="Lora" w:hAnsi="Lora" w:eastAsia="Lora"/>
          <w:b w:val="0"/>
          <w:i w:val="0"/>
          <w:color w:val="14377D"/>
          <w:sz w:val="18"/>
        </w:rPr>
        <w:hyperlink r:id="rId34" w:history="1">
          <w:r>
            <w:rPr>
              <w:rStyle w:val="Hyperlink"/>
            </w:rPr>
            <w:t xml:space="preserve">https://www.fda.gov/media/88622/download </w:t>
          </w:r>
        </w:hyperlink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23. </w:t>
      </w:r>
      <w:r>
        <w:rPr>
          <w:rFonts w:ascii="Lora" w:hAnsi="Lora" w:eastAsia="Lora"/>
          <w:b w:val="0"/>
          <w:i w:val="0"/>
          <w:color w:val="000000"/>
          <w:sz w:val="18"/>
        </w:rPr>
        <w:hyperlink r:id="rId34" w:history="1">
          <w:r>
            <w:rPr>
              <w:rStyle w:val="Hyperlink"/>
            </w:rPr>
            <w:t>U.S. Food &amp; Drug Administration. New and re</w:t>
          </w:r>
        </w:hyperlink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vised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draft Q&amp;As on biosimilar development and the BPCI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Act (revision 3): Guidance for industry. Draft guid-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hyperlink r:id="rId35" w:history="1">
          <w:r>
            <w:rPr>
              <w:rStyle w:val="Hyperlink"/>
            </w:rPr>
            <w:t xml:space="preserve">ance. September 2021. Accessed January 23, </w:t>
          </w:r>
        </w:hyperlink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2024. </w:t>
      </w:r>
    </w:p>
    <w:p>
      <w:pPr>
        <w:autoSpaceDN w:val="0"/>
        <w:tabs>
          <w:tab w:pos="270" w:val="left"/>
        </w:tabs>
        <w:autoSpaceDE w:val="0"/>
        <w:widowControl/>
        <w:spacing w:line="245" w:lineRule="auto" w:before="0" w:after="0"/>
        <w:ind w:left="0" w:right="288" w:firstLine="0"/>
        <w:jc w:val="left"/>
      </w:pPr>
      <w:r>
        <w:tab/>
      </w:r>
      <w:r>
        <w:rPr>
          <w:u w:val="single" w:color="13377c"/>
          <w:rFonts w:ascii="Lora" w:hAnsi="Lora" w:eastAsia="Lora"/>
          <w:b w:val="0"/>
          <w:i w:val="0"/>
          <w:color w:val="14377D"/>
          <w:sz w:val="18"/>
        </w:rPr>
        <w:hyperlink r:id="rId35" w:history="1">
          <w:r>
            <w:rPr>
              <w:rStyle w:val="Hyperlink"/>
            </w:rPr>
            <w:t xml:space="preserve">https://www.fda.gov/media/119278/download </w:t>
          </w:r>
        </w:hyperlink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24. </w:t>
      </w:r>
      <w:r>
        <w:rPr>
          <w:rFonts w:ascii="Lora" w:hAnsi="Lora" w:eastAsia="Lora"/>
          <w:b w:val="0"/>
          <w:i w:val="0"/>
          <w:color w:val="000000"/>
          <w:sz w:val="18"/>
        </w:rPr>
        <w:hyperlink r:id="rId35" w:history="1">
          <w:r>
            <w:rPr>
              <w:rStyle w:val="Hyperlink"/>
            </w:rPr>
            <w:t>U.S. Food &amp; Drug Administration. In vitro co</w:t>
          </w:r>
        </w:hyperlink>
      </w:r>
      <w:r>
        <w:rPr>
          <w:rFonts w:ascii="Lora" w:hAnsi="Lora" w:eastAsia="Lora"/>
          <w:b w:val="0"/>
          <w:i w:val="0"/>
          <w:color w:val="000000"/>
          <w:sz w:val="18"/>
        </w:rPr>
        <w:t>mpan-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ion diagnostic devices. Guidance for industry and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Food and Drug Administration</w:t>
      </w:r>
      <w:r>
        <w:rPr>
          <w:rFonts w:ascii="Lora" w:hAnsi="Lora" w:eastAsia="Lora"/>
          <w:b w:val="0"/>
          <w:i w:val="0"/>
          <w:color w:val="000000"/>
          <w:sz w:val="18"/>
        </w:rPr>
        <w:hyperlink r:id="rId36" w:history="1">
          <w:r>
            <w:rPr>
              <w:rStyle w:val="Hyperlink"/>
            </w:rPr>
            <w:t xml:space="preserve"> staff. August 6, 2014.</w:t>
          </w:r>
        </w:hyperlink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 </w:t>
      </w:r>
    </w:p>
    <w:p>
      <w:pPr>
        <w:autoSpaceDN w:val="0"/>
        <w:tabs>
          <w:tab w:pos="270" w:val="left"/>
        </w:tabs>
        <w:autoSpaceDE w:val="0"/>
        <w:widowControl/>
        <w:spacing w:line="245" w:lineRule="auto" w:before="0" w:after="0"/>
        <w:ind w:left="0" w:right="288" w:firstLine="0"/>
        <w:jc w:val="left"/>
      </w:pP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hyperlink r:id="rId36" w:history="1">
          <w:r>
            <w:rPr>
              <w:rStyle w:val="Hyperlink"/>
            </w:rPr>
            <w:t xml:space="preserve">Accessed January 23, </w:t>
          </w:r>
        </w:hyperlink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2024. </w:t>
      </w:r>
      <w:r>
        <w:rPr>
          <w:u w:val="single" w:color="13377c"/>
          <w:rFonts w:ascii="Lora" w:hAnsi="Lora" w:eastAsia="Lora"/>
          <w:b w:val="0"/>
          <w:i w:val="0"/>
          <w:color w:val="14377D"/>
          <w:sz w:val="18"/>
        </w:rPr>
        <w:hyperlink r:id="rId36" w:history="1">
          <w:r>
            <w:rPr>
              <w:rStyle w:val="Hyperlink"/>
            </w:rPr>
            <w:t xml:space="preserve">https://www.fda.gov/ </w:t>
          </w:r>
        </w:hyperlink>
      </w:r>
      <w:r>
        <w:tab/>
      </w:r>
      <w:r>
        <w:rPr>
          <w:u w:val="single" w:color="13377c"/>
          <w:rFonts w:ascii="Lora" w:hAnsi="Lora" w:eastAsia="Lora"/>
          <w:b w:val="0"/>
          <w:i w:val="0"/>
          <w:color w:val="14377D"/>
          <w:sz w:val="18"/>
        </w:rPr>
        <w:hyperlink r:id="rId36" w:history="1">
          <w:r>
            <w:rPr>
              <w:rStyle w:val="Hyperlink"/>
            </w:rPr>
            <w:t xml:space="preserve">media/81309/download </w:t>
          </w:r>
        </w:hyperlink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25. </w:t>
      </w:r>
      <w:r>
        <w:rPr>
          <w:rFonts w:ascii="Lora" w:hAnsi="Lora" w:eastAsia="Lora"/>
          <w:b w:val="0"/>
          <w:i w:val="0"/>
          <w:color w:val="000000"/>
          <w:sz w:val="18"/>
        </w:rPr>
        <w:hyperlink r:id="rId36" w:history="1">
          <w:r>
            <w:rPr>
              <w:rStyle w:val="Hyperlink"/>
            </w:rPr>
            <w:t>Canestaro WJ, Pritchar</w:t>
          </w:r>
        </w:hyperlink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d DE, Garrison LP, Dubois R,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Veenstra DL. Improving the efficiency and quality of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the value assessment process for companion diag-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nostic tests: the Companion test Assessment Tool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(CAT). J Manag Care Spec Pharm. 2015;21(8):700-12. </w:t>
      </w:r>
    </w:p>
    <w:p>
      <w:pPr>
        <w:autoSpaceDN w:val="0"/>
        <w:tabs>
          <w:tab w:pos="270" w:val="left"/>
        </w:tabs>
        <w:autoSpaceDE w:val="0"/>
        <w:widowControl/>
        <w:spacing w:line="245" w:lineRule="auto" w:before="0" w:after="0"/>
        <w:ind w:left="0" w:right="288" w:firstLine="0"/>
        <w:jc w:val="left"/>
      </w:pP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doi: 10.18553/jmcp.2015.21.8.700 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26. Centers for Disease Control and Prevention. ACCE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model process for evaluating gen</w:t>
      </w:r>
      <w:r>
        <w:rPr>
          <w:rFonts w:ascii="Lora" w:hAnsi="Lora" w:eastAsia="Lora"/>
          <w:b w:val="0"/>
          <w:i w:val="0"/>
          <w:color w:val="000000"/>
          <w:sz w:val="18"/>
        </w:rPr>
        <w:hyperlink r:id="rId37" w:history="1">
          <w:r>
            <w:rPr>
              <w:rStyle w:val="Hyperlink"/>
            </w:rPr>
            <w:t>etic tests. December</w:t>
          </w:r>
        </w:hyperlink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2010. Accessed January 30, 2024. </w:t>
      </w:r>
      <w:r>
        <w:rPr>
          <w:u w:val="single" w:color="13377c"/>
          <w:rFonts w:ascii="Lora" w:hAnsi="Lora" w:eastAsia="Lora"/>
          <w:b w:val="0"/>
          <w:i w:val="0"/>
          <w:color w:val="14377D"/>
          <w:sz w:val="18"/>
        </w:rPr>
        <w:hyperlink r:id="rId37" w:history="1">
          <w:r>
            <w:rPr>
              <w:rStyle w:val="Hyperlink"/>
            </w:rPr>
            <w:t>https://archive.cdc.</w:t>
          </w:r>
        </w:hyperlink>
      </w:r>
    </w:p>
    <w:p>
      <w:pPr>
        <w:autoSpaceDN w:val="0"/>
        <w:tabs>
          <w:tab w:pos="270" w:val="left"/>
        </w:tabs>
        <w:autoSpaceDE w:val="0"/>
        <w:widowControl/>
        <w:spacing w:line="245" w:lineRule="auto" w:before="0" w:after="0"/>
        <w:ind w:left="0" w:right="288" w:firstLine="0"/>
        <w:jc w:val="left"/>
      </w:pPr>
      <w:r>
        <w:tab/>
      </w:r>
      <w:r>
        <w:rPr>
          <w:u w:val="single" w:color="13377c"/>
          <w:rFonts w:ascii="Lora" w:hAnsi="Lora" w:eastAsia="Lora"/>
          <w:b w:val="0"/>
          <w:i w:val="0"/>
          <w:color w:val="14377D"/>
          <w:sz w:val="18"/>
        </w:rPr>
        <w:hyperlink r:id="rId37" w:history="1">
          <w:r>
            <w:rPr>
              <w:rStyle w:val="Hyperlink"/>
            </w:rPr>
            <w:t>gov/#/details?url=https:</w:t>
          </w:r>
        </w:hyperlink>
      </w:r>
      <w:r>
        <w:rPr>
          <w:u w:val="single" w:color="13377c"/>
          <w:rFonts w:ascii="Lora" w:hAnsi="Lora" w:eastAsia="Lora"/>
          <w:b w:val="0"/>
          <w:i w:val="0"/>
          <w:color w:val="14377D"/>
          <w:sz w:val="18"/>
        </w:rPr>
        <w:hyperlink r:id="rId37" w:history="1">
          <w:r>
            <w:rPr>
              <w:rStyle w:val="Hyperlink"/>
            </w:rPr>
            <w:t>//www.</w:t>
          </w:r>
        </w:hyperlink>
      </w:r>
      <w:r>
        <w:rPr>
          <w:u w:val="single" w:color="13377c"/>
          <w:rFonts w:ascii="Lora" w:hAnsi="Lora" w:eastAsia="Lora"/>
          <w:b w:val="0"/>
          <w:i w:val="0"/>
          <w:color w:val="14377D"/>
          <w:sz w:val="18"/>
        </w:rPr>
        <w:hyperlink r:id="rId37" w:history="1">
          <w:r>
            <w:rPr>
              <w:rStyle w:val="Hyperlink"/>
            </w:rPr>
            <w:t xml:space="preserve">cdc.gov/genomics/ </w:t>
          </w:r>
        </w:hyperlink>
      </w:r>
      <w:r>
        <w:tab/>
      </w:r>
      <w:r>
        <w:rPr>
          <w:u w:val="single" w:color="13377c"/>
          <w:rFonts w:ascii="Lora" w:hAnsi="Lora" w:eastAsia="Lora"/>
          <w:b w:val="0"/>
          <w:i w:val="0"/>
          <w:color w:val="14377D"/>
          <w:sz w:val="18"/>
        </w:rPr>
        <w:hyperlink r:id="rId37" w:history="1">
          <w:r>
            <w:rPr>
              <w:rStyle w:val="Hyperlink"/>
            </w:rPr>
            <w:t xml:space="preserve">gtesting/acce/index.htm </w:t>
          </w:r>
        </w:hyperlink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27. </w:t>
      </w:r>
      <w:r>
        <w:rPr>
          <w:rFonts w:ascii="Lora" w:hAnsi="Lora" w:eastAsia="Lora"/>
          <w:b w:val="0"/>
          <w:i w:val="0"/>
          <w:color w:val="000000"/>
          <w:sz w:val="18"/>
        </w:rPr>
        <w:hyperlink r:id="rId37" w:history="1">
          <w:r>
            <w:rPr>
              <w:rStyle w:val="Hyperlink"/>
            </w:rPr>
            <w:t xml:space="preserve">Institute of Medicine. </w:t>
          </w:r>
        </w:hyperlink>
      </w:r>
      <w:r>
        <w:rPr>
          <w:rFonts w:ascii="Lora" w:hAnsi="Lora" w:eastAsia="Lora"/>
          <w:b w:val="0"/>
          <w:i/>
          <w:color w:val="000000"/>
          <w:sz w:val="18"/>
        </w:rPr>
        <w:t xml:space="preserve">Generating Evidence for </w:t>
      </w:r>
      <w:r>
        <w:tab/>
      </w:r>
      <w:r>
        <w:rPr>
          <w:rFonts w:ascii="Lora" w:hAnsi="Lora" w:eastAsia="Lora"/>
          <w:b w:val="0"/>
          <w:i/>
          <w:color w:val="000000"/>
          <w:sz w:val="18"/>
        </w:rPr>
        <w:t xml:space="preserve">Genomic Diagnostic Test Development: Workshop </w:t>
      </w:r>
      <w:r>
        <w:tab/>
      </w:r>
      <w:r>
        <w:rPr>
          <w:rFonts w:ascii="Lora" w:hAnsi="Lora" w:eastAsia="Lora"/>
          <w:b w:val="0"/>
          <w:i/>
          <w:color w:val="000000"/>
          <w:sz w:val="18"/>
        </w:rPr>
        <w:t>Summary</w:t>
      </w:r>
      <w:r>
        <w:rPr>
          <w:rFonts w:ascii="Lora" w:hAnsi="Lora" w:eastAsia="Lora"/>
          <w:b w:val="0"/>
          <w:i w:val="0"/>
          <w:color w:val="000000"/>
          <w:sz w:val="18"/>
        </w:rPr>
        <w:t>. Washington, DC: The Nation</w:t>
      </w:r>
      <w:r>
        <w:rPr>
          <w:rFonts w:ascii="Lora" w:hAnsi="Lora" w:eastAsia="Lora"/>
          <w:b w:val="0"/>
          <w:i w:val="0"/>
          <w:color w:val="000000"/>
          <w:sz w:val="18"/>
        </w:rPr>
        <w:hyperlink r:id="rId38" w:history="1">
          <w:r>
            <w:rPr>
              <w:rStyle w:val="Hyperlink"/>
            </w:rPr>
            <w:t>al Academies</w:t>
          </w:r>
        </w:hyperlink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hyperlink r:id="rId38" w:history="1">
          <w:r>
            <w:rPr>
              <w:rStyle w:val="Hyperlink"/>
            </w:rPr>
            <w:t>Press; 2011. Accessed January 23, 20</w:t>
          </w:r>
        </w:hyperlink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24. </w:t>
      </w:r>
      <w:r>
        <w:rPr>
          <w:u w:val="single" w:color="13377c"/>
          <w:rFonts w:ascii="Lora" w:hAnsi="Lora" w:eastAsia="Lora"/>
          <w:b w:val="0"/>
          <w:i w:val="0"/>
          <w:color w:val="14377D"/>
          <w:sz w:val="18"/>
        </w:rPr>
        <w:hyperlink r:id="rId38" w:history="1">
          <w:r>
            <w:rPr>
              <w:rStyle w:val="Hyperlink"/>
            </w:rPr>
            <w:t>https://www.</w:t>
          </w:r>
        </w:hyperlink>
      </w:r>
    </w:p>
    <w:p>
      <w:pPr>
        <w:autoSpaceDN w:val="0"/>
        <w:tabs>
          <w:tab w:pos="270" w:val="left"/>
        </w:tabs>
        <w:autoSpaceDE w:val="0"/>
        <w:widowControl/>
        <w:spacing w:line="245" w:lineRule="auto" w:before="0" w:after="0"/>
        <w:ind w:left="0" w:right="288" w:firstLine="0"/>
        <w:jc w:val="left"/>
      </w:pPr>
      <w:r>
        <w:tab/>
      </w:r>
      <w:r>
        <w:rPr>
          <w:u w:val="single" w:color="13377c"/>
          <w:rFonts w:ascii="Lora" w:hAnsi="Lora" w:eastAsia="Lora"/>
          <w:b w:val="0"/>
          <w:i w:val="0"/>
          <w:color w:val="14377D"/>
          <w:sz w:val="18"/>
        </w:rPr>
        <w:hyperlink r:id="rId38" w:history="1">
          <w:r>
            <w:rPr>
              <w:rStyle w:val="Hyperlink"/>
            </w:rPr>
            <w:t xml:space="preserve">ncbi.nlm.nih.gov/books/NBK62412 </w:t>
          </w:r>
        </w:hyperlink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28. </w:t>
      </w:r>
      <w:r>
        <w:rPr>
          <w:rFonts w:ascii="Lora" w:hAnsi="Lora" w:eastAsia="Lora"/>
          <w:b w:val="0"/>
          <w:i w:val="0"/>
          <w:color w:val="000000"/>
          <w:sz w:val="18"/>
        </w:rPr>
        <w:hyperlink r:id="rId38" w:history="1">
          <w:r>
            <w:rPr>
              <w:rStyle w:val="Hyperlink"/>
            </w:rPr>
            <w:t>Fryback DG, Thornbury JR. The effi</w:t>
          </w:r>
        </w:hyperlink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cacy of diagnostic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imaging. Med Decis Making. 1991;11(2):88-94. doi: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10.1177/0272989x9101100203 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29. Byron SK, Crabb N, George E, Marlow M, Newland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A. The health technology assessment of compan-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ion diagnostics: experience of NICE. Clin Cancer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Res. 2014;20(6):1469-76. doi: 10.1158/1078-0432.</w:t>
      </w:r>
    </w:p>
    <w:p>
      <w:pPr>
        <w:autoSpaceDN w:val="0"/>
        <w:tabs>
          <w:tab w:pos="270" w:val="left"/>
        </w:tabs>
        <w:autoSpaceDE w:val="0"/>
        <w:widowControl/>
        <w:spacing w:line="245" w:lineRule="auto" w:before="0" w:after="0"/>
        <w:ind w:left="0" w:right="288" w:firstLine="0"/>
        <w:jc w:val="left"/>
      </w:pP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Ccr-13-1955 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30. Veenstra DL, Piper M, Haddow JE, et al. Improving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the efficiency and relevance of evidence-based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recommendations in the era of whole-genome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sequencing: an EGAPP methods update. Genet Med. </w:t>
      </w:r>
    </w:p>
    <w:p>
      <w:pPr>
        <w:sectPr>
          <w:type w:val="continuous"/>
          <w:pgSz w:w="11880" w:h="15660"/>
          <w:pgMar w:top="360" w:right="0" w:bottom="266" w:left="990" w:header="720" w:footer="720" w:gutter="0"/>
          <w:cols w:num="2" w:equalWidth="0">
            <w:col w:w="5108" w:space="0"/>
            <w:col w:w="5782" w:space="0"/>
          </w:cols>
          <w:docGrid w:linePitch="360"/>
        </w:sectPr>
      </w:pPr>
    </w:p>
    <w:p>
      <w:pPr>
        <w:autoSpaceDN w:val="0"/>
        <w:tabs>
          <w:tab w:pos="562" w:val="left"/>
        </w:tabs>
        <w:autoSpaceDE w:val="0"/>
        <w:widowControl/>
        <w:spacing w:line="245" w:lineRule="auto" w:before="0" w:after="0"/>
        <w:ind w:left="292" w:right="576" w:firstLine="0"/>
        <w:jc w:val="left"/>
      </w:pP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2013;15(1):14-24. doi: 10.1038/gim.2012.106 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31. Gomez Montero M, El Alili H, Hashim M, et al. How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are companion diagnostics considered in economic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evaluations of oncology treatments? A review of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health technology assessments. Pharmacoecon Open. </w:t>
      </w:r>
    </w:p>
    <w:p>
      <w:pPr>
        <w:autoSpaceDN w:val="0"/>
        <w:tabs>
          <w:tab w:pos="562" w:val="left"/>
        </w:tabs>
        <w:autoSpaceDE w:val="0"/>
        <w:widowControl/>
        <w:spacing w:line="245" w:lineRule="auto" w:before="0" w:after="0"/>
        <w:ind w:left="292" w:right="576" w:firstLine="0"/>
        <w:jc w:val="left"/>
      </w:pP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2022;6(5):637-46. doi: 10.1007/s41669-022-00350-6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32. Berry DA. Bayesian approaches for comparative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effectiveness research. Clin Trials. 2012;9(1):37-47. </w:t>
      </w:r>
    </w:p>
    <w:p>
      <w:pPr>
        <w:autoSpaceDN w:val="0"/>
        <w:tabs>
          <w:tab w:pos="562" w:val="left"/>
        </w:tabs>
        <w:autoSpaceDE w:val="0"/>
        <w:widowControl/>
        <w:spacing w:line="245" w:lineRule="auto" w:before="0" w:after="0"/>
        <w:ind w:left="292" w:right="576" w:firstLine="0"/>
        <w:jc w:val="left"/>
      </w:pP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doi: 10.1177/1740774511417470 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33. U.S. Food &amp; Drug Administration. Guidance for the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use of Bayesian statistics in medical device clinical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hyperlink r:id="rId39" w:history="1">
          <w:r>
            <w:rPr>
              <w:rStyle w:val="Hyperlink"/>
            </w:rPr>
            <w:t>trials. February 2010. Accessed January 23, 2024.</w:t>
          </w:r>
        </w:hyperlink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 </w:t>
      </w:r>
    </w:p>
    <w:p>
      <w:pPr>
        <w:autoSpaceDN w:val="0"/>
        <w:tabs>
          <w:tab w:pos="562" w:val="left"/>
          <w:tab w:pos="2964" w:val="left"/>
          <w:tab w:pos="4238" w:val="left"/>
        </w:tabs>
        <w:autoSpaceDE w:val="0"/>
        <w:widowControl/>
        <w:spacing w:line="245" w:lineRule="auto" w:before="0" w:after="0"/>
        <w:ind w:left="292" w:right="576" w:firstLine="0"/>
        <w:jc w:val="left"/>
      </w:pPr>
      <w:r>
        <w:tab/>
      </w:r>
      <w:r>
        <w:rPr>
          <w:u w:val="single" w:color="13377c"/>
          <w:rFonts w:ascii="Lora" w:hAnsi="Lora" w:eastAsia="Lora"/>
          <w:b w:val="0"/>
          <w:i w:val="0"/>
          <w:color w:val="14377D"/>
          <w:sz w:val="18"/>
        </w:rPr>
        <w:hyperlink r:id="rId39" w:history="1">
          <w:r>
            <w:rPr>
              <w:rStyle w:val="Hyperlink"/>
            </w:rPr>
            <w:t xml:space="preserve">https://www.fda.gov/regulatory-information/ </w:t>
          </w:r>
        </w:hyperlink>
      </w:r>
      <w:r>
        <w:tab/>
      </w:r>
      <w:r>
        <w:rPr>
          <w:u w:val="single" w:color="13377c"/>
          <w:rFonts w:ascii="Lora" w:hAnsi="Lora" w:eastAsia="Lora"/>
          <w:b w:val="0"/>
          <w:i w:val="0"/>
          <w:color w:val="14377D"/>
          <w:sz w:val="18"/>
        </w:rPr>
        <w:hyperlink r:id="rId39" w:history="1">
          <w:r>
            <w:rPr>
              <w:rStyle w:val="Hyperlink"/>
            </w:rPr>
            <w:t>search-fda-guidance-documents/guidance-u</w:t>
          </w:r>
        </w:hyperlink>
      </w:r>
      <w:r>
        <w:rPr>
          <w:u w:val="single" w:color="13377c"/>
          <w:rFonts w:ascii="Lora" w:hAnsi="Lora" w:eastAsia="Lora"/>
          <w:b w:val="0"/>
          <w:i w:val="0"/>
          <w:color w:val="14377D"/>
          <w:sz w:val="18"/>
        </w:rPr>
        <w:hyperlink r:id="rId39" w:history="1">
          <w:r>
            <w:rPr>
              <w:rStyle w:val="Hyperlink"/>
            </w:rPr>
            <w:t>se-</w:t>
          </w:r>
        </w:hyperlink>
      </w:r>
      <w:r>
        <w:tab/>
      </w:r>
      <w:r>
        <w:rPr>
          <w:u w:val="single" w:color="13377c"/>
          <w:rFonts w:ascii="Lora" w:hAnsi="Lora" w:eastAsia="Lora"/>
          <w:b w:val="0"/>
          <w:i w:val="0"/>
          <w:color w:val="14377D"/>
          <w:sz w:val="18"/>
        </w:rPr>
        <w:hyperlink r:id="rId39" w:history="1">
          <w:r>
            <w:rPr>
              <w:rStyle w:val="Hyperlink"/>
            </w:rPr>
            <w:t xml:space="preserve">bayesian-statistics-medical-device-clinical-trials </w:t>
          </w:r>
        </w:hyperlink>
      </w:r>
      <w:r>
        <w:rPr>
          <w:rFonts w:ascii="Lora" w:hAnsi="Lora" w:eastAsia="Lora"/>
          <w:b w:val="0"/>
          <w:i w:val="0"/>
          <w:color w:val="000000"/>
          <w:sz w:val="18"/>
        </w:rPr>
        <w:t>34.</w:t>
      </w:r>
      <w:r>
        <w:rPr>
          <w:rFonts w:ascii="Lora" w:hAnsi="Lora" w:eastAsia="Lora"/>
          <w:b w:val="0"/>
          <w:i w:val="0"/>
          <w:color w:val="000000"/>
          <w:sz w:val="18"/>
        </w:rPr>
        <w:hyperlink r:id="rId39" w:history="1">
          <w:r>
            <w:rPr>
              <w:rStyle w:val="Hyperlink"/>
            </w:rPr>
            <w:t xml:space="preserve"> Thorpe KE, Zwarenstein M, Oxman AD, et a</w:t>
          </w:r>
        </w:hyperlink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l. A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pragmatic-explanatory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continuum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indicator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summary (PRECIS): a tool to help trial designers. </w:t>
      </w:r>
    </w:p>
    <w:p>
      <w:pPr>
        <w:autoSpaceDN w:val="0"/>
        <w:autoSpaceDE w:val="0"/>
        <w:widowControl/>
        <w:spacing w:line="221" w:lineRule="auto" w:before="0" w:after="0"/>
        <w:ind w:left="562" w:right="0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>J Clin Epidemiol. 2009;62(5):464-75. doi: 10.1016/j.</w:t>
      </w:r>
    </w:p>
    <w:p>
      <w:pPr>
        <w:autoSpaceDN w:val="0"/>
        <w:tabs>
          <w:tab w:pos="562" w:val="left"/>
        </w:tabs>
        <w:autoSpaceDE w:val="0"/>
        <w:widowControl/>
        <w:spacing w:line="245" w:lineRule="auto" w:before="0" w:after="0"/>
        <w:ind w:left="292" w:right="576" w:firstLine="0"/>
        <w:jc w:val="left"/>
      </w:pP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jclinepi.2008.12.011 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35. Tunis SR, Stryer DB, Clancy CM. Practical clinical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trials: increasing the value of clinical research for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decision making in clinical and health policy. JAMA. </w:t>
      </w:r>
    </w:p>
    <w:p>
      <w:pPr>
        <w:autoSpaceDN w:val="0"/>
        <w:tabs>
          <w:tab w:pos="562" w:val="left"/>
        </w:tabs>
        <w:autoSpaceDE w:val="0"/>
        <w:widowControl/>
        <w:spacing w:line="245" w:lineRule="auto" w:before="0" w:after="0"/>
        <w:ind w:left="292" w:right="576" w:firstLine="0"/>
        <w:jc w:val="left"/>
      </w:pP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2003;290(12):1624-32. doi: 10.1001/jama.290.12.1624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36. Berger ML, Dreyer N, Anderson F, Towse A, Sedrakyan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A, Normand SL. Prospective observational studies to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assess comparative effectiveness: the ISPOR good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research practices task force report. Value Health. </w:t>
      </w:r>
    </w:p>
    <w:p>
      <w:pPr>
        <w:autoSpaceDN w:val="0"/>
        <w:tabs>
          <w:tab w:pos="562" w:val="left"/>
        </w:tabs>
        <w:autoSpaceDE w:val="0"/>
        <w:widowControl/>
        <w:spacing w:line="245" w:lineRule="auto" w:before="0" w:after="0"/>
        <w:ind w:left="292" w:right="576" w:firstLine="0"/>
        <w:jc w:val="left"/>
      </w:pP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2012;15(2):217-30. doi: 10.1016/j.jval.2011.12.010 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37. Johnson ML, Crown W, Martin BC, Dormuth CR,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Siebert U. Good research practices for compara-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tive effectiveness research: analytic methods to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improve causal inference from nonrandomized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studies of treatment effects using secondary data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sources: the ISPOR Good Research Practices for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Retrospective Database Analysis Task Force Report-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-Part III. Value Health. 2009;12(8):1062-73. doi: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10.1111/j.1524-4733.2009.00602.x 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38. Institute of Medicine. </w:t>
      </w:r>
      <w:r>
        <w:rPr>
          <w:rFonts w:ascii="Lora" w:hAnsi="Lora" w:eastAsia="Lora"/>
          <w:b w:val="0"/>
          <w:i/>
          <w:color w:val="000000"/>
          <w:sz w:val="18"/>
        </w:rPr>
        <w:t xml:space="preserve">Finding What Works in Health </w:t>
      </w:r>
      <w:r>
        <w:tab/>
      </w:r>
      <w:r>
        <w:rPr>
          <w:rFonts w:ascii="Lora" w:hAnsi="Lora" w:eastAsia="Lora"/>
          <w:b w:val="0"/>
          <w:i/>
          <w:color w:val="000000"/>
          <w:sz w:val="18"/>
        </w:rPr>
        <w:t>Care: Standards for Systematic Reviews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. Washington,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DC: The National A</w:t>
      </w:r>
      <w:r>
        <w:rPr>
          <w:rFonts w:ascii="Lora" w:hAnsi="Lora" w:eastAsia="Lora"/>
          <w:b w:val="0"/>
          <w:i w:val="0"/>
          <w:color w:val="000000"/>
          <w:sz w:val="18"/>
        </w:rPr>
        <w:hyperlink r:id="rId40" w:history="1">
          <w:r>
            <w:rPr>
              <w:rStyle w:val="Hyperlink"/>
            </w:rPr>
            <w:t>cademies Press; 2011. Accessed</w:t>
          </w:r>
        </w:hyperlink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hyperlink r:id="rId40" w:history="1">
          <w:r>
            <w:rPr>
              <w:rStyle w:val="Hyperlink"/>
            </w:rPr>
            <w:t>January 23, 2024.</w:t>
          </w:r>
        </w:hyperlink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 </w:t>
      </w:r>
      <w:r>
        <w:rPr>
          <w:u w:val="single" w:color="13377c"/>
          <w:rFonts w:ascii="Lora" w:hAnsi="Lora" w:eastAsia="Lora"/>
          <w:b w:val="0"/>
          <w:i w:val="0"/>
          <w:color w:val="14377D"/>
          <w:sz w:val="18"/>
        </w:rPr>
        <w:hyperlink r:id="rId40" w:history="1">
          <w:r>
            <w:rPr>
              <w:rStyle w:val="Hyperlink"/>
            </w:rPr>
            <w:t xml:space="preserve">https://www.ncbi.nlm.nih.gov/ </w:t>
          </w:r>
        </w:hyperlink>
      </w:r>
      <w:r>
        <w:tab/>
      </w:r>
      <w:r>
        <w:rPr>
          <w:u w:val="single" w:color="13377c"/>
          <w:rFonts w:ascii="Lora" w:hAnsi="Lora" w:eastAsia="Lora"/>
          <w:b w:val="0"/>
          <w:i w:val="0"/>
          <w:color w:val="14377D"/>
          <w:sz w:val="18"/>
        </w:rPr>
        <w:hyperlink r:id="rId40" w:history="1">
          <w:r>
            <w:rPr>
              <w:rStyle w:val="Hyperlink"/>
            </w:rPr>
            <w:t xml:space="preserve">books/NBK209518 </w:t>
          </w:r>
        </w:hyperlink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>39.</w:t>
      </w:r>
      <w:r>
        <w:rPr>
          <w:rFonts w:ascii="Lora" w:hAnsi="Lora" w:eastAsia="Lora"/>
          <w:b w:val="0"/>
          <w:i w:val="0"/>
          <w:color w:val="000000"/>
          <w:sz w:val="18"/>
        </w:rPr>
        <w:hyperlink r:id="rId40" w:history="1">
          <w:r>
            <w:rPr>
              <w:rStyle w:val="Hyperlink"/>
            </w:rPr>
            <w:t xml:space="preserve"> Agency for Heal</w:t>
          </w:r>
        </w:hyperlink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thcare Research and Quality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(AHRQ). Methods guide for effectiveness and com-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parative effectiveness reviews. AHRQ Publication No. </w:t>
      </w:r>
    </w:p>
    <w:p>
      <w:pPr>
        <w:autoSpaceDN w:val="0"/>
        <w:tabs>
          <w:tab w:pos="562" w:val="left"/>
        </w:tabs>
        <w:autoSpaceDE w:val="0"/>
        <w:widowControl/>
        <w:spacing w:line="245" w:lineRule="auto" w:before="0" w:after="0"/>
        <w:ind w:left="292" w:right="576" w:firstLine="0"/>
        <w:jc w:val="left"/>
      </w:pP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10(14)-EH</w:t>
      </w:r>
      <w:r>
        <w:rPr>
          <w:rFonts w:ascii="Lora" w:hAnsi="Lora" w:eastAsia="Lora"/>
          <w:b w:val="0"/>
          <w:i w:val="0"/>
          <w:color w:val="000000"/>
          <w:sz w:val="18"/>
        </w:rPr>
        <w:hyperlink r:id="rId41" w:history="1">
          <w:r>
            <w:rPr>
              <w:rStyle w:val="Hyperlink"/>
            </w:rPr>
            <w:t>C063-EF. January 2014. Accessed January</w:t>
          </w:r>
        </w:hyperlink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hyperlink r:id="rId41" w:history="1">
          <w:r>
            <w:rPr>
              <w:rStyle w:val="Hyperlink"/>
            </w:rPr>
            <w:t xml:space="preserve">23, 2024. </w:t>
          </w:r>
        </w:hyperlink>
      </w:r>
      <w:r>
        <w:rPr>
          <w:u w:val="single" w:color="13377c"/>
          <w:rFonts w:ascii="Lora" w:hAnsi="Lora" w:eastAsia="Lora"/>
          <w:b w:val="0"/>
          <w:i w:val="0"/>
          <w:color w:val="14377D"/>
          <w:sz w:val="18"/>
        </w:rPr>
        <w:hyperlink r:id="rId41" w:history="1">
          <w:r>
            <w:rPr>
              <w:rStyle w:val="Hyperlink"/>
            </w:rPr>
            <w:t xml:space="preserve">https://effectivehealthcare.ahrq.gov/sites/ </w:t>
          </w:r>
        </w:hyperlink>
      </w:r>
      <w:r>
        <w:tab/>
      </w:r>
      <w:r>
        <w:rPr>
          <w:u w:val="single" w:color="13377c"/>
          <w:rFonts w:ascii="Lora" w:hAnsi="Lora" w:eastAsia="Lora"/>
          <w:b w:val="0"/>
          <w:i w:val="0"/>
          <w:color w:val="14377D"/>
          <w:sz w:val="18"/>
        </w:rPr>
        <w:hyperlink r:id="rId41" w:history="1">
          <w:r>
            <w:rPr>
              <w:rStyle w:val="Hyperlink"/>
            </w:rPr>
            <w:t>default/fi</w:t>
          </w:r>
        </w:hyperlink>
      </w:r>
      <w:r>
        <w:rPr>
          <w:u w:val="single" w:color="13377c"/>
          <w:rFonts w:ascii="Lora" w:hAnsi="Lora" w:eastAsia="Lora"/>
          <w:b w:val="0"/>
          <w:i w:val="0"/>
          <w:color w:val="14377D"/>
          <w:sz w:val="18"/>
        </w:rPr>
        <w:hyperlink r:id="rId41" w:history="1">
          <w:r>
            <w:rPr>
              <w:rStyle w:val="Hyperlink"/>
            </w:rPr>
            <w:t xml:space="preserve">les/pdf/cer-methods-guide_overview.pdf </w:t>
          </w:r>
        </w:hyperlink>
      </w:r>
      <w:r>
        <w:rPr>
          <w:rFonts w:ascii="Lora" w:hAnsi="Lora" w:eastAsia="Lora"/>
          <w:b w:val="0"/>
          <w:i w:val="0"/>
          <w:color w:val="000000"/>
          <w:sz w:val="18"/>
        </w:rPr>
        <w:t>40.</w:t>
      </w:r>
      <w:r>
        <w:rPr>
          <w:rFonts w:ascii="Lora" w:hAnsi="Lora" w:eastAsia="Lora"/>
          <w:b w:val="0"/>
          <w:i w:val="0"/>
          <w:color w:val="000000"/>
          <w:sz w:val="18"/>
        </w:rPr>
        <w:hyperlink r:id="rId41" w:history="1">
          <w:r>
            <w:rPr>
              <w:rStyle w:val="Hyperlink"/>
            </w:rPr>
            <w:t xml:space="preserve"> McDonagh MS, Jonas DE, Gartlehner G, et al</w:t>
          </w:r>
        </w:hyperlink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. </w:t>
      </w:r>
    </w:p>
    <w:p>
      <w:pPr>
        <w:autoSpaceDN w:val="0"/>
        <w:autoSpaceDE w:val="0"/>
        <w:widowControl/>
        <w:spacing w:line="221" w:lineRule="auto" w:before="0" w:after="0"/>
        <w:ind w:left="562" w:right="0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Methods for the Drug Effectiveness Review </w:t>
      </w:r>
    </w:p>
    <w:p>
      <w:pPr>
        <w:autoSpaceDN w:val="0"/>
        <w:autoSpaceDE w:val="0"/>
        <w:widowControl/>
        <w:spacing w:line="186" w:lineRule="exact" w:before="556" w:after="0"/>
        <w:ind w:left="0" w:right="742" w:firstLine="0"/>
        <w:jc w:val="right"/>
      </w:pPr>
      <w:r>
        <w:rPr>
          <w:rFonts w:ascii="Asap" w:hAnsi="Asap" w:eastAsia="Asap"/>
          <w:b w:val="0"/>
          <w:i w:val="0"/>
          <w:color w:val="474C55"/>
          <w:sz w:val="14"/>
        </w:rPr>
        <w:t>Vol. 30, No. 4-b</w:t>
      </w:r>
      <w:r>
        <w:rPr>
          <w:rFonts w:ascii="Asap" w:hAnsi="Asap" w:eastAsia="Asap"/>
          <w:b w:val="0"/>
          <w:i w:val="0"/>
          <w:color w:val="474C55"/>
          <w:sz w:val="14"/>
        </w:rPr>
        <w:t>|</w:t>
      </w:r>
      <w:r>
        <w:rPr>
          <w:rFonts w:ascii="Asap" w:hAnsi="Asap" w:eastAsia="Asap"/>
          <w:b w:val="0"/>
          <w:i w:val="0"/>
          <w:color w:val="474C55"/>
          <w:sz w:val="14"/>
        </w:rPr>
        <w:t>April 2024</w:t>
      </w:r>
      <w:r>
        <w:rPr>
          <w:rFonts w:ascii="Asap" w:hAnsi="Asap" w:eastAsia="Asap"/>
          <w:b w:val="0"/>
          <w:i w:val="0"/>
          <w:color w:val="474C55"/>
          <w:sz w:val="14"/>
        </w:rPr>
        <w:t>|</w:t>
      </w:r>
      <w:r>
        <w:rPr>
          <w:rFonts w:ascii="Asap" w:hAnsi="Asap" w:eastAsia="Asap"/>
          <w:b/>
          <w:i w:val="0"/>
          <w:color w:val="14377D"/>
          <w:sz w:val="14"/>
        </w:rPr>
        <w:t xml:space="preserve"> JMCP</w:t>
      </w:r>
      <w:r>
        <w:rPr>
          <w:rFonts w:ascii="Asap" w:hAnsi="Asap" w:eastAsia="Asap"/>
          <w:b w:val="0"/>
          <w:i w:val="0"/>
          <w:color w:val="14377D"/>
          <w:sz w:val="14"/>
        </w:rPr>
        <w:t>.org</w:t>
      </w:r>
    </w:p>
    <w:p>
      <w:pPr>
        <w:sectPr>
          <w:type w:val="nextColumn"/>
          <w:pgSz w:w="11880" w:h="15660"/>
          <w:pgMar w:top="360" w:right="0" w:bottom="266" w:left="990" w:header="720" w:footer="720" w:gutter="0"/>
          <w:cols w:num="2" w:equalWidth="0">
            <w:col w:w="5108" w:space="0"/>
            <w:col w:w="5782" w:space="0"/>
          </w:cols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883"/>
        <w:gridCol w:w="4883"/>
      </w:tblGrid>
      <w:tr>
        <w:trPr>
          <w:trHeight w:hRule="exact" w:val="362"/>
        </w:trPr>
        <w:tc>
          <w:tcPr>
            <w:tcW w:type="dxa" w:w="1094"/>
            <w:tcBorders/>
            <w:shd w:fill="6b146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4" w:after="0"/>
              <w:ind w:left="0" w:right="90" w:firstLine="0"/>
              <w:jc w:val="right"/>
            </w:pPr>
            <w:r>
              <w:rPr>
                <w:rFonts w:ascii="Asap" w:hAnsi="Asap" w:eastAsia="Asap"/>
                <w:b/>
                <w:i w:val="0"/>
                <w:color w:val="FFFFFF"/>
                <w:sz w:val="18"/>
              </w:rPr>
              <w:t>62</w:t>
            </w:r>
          </w:p>
        </w:tc>
        <w:tc>
          <w:tcPr>
            <w:tcW w:type="dxa" w:w="584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4" w:after="0"/>
              <w:ind w:left="90" w:right="0" w:firstLine="0"/>
              <w:jc w:val="left"/>
            </w:pPr>
            <w:r>
              <w:rPr>
                <w:rFonts w:ascii="Asap" w:hAnsi="Asap" w:eastAsia="Asap"/>
                <w:b/>
                <w:i w:val="0"/>
                <w:color w:val="474C55"/>
                <w:sz w:val="18"/>
              </w:rPr>
              <w:t>AMCP FORMAT 5.0</w:t>
            </w:r>
          </w:p>
        </w:tc>
      </w:tr>
    </w:tbl>
    <w:p>
      <w:pPr>
        <w:autoSpaceDN w:val="0"/>
        <w:autoSpaceDE w:val="0"/>
        <w:widowControl/>
        <w:spacing w:line="14" w:lineRule="exact" w:before="0" w:after="1038"/>
        <w:ind w:left="0" w:right="0"/>
      </w:pPr>
    </w:p>
    <w:p>
      <w:pPr>
        <w:sectPr>
          <w:pgSz w:w="11880" w:h="15660"/>
          <w:pgMar w:top="360" w:right="674" w:bottom="266" w:left="0" w:header="720" w:footer="720" w:gutter="0"/>
          <w:cols/>
          <w:docGrid w:linePitch="360"/>
        </w:sectPr>
      </w:pPr>
    </w:p>
    <w:p>
      <w:pPr>
        <w:autoSpaceDN w:val="0"/>
        <w:tabs>
          <w:tab w:pos="1238" w:val="left"/>
        </w:tabs>
        <w:autoSpaceDE w:val="0"/>
        <w:widowControl/>
        <w:spacing w:line="245" w:lineRule="auto" w:before="0" w:after="0"/>
        <w:ind w:left="968" w:right="288" w:firstLine="0"/>
        <w:jc w:val="left"/>
      </w:pP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Project. BMC Med Res Methodol. 2012;12:140. doi: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10.1186/1471-2288-12-140 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41. Hoaglin DC, Hawkins N, Jansen JP, et al. Conducting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indirect-treatment-comparison and network-meta-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analysis studies: report of the ISPOR Task Force on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Indirect Treatment Comparisons Good Research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Practices: Part 2. Value Health. 2011;14(4):429-37. doi: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10.1016/j.jval.2011.01.011 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42. Caro JJ, Briggs AH, Siebert U, Kuntz KM. Modeling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good research practices—overview: a report of the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ISPOR-SMDM Modeling Good Research Practices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Task Force—1. Value Health. 2012;15(6):796-803. doi: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10.1016/j.jval.2012.06.012 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43. Chen S, Graff J, Yun S, et al. Online tools to synthesize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real-world evidence of comparative effectiveness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research to enhance formulary decision making. </w:t>
      </w:r>
    </w:p>
    <w:p>
      <w:pPr>
        <w:autoSpaceDN w:val="0"/>
        <w:tabs>
          <w:tab w:pos="1238" w:val="left"/>
        </w:tabs>
        <w:autoSpaceDE w:val="0"/>
        <w:widowControl/>
        <w:spacing w:line="245" w:lineRule="auto" w:before="0" w:after="0"/>
        <w:ind w:left="968" w:right="288" w:firstLine="0"/>
        <w:jc w:val="left"/>
      </w:pP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J Manag Care Spec Pharm. 2021;27(1):95-104. doi: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10.18553/jmcp.2021.27.1.095 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>44. Berger ML, Martin BC, Husereau D, et al. A ques-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tionnaire to assess the relevance and credibility of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observational studies to inform health care decision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making: an ISPOR-AMCP-NPC Good Practice Task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Force report. Value Health. 2014;17(2):143-56. doi: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10.1016/j.jval.2013.12.011 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45. Jaime Caro J, Eddy DM, Kan H, et al. Questionnaire to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assess relevance and credibility of modeling studies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for informing health care decision making: an ISPOR-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AMCP-NPC Good Practice Task Force report. Value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Health. 2014;17(2):174-82. doi: 10.1016/j.jval.2014.01.003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46. Jansen JP, Trikalinos T, Cappelleri JC, et al. Indirect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treatment comparison/network meta-analysis study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questionnaire to assess relevance and credibility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to inform health care decision making: an ISPOR-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AMCP-NPC Good Practice Task Force report. Value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Health. 2014;17(2):157-73. doi: 10.1016/j.jval.2014.01.004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47. Ollendorf DA, Pearson SD. An integrated evidence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rating to frame comparative effectiveness assess-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ments for decision makers. Med Care. 2010;48(6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Suppl):S145-52. doi: 10.1097/MLR.0b013e3181d9913b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48. Ollendorf DA, Pearson SD. ICER evidence rating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matrix: a user’s guide. February 20</w:t>
      </w:r>
      <w:r>
        <w:rPr>
          <w:rFonts w:ascii="Lora" w:hAnsi="Lora" w:eastAsia="Lora"/>
          <w:b w:val="0"/>
          <w:i w:val="0"/>
          <w:color w:val="000000"/>
          <w:sz w:val="18"/>
        </w:rPr>
        <w:hyperlink r:id="rId42" w:history="1">
          <w:r>
            <w:rPr>
              <w:rStyle w:val="Hyperlink"/>
            </w:rPr>
            <w:t>16. Updated July</w:t>
          </w:r>
        </w:hyperlink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hyperlink r:id="rId42" w:history="1">
          <w:r>
            <w:rPr>
              <w:rStyle w:val="Hyperlink"/>
            </w:rPr>
            <w:t xml:space="preserve">18, 2017. Accessed January 23, 2024. </w:t>
          </w:r>
        </w:hyperlink>
      </w:r>
      <w:r>
        <w:rPr>
          <w:u w:val="single" w:color="13377c"/>
          <w:rFonts w:ascii="Lora" w:hAnsi="Lora" w:eastAsia="Lora"/>
          <w:b w:val="0"/>
          <w:i w:val="0"/>
          <w:color w:val="14377D"/>
          <w:sz w:val="18"/>
        </w:rPr>
        <w:hyperlink r:id="rId42" w:history="1">
          <w:r>
            <w:rPr>
              <w:rStyle w:val="Hyperlink"/>
            </w:rPr>
            <w:t xml:space="preserve">https://icer.org/ </w:t>
          </w:r>
        </w:hyperlink>
      </w:r>
      <w:r>
        <w:tab/>
      </w:r>
      <w:r>
        <w:rPr>
          <w:u w:val="single" w:color="13377c"/>
          <w:rFonts w:ascii="Lora" w:hAnsi="Lora" w:eastAsia="Lora"/>
          <w:b w:val="0"/>
          <w:i w:val="0"/>
          <w:color w:val="14377D"/>
          <w:sz w:val="18"/>
        </w:rPr>
        <w:hyperlink r:id="rId42" w:history="1">
          <w:r>
            <w:rPr>
              <w:rStyle w:val="Hyperlink"/>
            </w:rPr>
            <w:t>wp-content/uploads/2020/10</w:t>
          </w:r>
        </w:hyperlink>
      </w:r>
      <w:r>
        <w:rPr>
          <w:u w:val="single" w:color="13377c"/>
          <w:rFonts w:ascii="Lora" w:hAnsi="Lora" w:eastAsia="Lora"/>
          <w:b w:val="0"/>
          <w:i w:val="0"/>
          <w:color w:val="14377D"/>
          <w:sz w:val="18"/>
        </w:rPr>
        <w:hyperlink r:id="rId42" w:history="1">
          <w:r>
            <w:rPr>
              <w:rStyle w:val="Hyperlink"/>
            </w:rPr>
            <w:t>/Rat</w:t>
          </w:r>
        </w:hyperlink>
      </w:r>
      <w:r>
        <w:rPr>
          <w:u w:val="single" w:color="13377c"/>
          <w:rFonts w:ascii="Lora" w:hAnsi="Lora" w:eastAsia="Lora"/>
          <w:b w:val="0"/>
          <w:i w:val="0"/>
          <w:color w:val="14377D"/>
          <w:sz w:val="18"/>
        </w:rPr>
        <w:hyperlink r:id="rId42" w:history="1">
          <w:r>
            <w:rPr>
              <w:rStyle w:val="Hyperlink"/>
            </w:rPr>
            <w:t>ing-Matrix-User-</w:t>
          </w:r>
        </w:hyperlink>
      </w:r>
      <w:r>
        <w:tab/>
      </w:r>
      <w:r>
        <w:rPr>
          <w:u w:val="single" w:color="13377c"/>
          <w:rFonts w:ascii="Lora" w:hAnsi="Lora" w:eastAsia="Lora"/>
          <w:b w:val="0"/>
          <w:i w:val="0"/>
          <w:color w:val="14377D"/>
          <w:sz w:val="18"/>
        </w:rPr>
        <w:hyperlink r:id="rId42" w:history="1">
          <w:r>
            <w:rPr>
              <w:rStyle w:val="Hyperlink"/>
            </w:rPr>
            <w:t xml:space="preserve">Guide-UPDATED-06.30.17.pdf </w:t>
          </w:r>
        </w:hyperlink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49. </w:t>
      </w:r>
      <w:r>
        <w:rPr>
          <w:rFonts w:ascii="Lora" w:hAnsi="Lora" w:eastAsia="Lora"/>
          <w:b w:val="0"/>
          <w:i w:val="0"/>
          <w:color w:val="000000"/>
          <w:sz w:val="18"/>
        </w:rPr>
        <w:hyperlink r:id="rId42" w:history="1">
          <w:r>
            <w:rPr>
              <w:rStyle w:val="Hyperlink"/>
            </w:rPr>
            <w:t>Institute for Clinical and Econ</w:t>
          </w:r>
        </w:hyperlink>
      </w:r>
      <w:r>
        <w:rPr>
          <w:rFonts w:ascii="Lora" w:hAnsi="Lora" w:eastAsia="Lora"/>
          <w:b w:val="0"/>
          <w:i w:val="0"/>
          <w:color w:val="000000"/>
          <w:sz w:val="18"/>
        </w:rPr>
        <w:t>omic Review. E</w:t>
      </w:r>
      <w:r>
        <w:rPr>
          <w:rFonts w:ascii="Lora" w:hAnsi="Lora" w:eastAsia="Lora"/>
          <w:b w:val="0"/>
          <w:i w:val="0"/>
          <w:color w:val="000000"/>
          <w:sz w:val="18"/>
        </w:rPr>
        <w:hyperlink r:id="rId43" w:history="1">
          <w:r>
            <w:rPr>
              <w:rStyle w:val="Hyperlink"/>
            </w:rPr>
            <w:t>vidence</w:t>
          </w:r>
        </w:hyperlink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hyperlink r:id="rId43" w:history="1">
          <w:r>
            <w:rPr>
              <w:rStyle w:val="Hyperlink"/>
            </w:rPr>
            <w:t>rating matrix. Accessed Februar</w:t>
          </w:r>
        </w:hyperlink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y 2, 2024. </w:t>
      </w:r>
      <w:r>
        <w:rPr>
          <w:u w:val="single" w:color="13377c"/>
          <w:rFonts w:ascii="Lora" w:hAnsi="Lora" w:eastAsia="Lora"/>
          <w:b w:val="0"/>
          <w:i w:val="0"/>
          <w:color w:val="14377D"/>
          <w:sz w:val="18"/>
        </w:rPr>
        <w:hyperlink r:id="rId43" w:history="1">
          <w:r>
            <w:rPr>
              <w:rStyle w:val="Hyperlink"/>
            </w:rPr>
            <w:t xml:space="preserve">https:// </w:t>
          </w:r>
        </w:hyperlink>
      </w:r>
      <w:r>
        <w:tab/>
      </w:r>
      <w:r>
        <w:rPr>
          <w:u w:val="single" w:color="13377c"/>
          <w:rFonts w:ascii="Lora" w:hAnsi="Lora" w:eastAsia="Lora"/>
          <w:b w:val="0"/>
          <w:i w:val="0"/>
          <w:color w:val="14377D"/>
          <w:sz w:val="18"/>
        </w:rPr>
        <w:hyperlink r:id="rId43" w:history="1">
          <w:r>
            <w:rPr>
              <w:rStyle w:val="Hyperlink"/>
            </w:rPr>
            <w:t xml:space="preserve">icer.org/evidence-rating-matrix/ </w:t>
          </w:r>
        </w:hyperlink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>50.</w:t>
      </w:r>
      <w:r>
        <w:rPr>
          <w:rFonts w:ascii="Lora" w:hAnsi="Lora" w:eastAsia="Lora"/>
          <w:b w:val="0"/>
          <w:i w:val="0"/>
          <w:color w:val="000000"/>
          <w:sz w:val="18"/>
        </w:rPr>
        <w:hyperlink r:id="rId43" w:history="1">
          <w:r>
            <w:rPr>
              <w:rStyle w:val="Hyperlink"/>
            </w:rPr>
            <w:t xml:space="preserve"> Guyatt GH, Oxman AD, Vist G</w:t>
          </w:r>
        </w:hyperlink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E, et al. GRADE: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an emerging consensus on rating quality of evi-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dence and strength of recommendations. BMJ. </w:t>
      </w:r>
    </w:p>
    <w:p>
      <w:pPr>
        <w:autoSpaceDN w:val="0"/>
        <w:autoSpaceDE w:val="0"/>
        <w:widowControl/>
        <w:spacing w:line="221" w:lineRule="auto" w:before="0" w:after="0"/>
        <w:ind w:left="1238" w:right="0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>2008;336(7650):924-6. doi: 10.1136/bmj.39489.470347.</w:t>
      </w:r>
    </w:p>
    <w:p>
      <w:pPr>
        <w:autoSpaceDN w:val="0"/>
        <w:autoSpaceDE w:val="0"/>
        <w:widowControl/>
        <w:spacing w:line="186" w:lineRule="exact" w:before="556" w:after="0"/>
        <w:ind w:left="740" w:right="0" w:firstLine="0"/>
        <w:jc w:val="left"/>
      </w:pPr>
      <w:r>
        <w:rPr>
          <w:rFonts w:ascii="Asap" w:hAnsi="Asap" w:eastAsia="Asap"/>
          <w:b/>
          <w:i w:val="0"/>
          <w:color w:val="14377D"/>
          <w:sz w:val="14"/>
        </w:rPr>
        <w:t>JMCP</w:t>
      </w:r>
      <w:r>
        <w:rPr>
          <w:rFonts w:ascii="Asap" w:hAnsi="Asap" w:eastAsia="Asap"/>
          <w:b w:val="0"/>
          <w:i w:val="0"/>
          <w:color w:val="14377D"/>
          <w:sz w:val="14"/>
        </w:rPr>
        <w:t>.org</w:t>
      </w:r>
      <w:r>
        <w:rPr>
          <w:rFonts w:ascii="Asap" w:hAnsi="Asap" w:eastAsia="Asap"/>
          <w:b w:val="0"/>
          <w:i w:val="0"/>
          <w:color w:val="474C55"/>
          <w:sz w:val="14"/>
        </w:rPr>
        <w:t>|</w:t>
      </w:r>
      <w:r>
        <w:rPr>
          <w:rFonts w:ascii="Asap" w:hAnsi="Asap" w:eastAsia="Asap"/>
          <w:b w:val="0"/>
          <w:i w:val="0"/>
          <w:color w:val="474C55"/>
          <w:sz w:val="14"/>
        </w:rPr>
        <w:t>April 2024</w:t>
      </w:r>
      <w:r>
        <w:rPr>
          <w:rFonts w:ascii="Asap" w:hAnsi="Asap" w:eastAsia="Asap"/>
          <w:b w:val="0"/>
          <w:i w:val="0"/>
          <w:color w:val="474C55"/>
          <w:sz w:val="14"/>
        </w:rPr>
        <w:t>|</w:t>
      </w:r>
      <w:r>
        <w:rPr>
          <w:rFonts w:ascii="Asap" w:hAnsi="Asap" w:eastAsia="Asap"/>
          <w:b w:val="0"/>
          <w:i w:val="0"/>
          <w:color w:val="474C55"/>
          <w:sz w:val="14"/>
        </w:rPr>
        <w:t>Vol. 30, No. 4-B</w:t>
      </w:r>
    </w:p>
    <w:p>
      <w:pPr>
        <w:sectPr>
          <w:type w:val="continuous"/>
          <w:pgSz w:w="11880" w:h="15660"/>
          <w:pgMar w:top="360" w:right="674" w:bottom="266" w:left="0" w:header="720" w:footer="720" w:gutter="0"/>
          <w:cols w:num="2" w:equalWidth="0">
            <w:col w:w="6078" w:space="0"/>
            <w:col w:w="5128" w:space="0"/>
          </w:cols>
          <w:docGrid w:linePitch="360"/>
        </w:sectPr>
      </w:pPr>
    </w:p>
    <w:p>
      <w:pPr>
        <w:autoSpaceDN w:val="0"/>
        <w:autoSpaceDE w:val="0"/>
        <w:widowControl/>
        <w:spacing w:line="245" w:lineRule="auto" w:before="0" w:after="0"/>
        <w:ind w:left="560" w:right="20" w:hanging="270"/>
        <w:jc w:val="both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51. Guyatt GH, Oxman AD, Schünemann HJ, Tugwell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P, Knottnerus A. GRADE guidelines: a new series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of articles in the Journal of Clinical Epidemiology. </w:t>
      </w:r>
    </w:p>
    <w:p>
      <w:pPr>
        <w:autoSpaceDN w:val="0"/>
        <w:autoSpaceDE w:val="0"/>
        <w:widowControl/>
        <w:spacing w:line="223" w:lineRule="auto" w:before="0" w:after="0"/>
        <w:ind w:left="560" w:right="0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>J Clin Epidemiol. 2011;64(4):380-2. doi: 10.1016/j.</w:t>
      </w:r>
    </w:p>
    <w:p>
      <w:pPr>
        <w:autoSpaceDN w:val="0"/>
        <w:tabs>
          <w:tab w:pos="560" w:val="left"/>
        </w:tabs>
        <w:autoSpaceDE w:val="0"/>
        <w:widowControl/>
        <w:spacing w:line="245" w:lineRule="auto" w:before="0" w:after="0"/>
        <w:ind w:left="290" w:right="0" w:firstLine="0"/>
        <w:jc w:val="left"/>
      </w:pP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jclinepi.2010.09.011 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52. U.S. Preventive Services Task Force. U.S. Preventive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Services Task Force procedure manual. May 2021. </w:t>
      </w:r>
    </w:p>
    <w:p>
      <w:pPr>
        <w:autoSpaceDN w:val="0"/>
        <w:autoSpaceDE w:val="0"/>
        <w:widowControl/>
        <w:spacing w:line="223" w:lineRule="auto" w:before="0" w:after="0"/>
        <w:ind w:left="560" w:right="0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hyperlink r:id="rId44" w:history="1">
          <w:r>
            <w:rPr>
              <w:rStyle w:val="Hyperlink"/>
            </w:rPr>
            <w:t>Updated April 2023. Accessed January 23, 2024.</w:t>
          </w:r>
        </w:hyperlink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 </w:t>
      </w:r>
    </w:p>
    <w:p>
      <w:pPr>
        <w:autoSpaceDN w:val="0"/>
        <w:tabs>
          <w:tab w:pos="560" w:val="left"/>
        </w:tabs>
        <w:autoSpaceDE w:val="0"/>
        <w:widowControl/>
        <w:spacing w:line="245" w:lineRule="auto" w:before="0" w:after="0"/>
        <w:ind w:left="290" w:right="0" w:firstLine="0"/>
        <w:jc w:val="left"/>
      </w:pPr>
      <w:r>
        <w:tab/>
      </w:r>
      <w:r>
        <w:rPr>
          <w:u w:val="single" w:color="13377c"/>
          <w:rFonts w:ascii="Lora" w:hAnsi="Lora" w:eastAsia="Lora"/>
          <w:b w:val="0"/>
          <w:i w:val="0"/>
          <w:color w:val="14377D"/>
          <w:sz w:val="18"/>
        </w:rPr>
        <w:hyperlink r:id="rId44" w:history="1">
          <w:r>
            <w:rPr>
              <w:rStyle w:val="Hyperlink"/>
            </w:rPr>
            <w:t xml:space="preserve">https://www.uspreventiveservicestaskforce.org/ </w:t>
          </w:r>
        </w:hyperlink>
      </w:r>
      <w:r>
        <w:tab/>
      </w:r>
      <w:r>
        <w:rPr>
          <w:u w:val="single" w:color="13377c"/>
          <w:rFonts w:ascii="Lora" w:hAnsi="Lora" w:eastAsia="Lora"/>
          <w:b w:val="0"/>
          <w:i w:val="0"/>
          <w:color w:val="14377D"/>
          <w:sz w:val="18"/>
        </w:rPr>
        <w:hyperlink r:id="rId44" w:history="1">
          <w:r>
            <w:rPr>
              <w:rStyle w:val="Hyperlink"/>
            </w:rPr>
            <w:t>uspstf/about-us</w:t>
          </w:r>
        </w:hyperlink>
      </w:r>
      <w:r>
        <w:rPr>
          <w:u w:val="single" w:color="13377c"/>
          <w:rFonts w:ascii="Lora" w:hAnsi="Lora" w:eastAsia="Lora"/>
          <w:b w:val="0"/>
          <w:i w:val="0"/>
          <w:color w:val="14377D"/>
          <w:sz w:val="18"/>
        </w:rPr>
        <w:hyperlink r:id="rId44" w:history="1">
          <w:r>
            <w:rPr>
              <w:rStyle w:val="Hyperlink"/>
            </w:rPr>
            <w:t xml:space="preserve">pstf/methods-and-processes/ </w:t>
          </w:r>
        </w:hyperlink>
      </w:r>
      <w:r>
        <w:tab/>
      </w:r>
      <w:r>
        <w:rPr>
          <w:u w:val="single" w:color="13377c"/>
          <w:rFonts w:ascii="Lora" w:hAnsi="Lora" w:eastAsia="Lora"/>
          <w:b w:val="0"/>
          <w:i w:val="0"/>
          <w:color w:val="14377D"/>
          <w:sz w:val="18"/>
        </w:rPr>
        <w:hyperlink r:id="rId44" w:history="1">
          <w:r>
            <w:rPr>
              <w:rStyle w:val="Hyperlink"/>
            </w:rPr>
            <w:t xml:space="preserve">procedure-manual </w:t>
          </w:r>
        </w:hyperlink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>53.</w:t>
      </w:r>
      <w:r>
        <w:rPr>
          <w:rFonts w:ascii="Lora" w:hAnsi="Lora" w:eastAsia="Lora"/>
          <w:b w:val="0"/>
          <w:i w:val="0"/>
          <w:color w:val="000000"/>
          <w:sz w:val="18"/>
        </w:rPr>
        <w:hyperlink r:id="rId44" w:history="1">
          <w:r>
            <w:rPr>
              <w:rStyle w:val="Hyperlink"/>
            </w:rPr>
            <w:t xml:space="preserve"> Berger ML, Sox H</w:t>
          </w:r>
        </w:hyperlink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, Willke RJ, et al. Good practices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for real-world data studies of treatment and/or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comparative effectiveness: Recommendations from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the joint ISPOR-ISPE Special Task Force on real-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world evidence in health care decision making. </w:t>
      </w:r>
    </w:p>
    <w:p>
      <w:pPr>
        <w:autoSpaceDN w:val="0"/>
        <w:tabs>
          <w:tab w:pos="560" w:val="left"/>
        </w:tabs>
        <w:autoSpaceDE w:val="0"/>
        <w:widowControl/>
        <w:spacing w:line="245" w:lineRule="auto" w:before="0" w:after="0"/>
        <w:ind w:left="290" w:right="0" w:firstLine="0"/>
        <w:jc w:val="left"/>
      </w:pP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Pharmacoepidemiol Drug Saf. 2017;26(9):1033-9. doi: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10.1002/pds.4297 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54. Digital Therapeutics Alliance. DTA’s adoption &amp;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interpretation of ISO’s DTx</w:t>
      </w:r>
      <w:r>
        <w:rPr>
          <w:rFonts w:ascii="Lora" w:hAnsi="Lora" w:eastAsia="Lora"/>
          <w:b w:val="0"/>
          <w:i w:val="0"/>
          <w:color w:val="000000"/>
          <w:sz w:val="18"/>
        </w:rPr>
        <w:hyperlink r:id="rId45" w:history="1">
          <w:r>
            <w:rPr>
              <w:rStyle w:val="Hyperlink"/>
            </w:rPr>
            <w:t xml:space="preserve"> definition. June 2023.</w:t>
          </w:r>
        </w:hyperlink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 </w:t>
      </w:r>
    </w:p>
    <w:p>
      <w:pPr>
        <w:autoSpaceDN w:val="0"/>
        <w:tabs>
          <w:tab w:pos="560" w:val="left"/>
        </w:tabs>
        <w:autoSpaceDE w:val="0"/>
        <w:widowControl/>
        <w:spacing w:line="245" w:lineRule="auto" w:before="0" w:after="0"/>
        <w:ind w:left="290" w:right="0" w:firstLine="0"/>
        <w:jc w:val="left"/>
      </w:pP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hyperlink r:id="rId45" w:history="1">
          <w:r>
            <w:rPr>
              <w:rStyle w:val="Hyperlink"/>
            </w:rPr>
            <w:t xml:space="preserve">Accessed January 23, 2024. </w:t>
          </w:r>
        </w:hyperlink>
      </w:r>
      <w:r>
        <w:rPr>
          <w:u w:val="single" w:color="13377c"/>
          <w:rFonts w:ascii="Lora" w:hAnsi="Lora" w:eastAsia="Lora"/>
          <w:b w:val="0"/>
          <w:i w:val="0"/>
          <w:color w:val="14377D"/>
          <w:sz w:val="18"/>
        </w:rPr>
        <w:hyperlink r:id="rId45" w:history="1">
          <w:r>
            <w:rPr>
              <w:rStyle w:val="Hyperlink"/>
            </w:rPr>
            <w:t xml:space="preserve">https://dtxalliance.org/ </w:t>
          </w:r>
        </w:hyperlink>
      </w:r>
      <w:r>
        <w:tab/>
      </w:r>
      <w:r>
        <w:rPr>
          <w:u w:val="single" w:color="13377c"/>
          <w:rFonts w:ascii="Lora" w:hAnsi="Lora" w:eastAsia="Lora"/>
          <w:b w:val="0"/>
          <w:i w:val="0"/>
          <w:color w:val="14377D"/>
          <w:sz w:val="18"/>
        </w:rPr>
        <w:hyperlink r:id="rId45" w:history="1">
          <w:r>
            <w:rPr>
              <w:rStyle w:val="Hyperlink"/>
            </w:rPr>
            <w:t>wp-content/u</w:t>
          </w:r>
        </w:hyperlink>
      </w:r>
      <w:r>
        <w:rPr>
          <w:u w:val="single" w:color="13377c"/>
          <w:rFonts w:ascii="Lora" w:hAnsi="Lora" w:eastAsia="Lora"/>
          <w:b w:val="0"/>
          <w:i w:val="0"/>
          <w:color w:val="14377D"/>
          <w:sz w:val="18"/>
        </w:rPr>
        <w:hyperlink r:id="rId45" w:history="1">
          <w:r>
            <w:rPr>
              <w:rStyle w:val="Hyperlink"/>
            </w:rPr>
            <w:t>ploads/2023/</w:t>
          </w:r>
        </w:hyperlink>
      </w:r>
      <w:r>
        <w:rPr>
          <w:u w:val="single" w:color="13377c"/>
          <w:rFonts w:ascii="Lora" w:hAnsi="Lora" w:eastAsia="Lora"/>
          <w:b w:val="0"/>
          <w:i w:val="0"/>
          <w:color w:val="14377D"/>
          <w:sz w:val="18"/>
        </w:rPr>
        <w:hyperlink r:id="rId45" w:history="1">
          <w:r>
            <w:rPr>
              <w:rStyle w:val="Hyperlink"/>
            </w:rPr>
            <w:t>06/DTA_FS_New-DTx-</w:t>
          </w:r>
        </w:hyperlink>
      </w:r>
      <w:r>
        <w:tab/>
      </w:r>
      <w:r>
        <w:rPr>
          <w:u w:val="single" w:color="13377c"/>
          <w:rFonts w:ascii="Lora" w:hAnsi="Lora" w:eastAsia="Lora"/>
          <w:b w:val="0"/>
          <w:i w:val="0"/>
          <w:color w:val="14377D"/>
          <w:sz w:val="18"/>
        </w:rPr>
        <w:hyperlink r:id="rId45" w:history="1">
          <w:r>
            <w:rPr>
              <w:rStyle w:val="Hyperlink"/>
            </w:rPr>
            <w:t xml:space="preserve">Definition.pdf </w:t>
          </w:r>
        </w:hyperlink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55. </w:t>
      </w:r>
      <w:r>
        <w:rPr>
          <w:rFonts w:ascii="Lora" w:hAnsi="Lora" w:eastAsia="Lora"/>
          <w:b w:val="0"/>
          <w:i w:val="0"/>
          <w:color w:val="000000"/>
          <w:sz w:val="18"/>
        </w:rPr>
        <w:hyperlink r:id="rId45" w:history="1">
          <w:r>
            <w:rPr>
              <w:rStyle w:val="Hyperlink"/>
            </w:rPr>
            <w:t>AMCP Partne</w:t>
          </w:r>
        </w:hyperlink>
      </w:r>
      <w:r>
        <w:rPr>
          <w:rFonts w:ascii="Lora" w:hAnsi="Lora" w:eastAsia="Lora"/>
          <w:b w:val="0"/>
          <w:i w:val="0"/>
          <w:color w:val="000000"/>
          <w:sz w:val="18"/>
        </w:rPr>
        <w:t>rship Forum: Digital therapeutics—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what are they and where do they fit in pharmacy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and medical benefits? J Manag Care Spec Pharm. </w:t>
      </w:r>
    </w:p>
    <w:p>
      <w:pPr>
        <w:autoSpaceDN w:val="0"/>
        <w:tabs>
          <w:tab w:pos="560" w:val="left"/>
        </w:tabs>
        <w:autoSpaceDE w:val="0"/>
        <w:widowControl/>
        <w:spacing w:line="245" w:lineRule="auto" w:before="0" w:after="0"/>
        <w:ind w:left="290" w:right="0" w:firstLine="0"/>
        <w:jc w:val="left"/>
      </w:pP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2020;26(5):674-81. doi: 10.18553/jmcp.2020.19418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56. AMCP Partnership Forum: The evolving role of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digital therapeutics. J Manag Care Spec Pharm. </w:t>
      </w:r>
    </w:p>
    <w:p>
      <w:pPr>
        <w:autoSpaceDN w:val="0"/>
        <w:tabs>
          <w:tab w:pos="560" w:val="left"/>
        </w:tabs>
        <w:autoSpaceDE w:val="0"/>
        <w:widowControl/>
        <w:spacing w:line="245" w:lineRule="auto" w:before="0" w:after="0"/>
        <w:ind w:left="290" w:right="0" w:firstLine="0"/>
        <w:jc w:val="left"/>
      </w:pP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2022;28(7):804-10. doi:10.18553/jmcp.2022.22093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57. National Institute for Health and Care Excellence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(NICE). Evidence standards framework for digital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health technologies. Corporate document [ECD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hyperlink r:id="rId46" w:history="1">
          <w:r>
            <w:rPr>
              <w:rStyle w:val="Hyperlink"/>
            </w:rPr>
            <w:t>7]. December 10, 2018. Accessed January</w:t>
          </w:r>
        </w:hyperlink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 23, 2024. </w:t>
      </w:r>
    </w:p>
    <w:p>
      <w:pPr>
        <w:autoSpaceDN w:val="0"/>
        <w:tabs>
          <w:tab w:pos="560" w:val="left"/>
          <w:tab w:pos="1066" w:val="left"/>
          <w:tab w:pos="1788" w:val="left"/>
        </w:tabs>
        <w:autoSpaceDE w:val="0"/>
        <w:widowControl/>
        <w:spacing w:line="245" w:lineRule="auto" w:before="0" w:after="0"/>
        <w:ind w:left="290" w:right="0" w:firstLine="0"/>
        <w:jc w:val="left"/>
      </w:pPr>
      <w:r>
        <w:tab/>
      </w:r>
      <w:r>
        <w:rPr>
          <w:u w:val="single" w:color="13377c"/>
          <w:rFonts w:ascii="Lora" w:hAnsi="Lora" w:eastAsia="Lora"/>
          <w:b w:val="0"/>
          <w:i w:val="0"/>
          <w:color w:val="14377D"/>
          <w:sz w:val="18"/>
        </w:rPr>
        <w:hyperlink r:id="rId46" w:history="1">
          <w:r>
            <w:rPr>
              <w:rStyle w:val="Hyperlink"/>
            </w:rPr>
            <w:t xml:space="preserve">https://www.nice.org.uk/corporate/ecd7 </w:t>
          </w:r>
        </w:hyperlink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>58.</w:t>
      </w:r>
      <w:r>
        <w:rPr>
          <w:rFonts w:ascii="Lora" w:hAnsi="Lora" w:eastAsia="Lora"/>
          <w:b w:val="0"/>
          <w:i w:val="0"/>
          <w:color w:val="000000"/>
          <w:sz w:val="18"/>
        </w:rPr>
        <w:hyperlink r:id="rId46" w:history="1">
          <w:r>
            <w:rPr>
              <w:rStyle w:val="Hyperlink"/>
            </w:rPr>
            <w:t xml:space="preserve"> Digital Therapeutics Alliance. Advancing</w:t>
          </w:r>
        </w:hyperlink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 DTx. DTx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value asses</w:t>
      </w:r>
      <w:r>
        <w:rPr>
          <w:rFonts w:ascii="Lora" w:hAnsi="Lora" w:eastAsia="Lora"/>
          <w:b w:val="0"/>
          <w:i w:val="0"/>
          <w:color w:val="000000"/>
          <w:sz w:val="18"/>
        </w:rPr>
        <w:hyperlink r:id="rId47" w:history="1">
          <w:r>
            <w:rPr>
              <w:rStyle w:val="Hyperlink"/>
            </w:rPr>
            <w:t>sment &amp; integration. Accessed January</w:t>
          </w:r>
        </w:hyperlink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hyperlink r:id="rId47" w:history="1">
          <w:r>
            <w:rPr>
              <w:rStyle w:val="Hyperlink"/>
            </w:rPr>
            <w:t xml:space="preserve">23, 2024. </w:t>
          </w:r>
        </w:hyperlink>
      </w:r>
      <w:r>
        <w:rPr>
          <w:u w:val="single" w:color="13377c"/>
          <w:rFonts w:ascii="Lora" w:hAnsi="Lora" w:eastAsia="Lora"/>
          <w:b w:val="0"/>
          <w:i w:val="0"/>
          <w:color w:val="14377D"/>
          <w:sz w:val="18"/>
        </w:rPr>
        <w:hyperlink r:id="rId47" w:history="1">
          <w:r>
            <w:rPr>
              <w:rStyle w:val="Hyperlink"/>
            </w:rPr>
            <w:t>https:</w:t>
          </w:r>
        </w:hyperlink>
      </w:r>
      <w:r>
        <w:rPr>
          <w:u w:val="single" w:color="13377c"/>
          <w:rFonts w:ascii="Lora" w:hAnsi="Lora" w:eastAsia="Lora"/>
          <w:b w:val="0"/>
          <w:i w:val="0"/>
          <w:color w:val="14377D"/>
          <w:sz w:val="18"/>
        </w:rPr>
        <w:hyperlink r:id="rId47" w:history="1">
          <w:r>
            <w:rPr>
              <w:rStyle w:val="Hyperlink"/>
            </w:rPr>
            <w:t xml:space="preserve">//dtxalliance.org/advancing-dtx/ </w:t>
          </w:r>
        </w:hyperlink>
      </w:r>
      <w:r>
        <w:tab/>
      </w:r>
      <w:r>
        <w:rPr>
          <w:u w:val="single" w:color="13377c"/>
          <w:rFonts w:ascii="Lora" w:hAnsi="Lora" w:eastAsia="Lora"/>
          <w:b w:val="0"/>
          <w:i w:val="0"/>
          <w:color w:val="14377D"/>
          <w:sz w:val="18"/>
        </w:rPr>
        <w:hyperlink r:id="rId47" w:history="1">
          <w:r>
            <w:rPr>
              <w:rStyle w:val="Hyperlink"/>
            </w:rPr>
            <w:t>dtx-value-g</w:t>
          </w:r>
        </w:hyperlink>
      </w:r>
      <w:r>
        <w:rPr>
          <w:u w:val="single" w:color="13377c"/>
          <w:rFonts w:ascii="Lora" w:hAnsi="Lora" w:eastAsia="Lora"/>
          <w:b w:val="0"/>
          <w:i w:val="0"/>
          <w:color w:val="14377D"/>
          <w:sz w:val="18"/>
        </w:rPr>
        <w:hyperlink r:id="rId47" w:history="1">
          <w:r>
            <w:rPr>
              <w:rStyle w:val="Hyperlink"/>
            </w:rPr>
            <w:t xml:space="preserve">uide/ </w:t>
          </w:r>
        </w:hyperlink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59. </w:t>
      </w:r>
      <w:r>
        <w:rPr>
          <w:rFonts w:ascii="Lora" w:hAnsi="Lora" w:eastAsia="Lora"/>
          <w:b w:val="0"/>
          <w:i w:val="0"/>
          <w:color w:val="000000"/>
          <w:sz w:val="18"/>
        </w:rPr>
        <w:hyperlink r:id="rId47" w:history="1">
          <w:r>
            <w:rPr>
              <w:rStyle w:val="Hyperlink"/>
            </w:rPr>
            <w:t>U.S. Food &amp; Drug</w:t>
          </w:r>
        </w:hyperlink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 Administration. Use of real-world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evidence to support regulatory decision-making for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medical devices. Guidance for industry and Food and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Administration</w:t>
      </w:r>
      <w:r>
        <w:rPr>
          <w:rFonts w:ascii="Lora" w:hAnsi="Lora" w:eastAsia="Lora"/>
          <w:b w:val="0"/>
          <w:i w:val="0"/>
          <w:color w:val="000000"/>
          <w:sz w:val="18"/>
        </w:rPr>
        <w:hyperlink r:id="rId48" w:history="1">
          <w:r>
            <w:rPr>
              <w:rStyle w:val="Hyperlink"/>
            </w:rPr>
            <w:t xml:space="preserve"> staff. August 2017.  Accessed January</w:t>
          </w:r>
        </w:hyperlink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hyperlink r:id="rId48" w:history="1">
          <w:r>
            <w:rPr>
              <w:rStyle w:val="Hyperlink"/>
            </w:rPr>
            <w:t xml:space="preserve">23, </w:t>
          </w:r>
        </w:hyperlink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hyperlink r:id="rId48" w:history="1">
          <w:r>
            <w:rPr>
              <w:rStyle w:val="Hyperlink"/>
            </w:rPr>
            <w:t>2024</w:t>
          </w:r>
        </w:hyperlink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. </w:t>
      </w:r>
      <w:r>
        <w:tab/>
      </w:r>
      <w:r>
        <w:rPr>
          <w:u w:val="single" w:color="13377c"/>
          <w:rFonts w:ascii="Lora" w:hAnsi="Lora" w:eastAsia="Lora"/>
          <w:b w:val="0"/>
          <w:i w:val="0"/>
          <w:color w:val="14377D"/>
          <w:sz w:val="18"/>
        </w:rPr>
        <w:hyperlink r:id="rId48" w:history="1">
          <w:r>
            <w:rPr>
              <w:rStyle w:val="Hyperlink"/>
            </w:rPr>
            <w:t xml:space="preserve">https://www.fda.gov/media/99447/ </w:t>
          </w:r>
        </w:hyperlink>
      </w:r>
      <w:r>
        <w:tab/>
      </w:r>
      <w:r>
        <w:rPr>
          <w:u w:val="single" w:color="13377c"/>
          <w:rFonts w:ascii="Lora" w:hAnsi="Lora" w:eastAsia="Lora"/>
          <w:b w:val="0"/>
          <w:i w:val="0"/>
          <w:color w:val="14377D"/>
          <w:sz w:val="18"/>
        </w:rPr>
        <w:hyperlink r:id="rId48" w:history="1">
          <w:r>
            <w:rPr>
              <w:rStyle w:val="Hyperlink"/>
            </w:rPr>
            <w:t xml:space="preserve">download </w:t>
          </w:r>
        </w:hyperlink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>60.</w:t>
      </w:r>
      <w:r>
        <w:rPr>
          <w:rFonts w:ascii="Lora" w:hAnsi="Lora" w:eastAsia="Lora"/>
          <w:b w:val="0"/>
          <w:i w:val="0"/>
          <w:color w:val="000000"/>
          <w:sz w:val="18"/>
        </w:rPr>
        <w:hyperlink r:id="rId48" w:history="1">
          <w:r>
            <w:rPr>
              <w:rStyle w:val="Hyperlink"/>
            </w:rPr>
            <w:t xml:space="preserve"> Varadhan R</w:t>
          </w:r>
        </w:hyperlink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, Segal JB, Boyd CM, Wu AW, Weiss CO. A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framework for the analysis of heterogeneity of treat-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ment effect in patient-centered outcomes research. </w:t>
      </w:r>
    </w:p>
    <w:p>
      <w:pPr>
        <w:autoSpaceDN w:val="0"/>
        <w:autoSpaceDE w:val="0"/>
        <w:widowControl/>
        <w:spacing w:line="221" w:lineRule="auto" w:before="0" w:after="0"/>
        <w:ind w:left="560" w:right="0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>J Clin Epidemiol. 2013;66(8):818-25. doi: 10.1016/j.</w:t>
      </w:r>
    </w:p>
    <w:p>
      <w:pPr>
        <w:autoSpaceDN w:val="0"/>
        <w:tabs>
          <w:tab w:pos="560" w:val="left"/>
        </w:tabs>
        <w:autoSpaceDE w:val="0"/>
        <w:widowControl/>
        <w:spacing w:line="245" w:lineRule="auto" w:before="0" w:after="0"/>
        <w:ind w:left="290" w:right="0" w:firstLine="0"/>
        <w:jc w:val="left"/>
      </w:pP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jclinepi.2013.02.009 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61. Malone DC, Hines LE, Graff JS. The good, the bad, and </w:t>
      </w:r>
    </w:p>
    <w:p>
      <w:pPr>
        <w:sectPr>
          <w:type w:val="nextColumn"/>
          <w:pgSz w:w="11880" w:h="15660"/>
          <w:pgMar w:top="360" w:right="674" w:bottom="266" w:left="0" w:header="720" w:footer="720" w:gutter="0"/>
          <w:cols w:num="2" w:equalWidth="0">
            <w:col w:w="6078" w:space="0"/>
            <w:col w:w="5128" w:space="0"/>
          </w:cols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090.0" w:type="dxa"/>
      </w:tblPr>
      <w:tblGrid>
        <w:gridCol w:w="4725"/>
        <w:gridCol w:w="4725"/>
      </w:tblGrid>
      <w:tr>
        <w:trPr>
          <w:trHeight w:hRule="exact" w:val="362"/>
        </w:trPr>
        <w:tc>
          <w:tcPr>
            <w:tcW w:type="dxa" w:w="570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4" w:after="0"/>
              <w:ind w:left="0" w:right="90" w:firstLine="0"/>
              <w:jc w:val="right"/>
            </w:pPr>
            <w:r>
              <w:rPr>
                <w:rFonts w:ascii="Asap" w:hAnsi="Asap" w:eastAsia="Asap"/>
                <w:b/>
                <w:i w:val="0"/>
                <w:color w:val="474C55"/>
                <w:sz w:val="18"/>
              </w:rPr>
              <w:t>AMCP FORMAT 5.0</w:t>
            </w:r>
          </w:p>
        </w:tc>
        <w:tc>
          <w:tcPr>
            <w:tcW w:type="dxa" w:w="1094"/>
            <w:tcBorders/>
            <w:shd w:fill="6b146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72" w:after="0"/>
              <w:ind w:left="90" w:right="0" w:firstLine="0"/>
              <w:jc w:val="left"/>
            </w:pPr>
            <w:r>
              <w:rPr>
                <w:rFonts w:ascii="Asap" w:hAnsi="Asap" w:eastAsia="Asap"/>
                <w:b/>
                <w:i w:val="0"/>
                <w:color w:val="FFFFFF"/>
                <w:sz w:val="18"/>
              </w:rPr>
              <w:t>63</w:t>
            </w:r>
          </w:p>
        </w:tc>
      </w:tr>
    </w:tbl>
    <w:p>
      <w:pPr>
        <w:autoSpaceDN w:val="0"/>
        <w:autoSpaceDE w:val="0"/>
        <w:widowControl/>
        <w:spacing w:line="14" w:lineRule="exact" w:before="0" w:after="1036"/>
        <w:ind w:left="0" w:right="0"/>
      </w:pPr>
    </w:p>
    <w:p>
      <w:pPr>
        <w:sectPr>
          <w:pgSz w:w="11880" w:h="15660"/>
          <w:pgMar w:top="360" w:right="0" w:bottom="266" w:left="99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45" w:lineRule="auto" w:before="0" w:after="0"/>
        <w:ind w:left="144" w:right="288" w:firstLine="0"/>
        <w:jc w:val="center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the different: a primer on aspects of heterogeneity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of treatment effects. J Manag Care Spec Pharm. </w:t>
      </w:r>
    </w:p>
    <w:p>
      <w:pPr>
        <w:autoSpaceDN w:val="0"/>
        <w:autoSpaceDE w:val="0"/>
        <w:widowControl/>
        <w:spacing w:line="245" w:lineRule="auto" w:before="0" w:after="0"/>
        <w:ind w:left="0" w:right="288" w:firstLine="0"/>
        <w:jc w:val="center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2014;20(6):555-63. doi: 10.18553/jmcp.2014.20.6.555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62. Warholak TL, Hilgaertner JW, Dean JL, et al. </w:t>
      </w:r>
    </w:p>
    <w:p>
      <w:pPr>
        <w:autoSpaceDN w:val="0"/>
        <w:autoSpaceDE w:val="0"/>
        <w:widowControl/>
        <w:spacing w:line="245" w:lineRule="auto" w:before="0" w:after="0"/>
        <w:ind w:left="144" w:right="288" w:firstLine="0"/>
        <w:jc w:val="center"/>
      </w:pPr>
      <w:r>
        <w:rPr>
          <w:rFonts w:ascii="Lora" w:hAnsi="Lora" w:eastAsia="Lora"/>
          <w:b w:val="0"/>
          <w:i w:val="0"/>
          <w:color w:val="000000"/>
          <w:sz w:val="18"/>
        </w:rPr>
        <w:t>Evaluation of an educational program on decipher-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ing heterogeneity for medical coverage decisions. </w:t>
      </w:r>
    </w:p>
    <w:p>
      <w:pPr>
        <w:autoSpaceDN w:val="0"/>
        <w:tabs>
          <w:tab w:pos="270" w:val="left"/>
        </w:tabs>
        <w:autoSpaceDE w:val="0"/>
        <w:widowControl/>
        <w:spacing w:line="245" w:lineRule="auto" w:before="0" w:after="0"/>
        <w:ind w:left="0" w:right="288" w:firstLine="0"/>
        <w:jc w:val="left"/>
      </w:pP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J Manag Care Spec Pharm. 2014;20(6):566-73. doi: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10.18553/jmcp.2014.20.6.566 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63. Willke RJ, Zheng Z, Subedi P, Althin R, Mullins CD. </w:t>
      </w:r>
    </w:p>
    <w:p>
      <w:pPr>
        <w:autoSpaceDN w:val="0"/>
        <w:autoSpaceDE w:val="0"/>
        <w:widowControl/>
        <w:spacing w:line="245" w:lineRule="auto" w:before="0" w:after="0"/>
        <w:ind w:left="270" w:right="290" w:firstLine="0"/>
        <w:jc w:val="both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From concepts, theory, and evidence of heterogeneity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of treatment effects to methodological approaches: a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primer. BMC Med Res Methodol. 2012 Dec 13;12:185. </w:t>
      </w:r>
    </w:p>
    <w:p>
      <w:pPr>
        <w:autoSpaceDN w:val="0"/>
        <w:tabs>
          <w:tab w:pos="270" w:val="left"/>
        </w:tabs>
        <w:autoSpaceDE w:val="0"/>
        <w:widowControl/>
        <w:spacing w:line="245" w:lineRule="auto" w:before="0" w:after="0"/>
        <w:ind w:left="0" w:right="288" w:firstLine="0"/>
        <w:jc w:val="left"/>
      </w:pP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doi: 10.1186/1471-2288-12-185 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64. Kent DM, Rothwell PM, Ioannidis JP, Altman DG,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Hayward RA. Assessing and reporting heterogeneity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in treatment effects in clinical trials: a proposal. </w:t>
      </w:r>
    </w:p>
    <w:p>
      <w:pPr>
        <w:autoSpaceDN w:val="0"/>
        <w:tabs>
          <w:tab w:pos="270" w:val="left"/>
        </w:tabs>
        <w:autoSpaceDE w:val="0"/>
        <w:widowControl/>
        <w:spacing w:line="245" w:lineRule="auto" w:before="0" w:after="0"/>
        <w:ind w:left="0" w:right="288" w:firstLine="0"/>
        <w:jc w:val="left"/>
      </w:pP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Trials. 2010 Aug 12;11:85. doi: 10.1186/1745-6215-11-85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65. Briggs AH, Weinstein MC, Fenwick EA, Karnon J,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Sculpher MJ, Paltiel AD. Model parameter estima-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tion and uncertainty: a report of the ISPOR-SMDM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Modeling Good Research Practices Task Force—6. </w:t>
      </w:r>
    </w:p>
    <w:p>
      <w:pPr>
        <w:autoSpaceDN w:val="0"/>
        <w:autoSpaceDE w:val="0"/>
        <w:widowControl/>
        <w:spacing w:line="223" w:lineRule="auto" w:before="0" w:after="0"/>
        <w:ind w:left="0" w:right="0" w:firstLine="0"/>
        <w:jc w:val="center"/>
      </w:pPr>
      <w:r>
        <w:rPr>
          <w:rFonts w:ascii="Lora" w:hAnsi="Lora" w:eastAsia="Lora"/>
          <w:b w:val="0"/>
          <w:i w:val="0"/>
          <w:color w:val="000000"/>
          <w:sz w:val="18"/>
        </w:rPr>
        <w:t>Value Health. 2012;15(6):835-42. doi: 10.1016/j.</w:t>
      </w:r>
    </w:p>
    <w:p>
      <w:pPr>
        <w:autoSpaceDN w:val="0"/>
        <w:tabs>
          <w:tab w:pos="270" w:val="left"/>
        </w:tabs>
        <w:autoSpaceDE w:val="0"/>
        <w:widowControl/>
        <w:spacing w:line="245" w:lineRule="auto" w:before="0" w:after="0"/>
        <w:ind w:left="0" w:right="288" w:firstLine="0"/>
        <w:jc w:val="left"/>
      </w:pP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jval.2012.04.014 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66. Eddy DM, Hollingworth W, Caro JJ, Tsevat J, McDonald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KM, Wong JB. Model transparency and validation: a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report of the ISPOR-SMDM Modeling Good Research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Practices Task Force—7. Value Health. 2012;15(6):843-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50. doi: 10.1016/j.jval.2012.04.012 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67. Karnon J, Stahl J, Brennan A, Caro JJ, Mar J, Möller J. </w:t>
      </w:r>
    </w:p>
    <w:p>
      <w:pPr>
        <w:autoSpaceDN w:val="0"/>
        <w:tabs>
          <w:tab w:pos="270" w:val="left"/>
        </w:tabs>
        <w:autoSpaceDE w:val="0"/>
        <w:widowControl/>
        <w:spacing w:line="245" w:lineRule="auto" w:before="0" w:after="0"/>
        <w:ind w:left="0" w:right="288" w:firstLine="0"/>
        <w:jc w:val="left"/>
      </w:pP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Modeling using discrete event simulation: a report of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the ISPOR-SMDM Modeling Good Research Practices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Task Force—4. Value Health. 2012;15(6):821-7. doi: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10.1016/j.jval.2012.04.013 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>68. Pitman R, Fisman D, Zaric GS, et al. Dynamic trans-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mission modeling: a report of the ISPOR-SMDM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Modeling Good Research Practices Task Force—5. </w:t>
      </w:r>
    </w:p>
    <w:p>
      <w:pPr>
        <w:autoSpaceDN w:val="0"/>
        <w:autoSpaceDE w:val="0"/>
        <w:widowControl/>
        <w:spacing w:line="221" w:lineRule="auto" w:before="0" w:after="0"/>
        <w:ind w:left="0" w:right="0" w:firstLine="0"/>
        <w:jc w:val="center"/>
      </w:pPr>
      <w:r>
        <w:rPr>
          <w:rFonts w:ascii="Lora" w:hAnsi="Lora" w:eastAsia="Lora"/>
          <w:b w:val="0"/>
          <w:i w:val="0"/>
          <w:color w:val="000000"/>
          <w:sz w:val="18"/>
        </w:rPr>
        <w:t>Value Health. 2012;15(6):828-34. doi: 10.1016/j.</w:t>
      </w:r>
    </w:p>
    <w:p>
      <w:pPr>
        <w:autoSpaceDN w:val="0"/>
        <w:tabs>
          <w:tab w:pos="270" w:val="left"/>
        </w:tabs>
        <w:autoSpaceDE w:val="0"/>
        <w:widowControl/>
        <w:spacing w:line="245" w:lineRule="auto" w:before="0" w:after="0"/>
        <w:ind w:left="0" w:right="288" w:firstLine="0"/>
        <w:jc w:val="left"/>
      </w:pP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jval.2012.06.011 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69. Roberts M, Russell LB, Paltiel AD, Chambers M,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McEwan P, Krahn M. Conceptualizing a model: a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report of the ISPOR-SMDM Modeling Good Research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Practices Task Force—2. Value Health. 2012;15(6):804-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11. doi: 10.1016/j.jval.2012.06.016 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>70. Siebert U, Alagoz O, Bayoumi AM, et al. State-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transition modeling: a report of the ISPOR-SMDM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Modeling Good Research Practices Task Force—3. </w:t>
      </w:r>
    </w:p>
    <w:p>
      <w:pPr>
        <w:autoSpaceDN w:val="0"/>
        <w:autoSpaceDE w:val="0"/>
        <w:widowControl/>
        <w:spacing w:line="223" w:lineRule="auto" w:before="0" w:after="0"/>
        <w:ind w:left="0" w:right="0" w:firstLine="0"/>
        <w:jc w:val="center"/>
      </w:pPr>
      <w:r>
        <w:rPr>
          <w:rFonts w:ascii="Lora" w:hAnsi="Lora" w:eastAsia="Lora"/>
          <w:b w:val="0"/>
          <w:i w:val="0"/>
          <w:color w:val="000000"/>
          <w:sz w:val="18"/>
        </w:rPr>
        <w:t>Value Health. 2012;15(6):812-20. doi: 10.1016/j.</w:t>
      </w:r>
    </w:p>
    <w:p>
      <w:pPr>
        <w:autoSpaceDN w:val="0"/>
        <w:tabs>
          <w:tab w:pos="270" w:val="left"/>
        </w:tabs>
        <w:autoSpaceDE w:val="0"/>
        <w:widowControl/>
        <w:spacing w:line="245" w:lineRule="auto" w:before="0" w:after="0"/>
        <w:ind w:left="0" w:right="288" w:firstLine="0"/>
        <w:jc w:val="left"/>
      </w:pP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jval.2012.06.014 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71. Sullivan SD, Mauskopf JA, Augustovski F, et al. Budget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impact analysis-principles of good practice: report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of the ISPOR 2012 Budget Impact Analysis Good </w:t>
      </w:r>
    </w:p>
    <w:p>
      <w:pPr>
        <w:sectPr>
          <w:type w:val="continuous"/>
          <w:pgSz w:w="11880" w:h="15660"/>
          <w:pgMar w:top="360" w:right="0" w:bottom="266" w:left="990" w:header="720" w:footer="720" w:gutter="0"/>
          <w:cols w:num="2" w:equalWidth="0">
            <w:col w:w="5108" w:space="0"/>
            <w:col w:w="5782" w:space="0"/>
          </w:cols>
          <w:docGrid w:linePitch="360"/>
        </w:sectPr>
      </w:pPr>
    </w:p>
    <w:p>
      <w:pPr>
        <w:autoSpaceDN w:val="0"/>
        <w:autoSpaceDE w:val="0"/>
        <w:widowControl/>
        <w:spacing w:line="223" w:lineRule="auto" w:before="0" w:after="0"/>
        <w:ind w:left="562" w:right="0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Practice II Task Force. Value Health. 2014;17(1):5-14. </w:t>
      </w:r>
    </w:p>
    <w:p>
      <w:pPr>
        <w:autoSpaceDN w:val="0"/>
        <w:tabs>
          <w:tab w:pos="562" w:val="left"/>
        </w:tabs>
        <w:autoSpaceDE w:val="0"/>
        <w:widowControl/>
        <w:spacing w:line="245" w:lineRule="auto" w:before="0" w:after="0"/>
        <w:ind w:left="292" w:right="576" w:firstLine="0"/>
        <w:jc w:val="left"/>
      </w:pP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doi: 10.1016/j.jval.2013.08.2291 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72. Mauskopf JA, Sullivan SD, Annemans L, et al. </w:t>
      </w:r>
    </w:p>
    <w:p>
      <w:pPr>
        <w:autoSpaceDN w:val="0"/>
        <w:autoSpaceDE w:val="0"/>
        <w:widowControl/>
        <w:spacing w:line="245" w:lineRule="auto" w:before="0" w:after="0"/>
        <w:ind w:left="432" w:right="576" w:firstLine="0"/>
        <w:jc w:val="center"/>
      </w:pPr>
      <w:r>
        <w:rPr>
          <w:rFonts w:ascii="Lora" w:hAnsi="Lora" w:eastAsia="Lora"/>
          <w:b w:val="0"/>
          <w:i w:val="0"/>
          <w:color w:val="000000"/>
          <w:sz w:val="18"/>
        </w:rPr>
        <w:t>Principles of good practice for budget impact analy-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sis: report of the ISPOR Task Force on good research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practices—budget impact analysis. Value Health. </w:t>
      </w:r>
    </w:p>
    <w:p>
      <w:pPr>
        <w:autoSpaceDN w:val="0"/>
        <w:tabs>
          <w:tab w:pos="562" w:val="left"/>
        </w:tabs>
        <w:autoSpaceDE w:val="0"/>
        <w:widowControl/>
        <w:spacing w:line="245" w:lineRule="auto" w:before="0" w:after="0"/>
        <w:ind w:left="292" w:right="576" w:firstLine="0"/>
        <w:jc w:val="left"/>
      </w:pP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2007;10(5):336-47. doi: 10.1111/j.1524-4733.2007.00187.x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73. Gold MR, Siegel JE, Russell LB, Weinstein MC, eds. </w:t>
      </w:r>
    </w:p>
    <w:p>
      <w:pPr>
        <w:autoSpaceDN w:val="0"/>
        <w:autoSpaceDE w:val="0"/>
        <w:widowControl/>
        <w:spacing w:line="245" w:lineRule="auto" w:before="0" w:after="0"/>
        <w:ind w:left="562" w:right="576" w:firstLine="0"/>
        <w:jc w:val="left"/>
      </w:pPr>
      <w:r>
        <w:rPr>
          <w:rFonts w:ascii="Lora" w:hAnsi="Lora" w:eastAsia="Lora"/>
          <w:b w:val="0"/>
          <w:i/>
          <w:color w:val="000000"/>
          <w:sz w:val="18"/>
        </w:rPr>
        <w:t>Cost-effectiveness in Health and Medicine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. Oxford </w:t>
      </w:r>
      <w:r>
        <w:rPr>
          <w:rFonts w:ascii="Lora" w:hAnsi="Lora" w:eastAsia="Lora"/>
          <w:b w:val="0"/>
          <w:i w:val="0"/>
          <w:color w:val="000000"/>
          <w:sz w:val="18"/>
        </w:rPr>
        <w:t>University Press; 1996.</w:t>
      </w:r>
    </w:p>
    <w:p>
      <w:pPr>
        <w:autoSpaceDN w:val="0"/>
        <w:autoSpaceDE w:val="0"/>
        <w:widowControl/>
        <w:spacing w:line="223" w:lineRule="auto" w:before="0" w:after="0"/>
        <w:ind w:left="292" w:right="0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74. Husereau D, Drummond M, Augustovski F, et al. </w:t>
      </w:r>
    </w:p>
    <w:p>
      <w:pPr>
        <w:autoSpaceDN w:val="0"/>
        <w:autoSpaceDE w:val="0"/>
        <w:widowControl/>
        <w:spacing w:line="245" w:lineRule="auto" w:before="0" w:after="0"/>
        <w:ind w:left="562" w:right="672" w:firstLine="0"/>
        <w:jc w:val="both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Consolidated Health Economic Evaluation Reporting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Standards 2022 (CHEERS 2022) statement: updated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reporting guidance for health economic evaluations. </w:t>
      </w:r>
    </w:p>
    <w:p>
      <w:pPr>
        <w:autoSpaceDN w:val="0"/>
        <w:autoSpaceDE w:val="0"/>
        <w:widowControl/>
        <w:spacing w:line="223" w:lineRule="auto" w:before="0" w:after="0"/>
        <w:ind w:left="562" w:right="0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J Manage Care Spec Pharm. 2022;28(2):pg 146-55. </w:t>
      </w:r>
    </w:p>
    <w:p>
      <w:pPr>
        <w:autoSpaceDN w:val="0"/>
        <w:tabs>
          <w:tab w:pos="562" w:val="left"/>
        </w:tabs>
        <w:autoSpaceDE w:val="0"/>
        <w:widowControl/>
        <w:spacing w:line="245" w:lineRule="auto" w:before="0" w:after="0"/>
        <w:ind w:left="292" w:right="576" w:firstLine="0"/>
        <w:jc w:val="left"/>
      </w:pPr>
      <w:r>
        <w:tab/>
      </w:r>
      <w:r>
        <w:rPr>
          <w:u w:val="single" w:color="13377c"/>
          <w:rFonts w:ascii="Lora" w:hAnsi="Lora" w:eastAsia="Lora"/>
          <w:b w:val="0"/>
          <w:i w:val="0"/>
          <w:color w:val="14377D"/>
          <w:sz w:val="18"/>
        </w:rPr>
        <w:t xml:space="preserve">doi.org/10.18553/jmcp.2022.28.2.146 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75. AMCP. The AMCP format for formulary submissions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hyperlink r:id="rId49" w:history="1">
          <w:r>
            <w:rPr>
              <w:rStyle w:val="Hyperlink"/>
            </w:rPr>
            <w:t>(version 4.0). April 2016. Accessed January 23, 2024.</w:t>
          </w:r>
        </w:hyperlink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 </w:t>
      </w:r>
    </w:p>
    <w:p>
      <w:pPr>
        <w:autoSpaceDN w:val="0"/>
        <w:tabs>
          <w:tab w:pos="562" w:val="left"/>
        </w:tabs>
        <w:autoSpaceDE w:val="0"/>
        <w:widowControl/>
        <w:spacing w:line="245" w:lineRule="auto" w:before="0" w:after="0"/>
        <w:ind w:left="292" w:right="576" w:firstLine="0"/>
        <w:jc w:val="left"/>
      </w:pPr>
      <w:r>
        <w:tab/>
      </w:r>
      <w:r>
        <w:rPr>
          <w:u w:val="single" w:color="13377c"/>
          <w:rFonts w:ascii="Lora" w:hAnsi="Lora" w:eastAsia="Lora"/>
          <w:b w:val="0"/>
          <w:i w:val="0"/>
          <w:color w:val="14377D"/>
          <w:sz w:val="18"/>
        </w:rPr>
        <w:hyperlink r:id="rId49" w:history="1">
          <w:r>
            <w:rPr>
              <w:rStyle w:val="Hyperlink"/>
            </w:rPr>
            <w:t>https://www.amcp.org</w:t>
          </w:r>
        </w:hyperlink>
      </w:r>
      <w:r>
        <w:rPr>
          <w:u w:val="single" w:color="13377c"/>
          <w:rFonts w:ascii="Lora" w:hAnsi="Lora" w:eastAsia="Lora"/>
          <w:b w:val="0"/>
          <w:i w:val="0"/>
          <w:color w:val="14377D"/>
          <w:sz w:val="18"/>
        </w:rPr>
        <w:hyperlink r:id="rId49" w:history="1">
          <w:r>
            <w:rPr>
              <w:rStyle w:val="Hyperlink"/>
            </w:rPr>
            <w:t>/sites/default/files/2019-</w:t>
          </w:r>
        </w:hyperlink>
      </w:r>
      <w:r>
        <w:tab/>
      </w:r>
      <w:r>
        <w:rPr>
          <w:u w:val="single" w:color="13377c"/>
          <w:rFonts w:ascii="Lora" w:hAnsi="Lora" w:eastAsia="Lora"/>
          <w:b w:val="0"/>
          <w:i w:val="0"/>
          <w:color w:val="14377D"/>
          <w:sz w:val="18"/>
        </w:rPr>
        <w:hyperlink r:id="rId49" w:history="1">
          <w:r>
            <w:rPr>
              <w:rStyle w:val="Hyperlink"/>
            </w:rPr>
            <w:t xml:space="preserve">03/AMCP-Format-V4.pdf </w:t>
          </w:r>
        </w:hyperlink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76. </w:t>
      </w:r>
      <w:r>
        <w:rPr>
          <w:rFonts w:ascii="Lora" w:hAnsi="Lora" w:eastAsia="Lora"/>
          <w:b w:val="0"/>
          <w:i w:val="0"/>
          <w:color w:val="000000"/>
          <w:sz w:val="18"/>
        </w:rPr>
        <w:hyperlink r:id="rId49" w:history="1">
          <w:r>
            <w:rPr>
              <w:rStyle w:val="Hyperlink"/>
            </w:rPr>
            <w:t xml:space="preserve">Dodda S, Bannister B, </w:t>
          </w:r>
        </w:hyperlink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Hydery T, Gorey C, Dunlap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S, Mody L. Best practices in designing preapproval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information engagements for US health care decision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makers. J Manag Care Spec Pharm. 2023;29(3):245-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50. doi: 10.18553/jmcp.2023.29.3.245 </w:t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>77. Misbranded drugs and dev</w:t>
      </w:r>
      <w:r>
        <w:rPr>
          <w:rFonts w:ascii="Lora" w:hAnsi="Lora" w:eastAsia="Lora"/>
          <w:b w:val="0"/>
          <w:i w:val="0"/>
          <w:color w:val="000000"/>
          <w:sz w:val="18"/>
        </w:rPr>
        <w:hyperlink r:id="rId50" w:history="1">
          <w:r>
            <w:rPr>
              <w:rStyle w:val="Hyperlink"/>
            </w:rPr>
            <w:t>ices, 21 USC §352.</w:t>
          </w:r>
        </w:hyperlink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 </w:t>
      </w:r>
    </w:p>
    <w:p>
      <w:pPr>
        <w:autoSpaceDN w:val="0"/>
        <w:autoSpaceDE w:val="0"/>
        <w:widowControl/>
        <w:spacing w:line="221" w:lineRule="auto" w:before="0" w:after="0"/>
        <w:ind w:left="562" w:right="0" w:firstLine="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hyperlink r:id="rId50" w:history="1">
          <w:r>
            <w:rPr>
              <w:rStyle w:val="Hyperlink"/>
            </w:rPr>
            <w:t xml:space="preserve">Accessed January 23, 2024. </w:t>
          </w:r>
        </w:hyperlink>
      </w:r>
      <w:r>
        <w:rPr>
          <w:u w:val="single" w:color="13377c"/>
          <w:rFonts w:ascii="Lora" w:hAnsi="Lora" w:eastAsia="Lora"/>
          <w:b w:val="0"/>
          <w:i w:val="0"/>
          <w:color w:val="14377D"/>
          <w:sz w:val="18"/>
        </w:rPr>
        <w:hyperlink r:id="rId50" w:history="1">
          <w:r>
            <w:rPr>
              <w:rStyle w:val="Hyperlink"/>
            </w:rPr>
            <w:t>https://uscode.house.</w:t>
          </w:r>
        </w:hyperlink>
      </w:r>
    </w:p>
    <w:p>
      <w:pPr>
        <w:autoSpaceDN w:val="0"/>
        <w:tabs>
          <w:tab w:pos="562" w:val="left"/>
          <w:tab w:pos="1072" w:val="left"/>
          <w:tab w:pos="1798" w:val="left"/>
        </w:tabs>
        <w:autoSpaceDE w:val="0"/>
        <w:widowControl/>
        <w:spacing w:line="245" w:lineRule="auto" w:before="0" w:after="0"/>
        <w:ind w:left="292" w:right="576" w:firstLine="0"/>
        <w:jc w:val="left"/>
      </w:pPr>
      <w:r>
        <w:tab/>
      </w:r>
      <w:r>
        <w:rPr>
          <w:u w:val="single" w:color="13377c"/>
          <w:rFonts w:ascii="Lora" w:hAnsi="Lora" w:eastAsia="Lora"/>
          <w:b w:val="0"/>
          <w:i w:val="0"/>
          <w:color w:val="14377D"/>
          <w:sz w:val="18"/>
        </w:rPr>
        <w:hyperlink r:id="rId50" w:history="1">
          <w:r>
            <w:rPr>
              <w:rStyle w:val="Hyperlink"/>
            </w:rPr>
            <w:t>gov/view.xhtml?req=granulei</w:t>
          </w:r>
        </w:hyperlink>
      </w:r>
      <w:r>
        <w:rPr>
          <w:u w:val="single" w:color="13377c"/>
          <w:rFonts w:ascii="Lora" w:hAnsi="Lora" w:eastAsia="Lora"/>
          <w:b w:val="0"/>
          <w:i w:val="0"/>
          <w:color w:val="14377D"/>
          <w:sz w:val="18"/>
        </w:rPr>
        <w:hyperlink r:id="rId50" w:history="1">
          <w:r>
            <w:rPr>
              <w:rStyle w:val="Hyperlink"/>
            </w:rPr>
            <w:t>d:US</w:t>
          </w:r>
        </w:hyperlink>
      </w:r>
      <w:r>
        <w:rPr>
          <w:u w:val="single" w:color="13377c"/>
          <w:rFonts w:ascii="Lora" w:hAnsi="Lora" w:eastAsia="Lora"/>
          <w:b w:val="0"/>
          <w:i w:val="0"/>
          <w:color w:val="14377D"/>
          <w:sz w:val="18"/>
        </w:rPr>
        <w:hyperlink r:id="rId50" w:history="1">
          <w:r>
            <w:rPr>
              <w:rStyle w:val="Hyperlink"/>
            </w:rPr>
            <w:t>C-prelim-title21-</w:t>
          </w:r>
        </w:hyperlink>
      </w:r>
      <w:r>
        <w:tab/>
      </w:r>
      <w:r>
        <w:rPr>
          <w:u w:val="single" w:color="13377c"/>
          <w:rFonts w:ascii="Lora" w:hAnsi="Lora" w:eastAsia="Lora"/>
          <w:b w:val="0"/>
          <w:i w:val="0"/>
          <w:color w:val="14377D"/>
          <w:sz w:val="18"/>
        </w:rPr>
        <w:hyperlink r:id="rId50" w:history="1">
          <w:r>
            <w:rPr>
              <w:rStyle w:val="Hyperlink"/>
            </w:rPr>
            <w:t xml:space="preserve">section352&amp;num=0&amp;edition=prelim </w:t>
          </w:r>
        </w:hyperlink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78. </w:t>
      </w:r>
      <w:r>
        <w:rPr>
          <w:rFonts w:ascii="Lora" w:hAnsi="Lora" w:eastAsia="Lora"/>
          <w:b w:val="0"/>
          <w:i w:val="0"/>
          <w:color w:val="000000"/>
          <w:sz w:val="18"/>
        </w:rPr>
        <w:hyperlink r:id="rId50" w:history="1">
          <w:r>
            <w:rPr>
              <w:rStyle w:val="Hyperlink"/>
            </w:rPr>
            <w:t>Chawla A, Westrich K, Matter S,</w:t>
          </w:r>
        </w:hyperlink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 Kaltenboeck A,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Dubois R. Care pathways in US healthcare settings: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current successes and limitations, and future chal-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lenges. Am J Manag C</w:t>
      </w:r>
      <w:r>
        <w:rPr>
          <w:rFonts w:ascii="Lora" w:hAnsi="Lora" w:eastAsia="Lora"/>
          <w:b w:val="0"/>
          <w:i w:val="0"/>
          <w:color w:val="000000"/>
          <w:sz w:val="18"/>
        </w:rPr>
        <w:hyperlink r:id="rId51" w:history="1">
          <w:r>
            <w:rPr>
              <w:rStyle w:val="Hyperlink"/>
            </w:rPr>
            <w:t>are. 2016;22(1):53-62. Accessed</w:t>
          </w:r>
        </w:hyperlink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hyperlink r:id="rId51" w:history="1">
          <w:r>
            <w:rPr>
              <w:rStyle w:val="Hyperlink"/>
            </w:rPr>
            <w:t xml:space="preserve">January 23, 2024. </w:t>
          </w:r>
        </w:hyperlink>
      </w:r>
      <w:r>
        <w:rPr>
          <w:u w:val="single" w:color="13377c"/>
          <w:rFonts w:ascii="Lora" w:hAnsi="Lora" w:eastAsia="Lora"/>
          <w:b w:val="0"/>
          <w:i w:val="0"/>
          <w:color w:val="14377D"/>
          <w:sz w:val="18"/>
        </w:rPr>
        <w:hyperlink r:id="rId51" w:history="1">
          <w:r>
            <w:rPr>
              <w:rStyle w:val="Hyperlink"/>
            </w:rPr>
            <w:t xml:space="preserve">https://www.ajmc.com/view/ </w:t>
          </w:r>
        </w:hyperlink>
      </w:r>
      <w:r>
        <w:tab/>
      </w:r>
      <w:r>
        <w:rPr>
          <w:u w:val="single" w:color="13377c"/>
          <w:rFonts w:ascii="Lora" w:hAnsi="Lora" w:eastAsia="Lora"/>
          <w:b w:val="0"/>
          <w:i w:val="0"/>
          <w:color w:val="14377D"/>
          <w:sz w:val="18"/>
        </w:rPr>
        <w:hyperlink r:id="rId51" w:history="1">
          <w:r>
            <w:rPr>
              <w:rStyle w:val="Hyperlink"/>
            </w:rPr>
            <w:t>care-pathways-in-us</w:t>
          </w:r>
        </w:hyperlink>
      </w:r>
      <w:r>
        <w:rPr>
          <w:u w:val="single" w:color="13377c"/>
          <w:rFonts w:ascii="Lora" w:hAnsi="Lora" w:eastAsia="Lora"/>
          <w:b w:val="0"/>
          <w:i w:val="0"/>
          <w:color w:val="14377D"/>
          <w:sz w:val="18"/>
        </w:rPr>
        <w:hyperlink r:id="rId51" w:history="1">
          <w:r>
            <w:rPr>
              <w:rStyle w:val="Hyperlink"/>
            </w:rPr>
            <w:t>-healthcare-settings-curre</w:t>
          </w:r>
        </w:hyperlink>
      </w:r>
      <w:r>
        <w:rPr>
          <w:u w:val="single" w:color="13377c"/>
          <w:rFonts w:ascii="Lora" w:hAnsi="Lora" w:eastAsia="Lora"/>
          <w:b w:val="0"/>
          <w:i w:val="0"/>
          <w:color w:val="14377D"/>
          <w:sz w:val="18"/>
        </w:rPr>
        <w:hyperlink r:id="rId51" w:history="1">
          <w:r>
            <w:rPr>
              <w:rStyle w:val="Hyperlink"/>
            </w:rPr>
            <w:t>nt-</w:t>
          </w:r>
        </w:hyperlink>
      </w:r>
      <w:r>
        <w:tab/>
      </w:r>
      <w:r>
        <w:rPr>
          <w:u w:val="single" w:color="13377c"/>
          <w:rFonts w:ascii="Lora" w:hAnsi="Lora" w:eastAsia="Lora"/>
          <w:b w:val="0"/>
          <w:i w:val="0"/>
          <w:color w:val="14377D"/>
          <w:sz w:val="18"/>
        </w:rPr>
        <w:hyperlink r:id="rId51" w:history="1">
          <w:r>
            <w:rPr>
              <w:rStyle w:val="Hyperlink"/>
            </w:rPr>
            <w:t xml:space="preserve">successes-and-limitations-and-future-challenges </w:t>
          </w:r>
        </w:hyperlink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79. </w:t>
      </w:r>
      <w:r>
        <w:rPr>
          <w:rFonts w:ascii="Lora" w:hAnsi="Lora" w:eastAsia="Lora"/>
          <w:b w:val="0"/>
          <w:i w:val="0"/>
          <w:color w:val="000000"/>
          <w:sz w:val="18"/>
        </w:rPr>
        <w:hyperlink r:id="rId51" w:history="1">
          <w:r>
            <w:rPr>
              <w:rStyle w:val="Hyperlink"/>
            </w:rPr>
            <w:t xml:space="preserve">Institute of Medicine. </w:t>
          </w:r>
        </w:hyperlink>
      </w:r>
      <w:r>
        <w:rPr>
          <w:rFonts w:ascii="Lora" w:hAnsi="Lora" w:eastAsia="Lora"/>
          <w:b w:val="0"/>
          <w:i/>
          <w:color w:val="000000"/>
          <w:sz w:val="18"/>
        </w:rPr>
        <w:t xml:space="preserve">Initial National Priorities for </w:t>
      </w:r>
      <w:r>
        <w:tab/>
      </w:r>
      <w:r>
        <w:rPr>
          <w:rFonts w:ascii="Lora" w:hAnsi="Lora" w:eastAsia="Lora"/>
          <w:b w:val="0"/>
          <w:i/>
          <w:color w:val="000000"/>
          <w:sz w:val="18"/>
        </w:rPr>
        <w:t>Comparative Effectiveness Research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. Washington,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DC: The Natio</w:t>
      </w:r>
      <w:r>
        <w:rPr>
          <w:rFonts w:ascii="Lora" w:hAnsi="Lora" w:eastAsia="Lora"/>
          <w:b w:val="0"/>
          <w:i w:val="0"/>
          <w:color w:val="000000"/>
          <w:sz w:val="18"/>
        </w:rPr>
        <w:hyperlink r:id="rId52" w:history="1">
          <w:r>
            <w:rPr>
              <w:rStyle w:val="Hyperlink"/>
            </w:rPr>
            <w:t>nal Academies Press. Accessed January</w:t>
          </w:r>
        </w:hyperlink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hyperlink r:id="rId52" w:history="1">
          <w:r>
            <w:rPr>
              <w:rStyle w:val="Hyperlink"/>
            </w:rPr>
            <w:t xml:space="preserve">23, </w:t>
          </w:r>
        </w:hyperlink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hyperlink r:id="rId52" w:history="1">
          <w:r>
            <w:rPr>
              <w:rStyle w:val="Hyperlink"/>
            </w:rPr>
            <w:t xml:space="preserve">2024. </w:t>
          </w:r>
        </w:hyperlink>
      </w:r>
      <w:r>
        <w:tab/>
      </w:r>
      <w:r>
        <w:rPr>
          <w:u w:val="single" w:color="13377c"/>
          <w:rFonts w:ascii="Lora" w:hAnsi="Lora" w:eastAsia="Lora"/>
          <w:b w:val="0"/>
          <w:i w:val="0"/>
          <w:color w:val="14377D"/>
          <w:sz w:val="18"/>
        </w:rPr>
        <w:hyperlink r:id="rId52" w:history="1">
          <w:r>
            <w:rPr>
              <w:rStyle w:val="Hyperlink"/>
            </w:rPr>
            <w:t>https:/</w:t>
          </w:r>
        </w:hyperlink>
      </w:r>
      <w:r>
        <w:rPr>
          <w:u w:val="single" w:color="13377c"/>
          <w:rFonts w:ascii="Lora" w:hAnsi="Lora" w:eastAsia="Lora"/>
          <w:b w:val="0"/>
          <w:i w:val="0"/>
          <w:color w:val="14377D"/>
          <w:sz w:val="18"/>
        </w:rPr>
        <w:hyperlink r:id="rId52" w:history="1">
          <w:r>
            <w:rPr>
              <w:rStyle w:val="Hyperlink"/>
            </w:rPr>
            <w:t xml:space="preserve">/nap.nationalacademies.org/ </w:t>
          </w:r>
        </w:hyperlink>
      </w:r>
      <w:r>
        <w:tab/>
      </w:r>
      <w:r>
        <w:rPr>
          <w:u w:val="single" w:color="13377c"/>
          <w:rFonts w:ascii="Lora" w:hAnsi="Lora" w:eastAsia="Lora"/>
          <w:b w:val="0"/>
          <w:i w:val="0"/>
          <w:color w:val="14377D"/>
          <w:sz w:val="18"/>
        </w:rPr>
        <w:hyperlink r:id="rId52" w:history="1">
          <w:r>
            <w:rPr>
              <w:rStyle w:val="Hyperlink"/>
            </w:rPr>
            <w:t>read/12648/ch</w:t>
          </w:r>
        </w:hyperlink>
      </w:r>
      <w:r>
        <w:rPr>
          <w:u w:val="single" w:color="13377c"/>
          <w:rFonts w:ascii="Lora" w:hAnsi="Lora" w:eastAsia="Lora"/>
          <w:b w:val="0"/>
          <w:i w:val="0"/>
          <w:color w:val="14377D"/>
          <w:sz w:val="18"/>
        </w:rPr>
        <w:hyperlink r:id="rId52" w:history="1">
          <w:r>
            <w:rPr>
              <w:rStyle w:val="Hyperlink"/>
            </w:rPr>
            <w:t xml:space="preserve">apter/1 </w:t>
          </w:r>
        </w:hyperlink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>80.</w:t>
      </w:r>
      <w:r>
        <w:rPr>
          <w:rFonts w:ascii="Lora" w:hAnsi="Lora" w:eastAsia="Lora"/>
          <w:b w:val="0"/>
          <w:i w:val="0"/>
          <w:color w:val="000000"/>
          <w:sz w:val="18"/>
        </w:rPr>
        <w:hyperlink r:id="rId52" w:history="1">
          <w:r>
            <w:rPr>
              <w:rStyle w:val="Hyperlink"/>
            </w:rPr>
            <w:t xml:space="preserve"> Berger ML, Bingefors</w:t>
          </w:r>
        </w:hyperlink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 K, Hedblom EC, Pashos CL,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Torrence GW, eds. Health Care Cost, Quality, and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>Outcomes: ISPOR Book of Terms. ISPOR; 2003.</w:t>
      </w:r>
    </w:p>
    <w:p>
      <w:pPr>
        <w:autoSpaceDN w:val="0"/>
        <w:autoSpaceDE w:val="0"/>
        <w:widowControl/>
        <w:spacing w:line="245" w:lineRule="auto" w:before="0" w:after="0"/>
        <w:ind w:left="562" w:right="576" w:hanging="270"/>
        <w:jc w:val="left"/>
      </w:pPr>
      <w:r>
        <w:rPr>
          <w:rFonts w:ascii="Lora" w:hAnsi="Lora" w:eastAsia="Lora"/>
          <w:b w:val="0"/>
          <w:i w:val="0"/>
          <w:color w:val="000000"/>
          <w:sz w:val="18"/>
        </w:rPr>
        <w:t xml:space="preserve">81. International Organization for Standardization. ISO/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TR 11147:2023. Health informatics—personalized </w:t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digital health—digital therapeutics health software </w:t>
      </w:r>
      <w:r>
        <w:rPr>
          <w:rFonts w:ascii="Lora" w:hAnsi="Lora" w:eastAsia="Lora"/>
          <w:b w:val="0"/>
          <w:i w:val="0"/>
          <w:color w:val="000000"/>
          <w:sz w:val="18"/>
        </w:rPr>
        <w:hyperlink r:id="rId53" w:history="1">
          <w:r>
            <w:rPr>
              <w:rStyle w:val="Hyperlink"/>
            </w:rPr>
            <w:t xml:space="preserve">systems. June 2023. Accessed January </w:t>
          </w:r>
        </w:hyperlink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23, 2024. </w:t>
      </w:r>
    </w:p>
    <w:p>
      <w:pPr>
        <w:autoSpaceDN w:val="0"/>
        <w:tabs>
          <w:tab w:pos="562" w:val="left"/>
        </w:tabs>
        <w:autoSpaceDE w:val="0"/>
        <w:widowControl/>
        <w:spacing w:line="245" w:lineRule="auto" w:before="0" w:after="0"/>
        <w:ind w:left="292" w:right="576" w:firstLine="0"/>
        <w:jc w:val="left"/>
      </w:pPr>
      <w:r>
        <w:tab/>
      </w:r>
      <w:r>
        <w:rPr>
          <w:u w:val="single" w:color="13377c"/>
          <w:rFonts w:ascii="Lora" w:hAnsi="Lora" w:eastAsia="Lora"/>
          <w:b w:val="0"/>
          <w:i w:val="0"/>
          <w:color w:val="14377D"/>
          <w:sz w:val="18"/>
        </w:rPr>
        <w:hyperlink r:id="rId53" w:history="1">
          <w:r>
            <w:rPr>
              <w:rStyle w:val="Hyperlink"/>
            </w:rPr>
            <w:t xml:space="preserve">https://www.iso.org/standard/83767.html </w:t>
          </w:r>
        </w:hyperlink>
      </w:r>
      <w:r>
        <w:br/>
      </w:r>
      <w:r>
        <w:rPr>
          <w:rFonts w:ascii="Lora" w:hAnsi="Lora" w:eastAsia="Lora"/>
          <w:b w:val="0"/>
          <w:i w:val="0"/>
          <w:color w:val="000000"/>
          <w:sz w:val="18"/>
        </w:rPr>
        <w:t>82.</w:t>
      </w:r>
      <w:r>
        <w:rPr>
          <w:rFonts w:ascii="Lora" w:hAnsi="Lora" w:eastAsia="Lora"/>
          <w:b w:val="0"/>
          <w:i w:val="0"/>
          <w:color w:val="000000"/>
          <w:sz w:val="18"/>
        </w:rPr>
        <w:hyperlink r:id="rId53" w:history="1">
          <w:r>
            <w:rPr>
              <w:rStyle w:val="Hyperlink"/>
            </w:rPr>
            <w:t xml:space="preserve"> Sackett DL, Rosenberg WM, Gray JA, H</w:t>
          </w:r>
        </w:hyperlink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aynes RB, </w:t>
      </w:r>
      <w:r>
        <w:tab/>
      </w:r>
      <w:r>
        <w:rPr>
          <w:rFonts w:ascii="Lora" w:hAnsi="Lora" w:eastAsia="Lora"/>
          <w:b w:val="0"/>
          <w:i w:val="0"/>
          <w:color w:val="000000"/>
          <w:sz w:val="18"/>
        </w:rPr>
        <w:t xml:space="preserve">Richardson WS. Evidence based medicine: what it </w:t>
      </w:r>
    </w:p>
    <w:p>
      <w:pPr>
        <w:autoSpaceDN w:val="0"/>
        <w:autoSpaceDE w:val="0"/>
        <w:widowControl/>
        <w:spacing w:line="186" w:lineRule="exact" w:before="556" w:after="0"/>
        <w:ind w:left="0" w:right="742" w:firstLine="0"/>
        <w:jc w:val="right"/>
      </w:pPr>
      <w:r>
        <w:rPr>
          <w:rFonts w:ascii="Asap" w:hAnsi="Asap" w:eastAsia="Asap"/>
          <w:b w:val="0"/>
          <w:i w:val="0"/>
          <w:color w:val="474C55"/>
          <w:sz w:val="14"/>
        </w:rPr>
        <w:t>Vol. 30, No. 4-b</w:t>
      </w:r>
      <w:r>
        <w:rPr>
          <w:rFonts w:ascii="Asap" w:hAnsi="Asap" w:eastAsia="Asap"/>
          <w:b w:val="0"/>
          <w:i w:val="0"/>
          <w:color w:val="474C55"/>
          <w:sz w:val="14"/>
        </w:rPr>
        <w:t>|</w:t>
      </w:r>
      <w:r>
        <w:rPr>
          <w:rFonts w:ascii="Asap" w:hAnsi="Asap" w:eastAsia="Asap"/>
          <w:b w:val="0"/>
          <w:i w:val="0"/>
          <w:color w:val="474C55"/>
          <w:sz w:val="14"/>
        </w:rPr>
        <w:t>April 2024</w:t>
      </w:r>
      <w:r>
        <w:rPr>
          <w:rFonts w:ascii="Asap" w:hAnsi="Asap" w:eastAsia="Asap"/>
          <w:b w:val="0"/>
          <w:i w:val="0"/>
          <w:color w:val="474C55"/>
          <w:sz w:val="14"/>
        </w:rPr>
        <w:t>|</w:t>
      </w:r>
      <w:r>
        <w:rPr>
          <w:rFonts w:ascii="Asap" w:hAnsi="Asap" w:eastAsia="Asap"/>
          <w:b/>
          <w:i w:val="0"/>
          <w:color w:val="14377D"/>
          <w:sz w:val="14"/>
        </w:rPr>
        <w:t xml:space="preserve"> JMCP</w:t>
      </w:r>
      <w:r>
        <w:rPr>
          <w:rFonts w:ascii="Asap" w:hAnsi="Asap" w:eastAsia="Asap"/>
          <w:b w:val="0"/>
          <w:i w:val="0"/>
          <w:color w:val="14377D"/>
          <w:sz w:val="14"/>
        </w:rPr>
        <w:t>.org</w:t>
      </w:r>
    </w:p>
    <w:p>
      <w:pPr>
        <w:sectPr>
          <w:type w:val="nextColumn"/>
          <w:pgSz w:w="11880" w:h="15660"/>
          <w:pgMar w:top="360" w:right="0" w:bottom="266" w:left="990" w:header="720" w:footer="720" w:gutter="0"/>
          <w:cols w:num="2" w:equalWidth="0">
            <w:col w:w="5108" w:space="0"/>
            <w:col w:w="5782" w:space="0"/>
          </w:cols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750"/>
        <w:gridCol w:w="750"/>
        <w:gridCol w:w="750"/>
        <w:gridCol w:w="750"/>
        <w:gridCol w:w="750"/>
        <w:gridCol w:w="750"/>
        <w:gridCol w:w="750"/>
        <w:gridCol w:w="750"/>
        <w:gridCol w:w="750"/>
        <w:gridCol w:w="750"/>
        <w:gridCol w:w="750"/>
        <w:gridCol w:w="750"/>
      </w:tblGrid>
      <w:tr>
        <w:trPr>
          <w:trHeight w:hRule="exact" w:val="382"/>
        </w:trPr>
        <w:tc>
          <w:tcPr>
            <w:tcW w:type="dxa" w:w="1094"/>
            <w:tcBorders/>
            <w:shd w:fill="6b146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4" w:after="0"/>
              <w:ind w:left="0" w:right="90" w:firstLine="0"/>
              <w:jc w:val="right"/>
            </w:pPr>
            <w:r>
              <w:rPr>
                <w:rFonts w:ascii="Asap" w:hAnsi="Asap" w:eastAsia="Asap"/>
                <w:b/>
                <w:i w:val="0"/>
                <w:color w:val="FFFFFF"/>
                <w:sz w:val="18"/>
              </w:rPr>
              <w:t>64</w:t>
            </w:r>
          </w:p>
        </w:tc>
        <w:tc>
          <w:tcPr>
            <w:tcW w:type="dxa" w:w="7006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4" w:after="0"/>
              <w:ind w:left="90" w:right="0" w:firstLine="0"/>
              <w:jc w:val="left"/>
            </w:pPr>
            <w:r>
              <w:rPr>
                <w:rFonts w:ascii="Asap" w:hAnsi="Asap" w:eastAsia="Asap"/>
                <w:b/>
                <w:i w:val="0"/>
                <w:color w:val="474C55"/>
                <w:sz w:val="18"/>
              </w:rPr>
              <w:t>AMCP FORMAT 5.0</w:t>
            </w:r>
          </w:p>
        </w:tc>
      </w:tr>
      <w:tr>
        <w:trPr>
          <w:trHeight w:hRule="exact" w:val="3438"/>
        </w:trPr>
        <w:tc>
          <w:tcPr>
            <w:tcW w:type="dxa" w:w="810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238" w:val="left"/>
              </w:tabs>
              <w:autoSpaceDE w:val="0"/>
              <w:widowControl/>
              <w:spacing w:line="245" w:lineRule="auto" w:before="1038" w:after="0"/>
              <w:ind w:left="968" w:right="2304" w:firstLine="0"/>
              <w:jc w:val="left"/>
            </w:pPr>
            <w:r>
              <w:tab/>
            </w:r>
            <w:r>
              <w:rPr>
                <w:rFonts w:ascii="Lora" w:hAnsi="Lora" w:eastAsia="Lora"/>
                <w:b w:val="0"/>
                <w:i w:val="0"/>
                <w:color w:val="000000"/>
                <w:sz w:val="18"/>
              </w:rPr>
              <w:t xml:space="preserve">is and what it isn't. BMJ. 1996;312(7023):71-2. doi: </w:t>
            </w:r>
            <w:r>
              <w:tab/>
            </w:r>
            <w:r>
              <w:rPr>
                <w:rFonts w:ascii="Lora" w:hAnsi="Lora" w:eastAsia="Lora"/>
                <w:b w:val="0"/>
                <w:i w:val="0"/>
                <w:color w:val="000000"/>
                <w:sz w:val="18"/>
              </w:rPr>
              <w:t xml:space="preserve">10.1136/bmj.312.7023.71 </w:t>
            </w:r>
            <w:r>
              <w:br/>
            </w:r>
            <w:r>
              <w:rPr>
                <w:rFonts w:ascii="Lora" w:hAnsi="Lora" w:eastAsia="Lora"/>
                <w:b w:val="0"/>
                <w:i w:val="0"/>
                <w:color w:val="000000"/>
                <w:sz w:val="18"/>
              </w:rPr>
              <w:t xml:space="preserve">83. Weinstein MC, O'Brien B, Hornberger J, et al. </w:t>
            </w:r>
          </w:p>
          <w:p>
            <w:pPr>
              <w:autoSpaceDN w:val="0"/>
              <w:tabs>
                <w:tab w:pos="1238" w:val="left"/>
              </w:tabs>
              <w:autoSpaceDE w:val="0"/>
              <w:widowControl/>
              <w:spacing w:line="245" w:lineRule="auto" w:before="0" w:after="0"/>
              <w:ind w:left="968" w:right="2304" w:firstLine="0"/>
              <w:jc w:val="left"/>
            </w:pPr>
            <w:r>
              <w:tab/>
            </w:r>
            <w:r>
              <w:rPr>
                <w:rFonts w:ascii="Lora" w:hAnsi="Lora" w:eastAsia="Lora"/>
                <w:b w:val="0"/>
                <w:i w:val="0"/>
                <w:color w:val="000000"/>
                <w:sz w:val="18"/>
              </w:rPr>
              <w:t xml:space="preserve">Principles of good practice for decision analytic </w:t>
            </w:r>
            <w:r>
              <w:tab/>
            </w:r>
            <w:r>
              <w:rPr>
                <w:rFonts w:ascii="Lora" w:hAnsi="Lora" w:eastAsia="Lora"/>
                <w:b w:val="0"/>
                <w:i w:val="0"/>
                <w:color w:val="000000"/>
                <w:sz w:val="18"/>
              </w:rPr>
              <w:t xml:space="preserve">modeling in health-care evaluation: report of the </w:t>
            </w:r>
            <w:r>
              <w:tab/>
            </w:r>
            <w:r>
              <w:rPr>
                <w:rFonts w:ascii="Lora" w:hAnsi="Lora" w:eastAsia="Lora"/>
                <w:b w:val="0"/>
                <w:i w:val="0"/>
                <w:color w:val="000000"/>
                <w:sz w:val="18"/>
              </w:rPr>
              <w:t>ISPOR Task Force on Good Research Practices—</w:t>
            </w:r>
            <w:r>
              <w:tab/>
            </w:r>
            <w:r>
              <w:rPr>
                <w:rFonts w:ascii="Lora" w:hAnsi="Lora" w:eastAsia="Lora"/>
                <w:b w:val="0"/>
                <w:i w:val="0"/>
                <w:color w:val="000000"/>
                <w:sz w:val="18"/>
              </w:rPr>
              <w:t xml:space="preserve">Modeling Studies. Value Health. 2003;6(1):9-17. doi: </w:t>
            </w:r>
            <w:r>
              <w:tab/>
            </w:r>
            <w:r>
              <w:rPr>
                <w:rFonts w:ascii="Lora" w:hAnsi="Lora" w:eastAsia="Lora"/>
                <w:b w:val="0"/>
                <w:i w:val="0"/>
                <w:color w:val="000000"/>
                <w:sz w:val="18"/>
              </w:rPr>
              <w:t xml:space="preserve">10.1046/j.1524-4733.2003.00234.x </w:t>
            </w:r>
            <w:r>
              <w:br/>
            </w:r>
            <w:r>
              <w:rPr>
                <w:rFonts w:ascii="Lora" w:hAnsi="Lora" w:eastAsia="Lora"/>
                <w:b w:val="0"/>
                <w:i w:val="0"/>
                <w:color w:val="000000"/>
                <w:sz w:val="18"/>
              </w:rPr>
              <w:t xml:space="preserve">84. Talley T. Pharmacoequity: a new opportunity for </w:t>
            </w:r>
            <w:r>
              <w:tab/>
            </w:r>
            <w:r>
              <w:rPr>
                <w:rFonts w:ascii="Lora" w:hAnsi="Lora" w:eastAsia="Lora"/>
                <w:b w:val="0"/>
                <w:i w:val="0"/>
                <w:color w:val="000000"/>
                <w:sz w:val="18"/>
              </w:rPr>
              <w:t xml:space="preserve">managed care pharmacy. March 1, 2022. Accessed </w:t>
            </w:r>
          </w:p>
        </w:tc>
      </w:tr>
      <w:tr>
        <w:trPr>
          <w:trHeight w:hRule="exact" w:val="240"/>
        </w:trPr>
        <w:tc>
          <w:tcPr>
            <w:tcW w:type="dxa" w:w="198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3" w:lineRule="auto" w:before="0" w:after="0"/>
              <w:ind w:left="0" w:right="0" w:firstLine="0"/>
              <w:jc w:val="right"/>
            </w:pPr>
            <w:r>
              <w:rPr>
                <w:rFonts w:ascii="Lora" w:hAnsi="Lora" w:eastAsia="Lora"/>
                <w:b w:val="0"/>
                <w:i w:val="0"/>
                <w:color w:val="000000"/>
                <w:sz w:val="18"/>
              </w:rPr>
              <w:t xml:space="preserve">January </w:t>
            </w:r>
          </w:p>
        </w:tc>
        <w:tc>
          <w:tcPr>
            <w:tcW w:type="dxa" w:w="7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3" w:lineRule="auto" w:before="0" w:after="0"/>
              <w:ind w:left="0" w:right="0" w:firstLine="0"/>
              <w:jc w:val="center"/>
            </w:pPr>
            <w:r>
              <w:rPr>
                <w:rFonts w:ascii="Lora" w:hAnsi="Lora" w:eastAsia="Lora"/>
                <w:b w:val="0"/>
                <w:i w:val="0"/>
                <w:color w:val="000000"/>
                <w:sz w:val="18"/>
              </w:rPr>
              <w:t xml:space="preserve">23, </w:t>
            </w:r>
          </w:p>
        </w:tc>
        <w:tc>
          <w:tcPr>
            <w:tcW w:type="dxa" w:w="68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3" w:lineRule="auto" w:before="0" w:after="0"/>
              <w:ind w:left="0" w:right="0" w:firstLine="0"/>
              <w:jc w:val="center"/>
            </w:pPr>
            <w:r>
              <w:rPr>
                <w:rFonts w:ascii="Lora" w:hAnsi="Lora" w:eastAsia="Lora"/>
                <w:b w:val="0"/>
                <w:i w:val="0"/>
                <w:color w:val="000000"/>
                <w:sz w:val="18"/>
              </w:rPr>
              <w:t xml:space="preserve">2024. </w:t>
            </w:r>
          </w:p>
        </w:tc>
        <w:tc>
          <w:tcPr>
            <w:tcW w:type="dxa" w:w="4696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3" w:lineRule="auto" w:before="0" w:after="0"/>
              <w:ind w:left="116" w:right="0" w:firstLine="0"/>
              <w:jc w:val="left"/>
            </w:pPr>
            <w:r>
              <w:rPr>
                <w:u w:val="single" w:color="13377c"/>
                <w:rFonts w:ascii="Lora" w:hAnsi="Lora" w:eastAsia="Lora"/>
                <w:b w:val="0"/>
                <w:i w:val="0"/>
                <w:color w:val="14377D"/>
                <w:sz w:val="18"/>
              </w:rPr>
              <w:hyperlink r:id="rId54" w:history="1">
                <w:r>
                  <w:rPr>
                    <w:rStyle w:val="Hyperlink"/>
                  </w:rPr>
                  <w:t>https://www.amcp.org/</w:t>
                </w:r>
              </w:hyperlink>
            </w:r>
          </w:p>
        </w:tc>
      </w:tr>
      <w:tr>
        <w:trPr>
          <w:trHeight w:hRule="exact" w:val="2160"/>
        </w:trPr>
        <w:tc>
          <w:tcPr>
            <w:tcW w:type="dxa" w:w="810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238" w:val="left"/>
              </w:tabs>
              <w:autoSpaceDE w:val="0"/>
              <w:widowControl/>
              <w:spacing w:line="245" w:lineRule="auto" w:before="0" w:after="0"/>
              <w:ind w:left="968" w:right="2304" w:firstLine="0"/>
              <w:jc w:val="left"/>
            </w:pPr>
            <w:r>
              <w:tab/>
            </w:r>
            <w:r>
              <w:rPr>
                <w:u w:val="single" w:color="13377c"/>
                <w:rFonts w:ascii="Lora" w:hAnsi="Lora" w:eastAsia="Lora"/>
                <w:b w:val="0"/>
                <w:i w:val="0"/>
                <w:color w:val="14377D"/>
                <w:sz w:val="18"/>
              </w:rPr>
              <w:hyperlink r:id="rId54" w:history="1">
                <w:r>
                  <w:rPr>
                    <w:rStyle w:val="Hyperlink"/>
                  </w:rPr>
                  <w:t>Resource-Center/blog/</w:t>
                </w:r>
              </w:hyperlink>
            </w:r>
            <w:r>
              <w:rPr>
                <w:u w:val="single" w:color="13377c"/>
                <w:rFonts w:ascii="Lora" w:hAnsi="Lora" w:eastAsia="Lora"/>
                <w:b w:val="0"/>
                <w:i w:val="0"/>
                <w:color w:val="14377D"/>
                <w:sz w:val="18"/>
              </w:rPr>
              <w:hyperlink r:id="rId54" w:history="1">
                <w:r>
                  <w:rPr>
                    <w:rStyle w:val="Hyperlink"/>
                  </w:rPr>
                  <w:t>pharmaco</w:t>
                </w:r>
              </w:hyperlink>
            </w:r>
            <w:r>
              <w:rPr>
                <w:u w:val="single" w:color="13377c"/>
                <w:rFonts w:ascii="Lora" w:hAnsi="Lora" w:eastAsia="Lora"/>
                <w:b w:val="0"/>
                <w:i w:val="0"/>
                <w:color w:val="14377D"/>
                <w:sz w:val="18"/>
              </w:rPr>
              <w:hyperlink r:id="rId54" w:history="1">
                <w:r>
                  <w:rPr>
                    <w:rStyle w:val="Hyperlink"/>
                  </w:rPr>
                  <w:t>equity-new-</w:t>
                </w:r>
              </w:hyperlink>
            </w:r>
            <w:r>
              <w:tab/>
            </w:r>
            <w:r>
              <w:rPr>
                <w:u w:val="single" w:color="13377c"/>
                <w:rFonts w:ascii="Lora" w:hAnsi="Lora" w:eastAsia="Lora"/>
                <w:b w:val="0"/>
                <w:i w:val="0"/>
                <w:color w:val="14377D"/>
                <w:sz w:val="18"/>
              </w:rPr>
              <w:hyperlink r:id="rId54" w:history="1">
                <w:r>
                  <w:rPr>
                    <w:rStyle w:val="Hyperlink"/>
                  </w:rPr>
                  <w:t xml:space="preserve">opportunity-managed-care-pharmacy </w:t>
                </w:r>
              </w:hyperlink>
            </w:r>
            <w:r>
              <w:br/>
            </w:r>
            <w:r>
              <w:rPr>
                <w:rFonts w:ascii="Lora" w:hAnsi="Lora" w:eastAsia="Lora"/>
                <w:b w:val="0"/>
                <w:i w:val="0"/>
                <w:color w:val="000000"/>
                <w:sz w:val="18"/>
              </w:rPr>
              <w:t>85.</w:t>
            </w:r>
            <w:r>
              <w:rPr>
                <w:rFonts w:ascii="Lora" w:hAnsi="Lora" w:eastAsia="Lora"/>
                <w:b w:val="0"/>
                <w:i w:val="0"/>
                <w:color w:val="000000"/>
                <w:sz w:val="18"/>
              </w:rPr>
              <w:hyperlink r:id="rId54" w:history="1">
                <w:r>
                  <w:rPr>
                    <w:rStyle w:val="Hyperlink"/>
                  </w:rPr>
                  <w:t xml:space="preserve"> Essien UR. Pharmacoequity: a new g</w:t>
                </w:r>
              </w:hyperlink>
            </w:r>
            <w:r>
              <w:rPr>
                <w:rFonts w:ascii="Lora" w:hAnsi="Lora" w:eastAsia="Lora"/>
                <w:b w:val="0"/>
                <w:i w:val="0"/>
                <w:color w:val="000000"/>
                <w:sz w:val="18"/>
              </w:rPr>
              <w:t xml:space="preserve">oal for ending </w:t>
            </w:r>
            <w:r>
              <w:tab/>
            </w:r>
            <w:r>
              <w:rPr>
                <w:rFonts w:ascii="Lora" w:hAnsi="Lora" w:eastAsia="Lora"/>
                <w:b w:val="0"/>
                <w:i w:val="0"/>
                <w:color w:val="000000"/>
                <w:sz w:val="18"/>
              </w:rPr>
              <w:t>disparities in U.S. health ca</w:t>
            </w:r>
            <w:r>
              <w:rPr>
                <w:rFonts w:ascii="Lora" w:hAnsi="Lora" w:eastAsia="Lora"/>
                <w:b w:val="0"/>
                <w:i w:val="0"/>
                <w:color w:val="000000"/>
                <w:sz w:val="18"/>
              </w:rPr>
              <w:hyperlink r:id="rId55" w:history="1">
                <w:r>
                  <w:rPr>
                    <w:rStyle w:val="Hyperlink"/>
                  </w:rPr>
                  <w:t>re. Stat. July 28, 2021.</w:t>
                </w:r>
              </w:hyperlink>
            </w:r>
            <w:r>
              <w:rPr>
                <w:rFonts w:ascii="Lora" w:hAnsi="Lora" w:eastAsia="Lora"/>
                <w:b w:val="0"/>
                <w:i w:val="0"/>
                <w:color w:val="000000"/>
                <w:sz w:val="18"/>
              </w:rPr>
              <w:t xml:space="preserve"> </w:t>
            </w:r>
          </w:p>
          <w:p>
            <w:pPr>
              <w:autoSpaceDN w:val="0"/>
              <w:autoSpaceDE w:val="0"/>
              <w:widowControl/>
              <w:spacing w:line="221" w:lineRule="auto" w:before="0" w:after="0"/>
              <w:ind w:left="1238" w:right="0" w:firstLine="0"/>
              <w:jc w:val="left"/>
            </w:pPr>
            <w:r>
              <w:rPr>
                <w:rFonts w:ascii="Lora" w:hAnsi="Lora" w:eastAsia="Lora"/>
                <w:b w:val="0"/>
                <w:i w:val="0"/>
                <w:color w:val="000000"/>
                <w:sz w:val="18"/>
              </w:rPr>
              <w:hyperlink r:id="rId55" w:history="1">
                <w:r>
                  <w:rPr>
                    <w:rStyle w:val="Hyperlink"/>
                  </w:rPr>
                  <w:t xml:space="preserve">Accessed January 23,2024. </w:t>
                </w:r>
              </w:hyperlink>
            </w:r>
            <w:r>
              <w:rPr>
                <w:u w:val="single" w:color="13377c"/>
                <w:rFonts w:ascii="Lora" w:hAnsi="Lora" w:eastAsia="Lora"/>
                <w:b w:val="0"/>
                <w:i w:val="0"/>
                <w:color w:val="14377D"/>
                <w:sz w:val="18"/>
              </w:rPr>
              <w:hyperlink r:id="rId55" w:history="1">
                <w:r>
                  <w:rPr>
                    <w:rStyle w:val="Hyperlink"/>
                  </w:rPr>
                  <w:t>https://www.statnews.</w:t>
                </w:r>
              </w:hyperlink>
            </w:r>
          </w:p>
          <w:p>
            <w:pPr>
              <w:autoSpaceDN w:val="0"/>
              <w:tabs>
                <w:tab w:pos="1238" w:val="left"/>
              </w:tabs>
              <w:autoSpaceDE w:val="0"/>
              <w:widowControl/>
              <w:spacing w:line="245" w:lineRule="auto" w:before="0" w:after="0"/>
              <w:ind w:left="968" w:right="2304" w:firstLine="0"/>
              <w:jc w:val="left"/>
            </w:pPr>
            <w:r>
              <w:tab/>
            </w:r>
            <w:r>
              <w:rPr>
                <w:u w:val="single" w:color="13377c"/>
                <w:rFonts w:ascii="Lora" w:hAnsi="Lora" w:eastAsia="Lora"/>
                <w:b w:val="0"/>
                <w:i w:val="0"/>
                <w:color w:val="14377D"/>
                <w:sz w:val="18"/>
              </w:rPr>
              <w:hyperlink r:id="rId55" w:history="1">
                <w:r>
                  <w:rPr>
                    <w:rStyle w:val="Hyperlink"/>
                  </w:rPr>
                  <w:t>com/2021/07/28/pharmaco</w:t>
                </w:r>
              </w:hyperlink>
            </w:r>
            <w:r>
              <w:rPr>
                <w:u w:val="single" w:color="13377c"/>
                <w:rFonts w:ascii="Lora" w:hAnsi="Lora" w:eastAsia="Lora"/>
                <w:b w:val="0"/>
                <w:i w:val="0"/>
                <w:color w:val="14377D"/>
                <w:sz w:val="18"/>
              </w:rPr>
              <w:hyperlink r:id="rId55" w:history="1">
                <w:r>
                  <w:rPr>
                    <w:rStyle w:val="Hyperlink"/>
                  </w:rPr>
                  <w:t>eq</w:t>
                </w:r>
              </w:hyperlink>
            </w:r>
            <w:r>
              <w:rPr>
                <w:u w:val="single" w:color="13377c"/>
                <w:rFonts w:ascii="Lora" w:hAnsi="Lora" w:eastAsia="Lora"/>
                <w:b w:val="0"/>
                <w:i w:val="0"/>
                <w:color w:val="14377D"/>
                <w:sz w:val="18"/>
              </w:rPr>
              <w:hyperlink r:id="rId55" w:history="1">
                <w:r>
                  <w:rPr>
                    <w:rStyle w:val="Hyperlink"/>
                  </w:rPr>
                  <w:t>uity-new-goal-end-</w:t>
                </w:r>
              </w:hyperlink>
            </w:r>
            <w:r>
              <w:tab/>
            </w:r>
            <w:r>
              <w:rPr>
                <w:u w:val="single" w:color="13377c"/>
                <w:rFonts w:ascii="Lora" w:hAnsi="Lora" w:eastAsia="Lora"/>
                <w:b w:val="0"/>
                <w:i w:val="0"/>
                <w:color w:val="14377D"/>
                <w:sz w:val="18"/>
              </w:rPr>
              <w:hyperlink r:id="rId55" w:history="1">
                <w:r>
                  <w:rPr>
                    <w:rStyle w:val="Hyperlink"/>
                  </w:rPr>
                  <w:t xml:space="preserve">ing-disparities-us-health-care/ </w:t>
                </w:r>
              </w:hyperlink>
            </w:r>
            <w:r>
              <w:br/>
            </w:r>
            <w:r>
              <w:rPr>
                <w:rFonts w:ascii="Lora" w:hAnsi="Lora" w:eastAsia="Lora"/>
                <w:b w:val="0"/>
                <w:i w:val="0"/>
                <w:color w:val="000000"/>
                <w:sz w:val="18"/>
              </w:rPr>
              <w:t>86.</w:t>
            </w:r>
            <w:r>
              <w:rPr>
                <w:rFonts w:ascii="Lora" w:hAnsi="Lora" w:eastAsia="Lora"/>
                <w:b w:val="0"/>
                <w:i w:val="0"/>
                <w:color w:val="000000"/>
                <w:sz w:val="18"/>
              </w:rPr>
              <w:hyperlink r:id="rId55" w:history="1">
                <w:r>
                  <w:rPr>
                    <w:rStyle w:val="Hyperlink"/>
                  </w:rPr>
                  <w:t xml:space="preserve"> Access to Prescription Digit</w:t>
                </w:r>
              </w:hyperlink>
            </w:r>
            <w:r>
              <w:rPr>
                <w:rFonts w:ascii="Lora" w:hAnsi="Lora" w:eastAsia="Lora"/>
                <w:b w:val="0"/>
                <w:i w:val="0"/>
                <w:color w:val="000000"/>
                <w:sz w:val="18"/>
              </w:rPr>
              <w:t xml:space="preserve">al Therapeutics Act </w:t>
            </w:r>
            <w:r>
              <w:tab/>
            </w:r>
            <w:r>
              <w:rPr>
                <w:rFonts w:ascii="Lora" w:hAnsi="Lora" w:eastAsia="Lora"/>
                <w:b w:val="0"/>
                <w:i w:val="0"/>
                <w:color w:val="000000"/>
                <w:sz w:val="18"/>
              </w:rPr>
              <w:t xml:space="preserve">of 2023, S 723, 118th Cong (2023-2024). Accessed </w:t>
            </w:r>
          </w:p>
        </w:tc>
      </w:tr>
      <w:tr>
        <w:trPr>
          <w:trHeight w:hRule="exact" w:val="240"/>
        </w:trPr>
        <w:tc>
          <w:tcPr>
            <w:tcW w:type="dxa" w:w="198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1" w:lineRule="auto" w:before="0" w:after="0"/>
              <w:ind w:left="0" w:right="6" w:firstLine="0"/>
              <w:jc w:val="right"/>
            </w:pPr>
            <w:r>
              <w:rPr>
                <w:rFonts w:ascii="Lora" w:hAnsi="Lora" w:eastAsia="Lora"/>
                <w:b w:val="0"/>
                <w:i w:val="0"/>
                <w:color w:val="000000"/>
                <w:sz w:val="18"/>
              </w:rPr>
              <w:t xml:space="preserve">January </w:t>
            </w:r>
          </w:p>
        </w:tc>
        <w:tc>
          <w:tcPr>
            <w:tcW w:type="dxa" w:w="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1" w:lineRule="auto" w:before="0" w:after="0"/>
              <w:ind w:left="0" w:right="0" w:firstLine="0"/>
              <w:jc w:val="right"/>
            </w:pPr>
            <w:r>
              <w:rPr>
                <w:rFonts w:ascii="Lora" w:hAnsi="Lora" w:eastAsia="Lora"/>
                <w:b w:val="0"/>
                <w:i w:val="0"/>
                <w:color w:val="000000"/>
                <w:sz w:val="18"/>
              </w:rPr>
              <w:t xml:space="preserve">23, </w:t>
            </w:r>
          </w:p>
        </w:tc>
        <w:tc>
          <w:tcPr>
            <w:tcW w:type="dxa" w:w="8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1" w:lineRule="auto" w:before="0" w:after="0"/>
              <w:ind w:left="0" w:right="0" w:firstLine="0"/>
              <w:jc w:val="center"/>
            </w:pPr>
            <w:r>
              <w:rPr>
                <w:rFonts w:ascii="Lora" w:hAnsi="Lora" w:eastAsia="Lora"/>
                <w:b w:val="0"/>
                <w:i w:val="0"/>
                <w:color w:val="000000"/>
                <w:sz w:val="18"/>
              </w:rPr>
              <w:t xml:space="preserve">2024. </w:t>
            </w:r>
          </w:p>
        </w:tc>
        <w:tc>
          <w:tcPr>
            <w:tcW w:type="dxa" w:w="4840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1" w:lineRule="auto" w:before="0" w:after="0"/>
              <w:ind w:left="0" w:right="0" w:firstLine="0"/>
              <w:jc w:val="left"/>
            </w:pPr>
            <w:r>
              <w:rPr>
                <w:u w:val="single" w:color="13377c"/>
                <w:rFonts w:ascii="Lora" w:hAnsi="Lora" w:eastAsia="Lora"/>
                <w:b w:val="0"/>
                <w:i w:val="0"/>
                <w:color w:val="14377D"/>
                <w:sz w:val="18"/>
              </w:rPr>
              <w:hyperlink r:id="rId56" w:history="1">
                <w:r>
                  <w:rPr>
                    <w:rStyle w:val="Hyperlink"/>
                  </w:rPr>
                  <w:t>https://www.congress.gov/</w:t>
                </w:r>
              </w:hyperlink>
            </w:r>
          </w:p>
        </w:tc>
      </w:tr>
      <w:tr>
        <w:trPr>
          <w:trHeight w:hRule="exact" w:val="720"/>
        </w:trPr>
        <w:tc>
          <w:tcPr>
            <w:tcW w:type="dxa" w:w="810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238" w:val="left"/>
              </w:tabs>
              <w:autoSpaceDE w:val="0"/>
              <w:widowControl/>
              <w:spacing w:line="245" w:lineRule="auto" w:before="0" w:after="0"/>
              <w:ind w:left="968" w:right="2304" w:firstLine="0"/>
              <w:jc w:val="left"/>
            </w:pPr>
            <w:r>
              <w:tab/>
            </w:r>
            <w:r>
              <w:rPr>
                <w:u w:val="single" w:color="13377c"/>
                <w:rFonts w:ascii="Lora" w:hAnsi="Lora" w:eastAsia="Lora"/>
                <w:b w:val="0"/>
                <w:i w:val="0"/>
                <w:color w:val="14377D"/>
                <w:sz w:val="18"/>
              </w:rPr>
              <w:hyperlink r:id="rId56" w:history="1">
                <w:r>
                  <w:rPr>
                    <w:rStyle w:val="Hyperlink"/>
                  </w:rPr>
                  <w:t>bill/118th-congress/sen</w:t>
                </w:r>
              </w:hyperlink>
            </w:r>
            <w:r>
              <w:rPr>
                <w:u w:val="single" w:color="13377c"/>
                <w:rFonts w:ascii="Lora" w:hAnsi="Lora" w:eastAsia="Lora"/>
                <w:b w:val="0"/>
                <w:i w:val="0"/>
                <w:color w:val="14377D"/>
                <w:sz w:val="18"/>
              </w:rPr>
              <w:hyperlink r:id="rId56" w:history="1">
                <w:r>
                  <w:rPr>
                    <w:rStyle w:val="Hyperlink"/>
                  </w:rPr>
                  <w:t xml:space="preserve">ate-bill/723/text </w:t>
                </w:r>
              </w:hyperlink>
            </w:r>
            <w:r>
              <w:br/>
            </w:r>
            <w:r>
              <w:rPr>
                <w:rFonts w:ascii="Lora" w:hAnsi="Lora" w:eastAsia="Lora"/>
                <w:b w:val="0"/>
                <w:i w:val="0"/>
                <w:color w:val="000000"/>
                <w:sz w:val="18"/>
              </w:rPr>
              <w:t xml:space="preserve">87. </w:t>
            </w:r>
            <w:r>
              <w:rPr>
                <w:rFonts w:ascii="Lora" w:hAnsi="Lora" w:eastAsia="Lora"/>
                <w:b w:val="0"/>
                <w:i w:val="0"/>
                <w:color w:val="000000"/>
                <w:sz w:val="18"/>
              </w:rPr>
              <w:hyperlink r:id="rId56" w:history="1">
                <w:r>
                  <w:rPr>
                    <w:rStyle w:val="Hyperlink"/>
                  </w:rPr>
                  <w:t>Access to Prescription Digital Therape</w:t>
                </w:r>
              </w:hyperlink>
            </w:r>
            <w:r>
              <w:rPr>
                <w:rFonts w:ascii="Lora" w:hAnsi="Lora" w:eastAsia="Lora"/>
                <w:b w:val="0"/>
                <w:i w:val="0"/>
                <w:color w:val="000000"/>
                <w:sz w:val="18"/>
              </w:rPr>
              <w:t xml:space="preserve">utics Act of </w:t>
            </w:r>
            <w:r>
              <w:tab/>
            </w:r>
            <w:r>
              <w:rPr>
                <w:rFonts w:ascii="Lora" w:hAnsi="Lora" w:eastAsia="Lora"/>
                <w:b w:val="0"/>
                <w:i w:val="0"/>
                <w:color w:val="000000"/>
                <w:sz w:val="18"/>
              </w:rPr>
              <w:t xml:space="preserve">2023, HR 1458, 118th Cong (2023-2024). Accessed </w:t>
            </w:r>
          </w:p>
        </w:tc>
      </w:tr>
      <w:tr>
        <w:trPr>
          <w:trHeight w:hRule="exact" w:val="240"/>
        </w:trPr>
        <w:tc>
          <w:tcPr>
            <w:tcW w:type="dxa" w:w="198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1" w:lineRule="auto" w:before="0" w:after="0"/>
              <w:ind w:left="0" w:right="6" w:firstLine="0"/>
              <w:jc w:val="right"/>
            </w:pPr>
            <w:r>
              <w:rPr>
                <w:rFonts w:ascii="Lora" w:hAnsi="Lora" w:eastAsia="Lora"/>
                <w:b w:val="0"/>
                <w:i w:val="0"/>
                <w:color w:val="000000"/>
                <w:sz w:val="18"/>
              </w:rPr>
              <w:t xml:space="preserve">January </w:t>
            </w:r>
          </w:p>
        </w:tc>
        <w:tc>
          <w:tcPr>
            <w:tcW w:type="dxa" w:w="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1" w:lineRule="auto" w:before="0" w:after="0"/>
              <w:ind w:left="0" w:right="0" w:firstLine="0"/>
              <w:jc w:val="right"/>
            </w:pPr>
            <w:r>
              <w:rPr>
                <w:rFonts w:ascii="Lora" w:hAnsi="Lora" w:eastAsia="Lora"/>
                <w:b w:val="0"/>
                <w:i w:val="0"/>
                <w:color w:val="000000"/>
                <w:sz w:val="18"/>
              </w:rPr>
              <w:t xml:space="preserve">23, </w:t>
            </w:r>
          </w:p>
        </w:tc>
        <w:tc>
          <w:tcPr>
            <w:tcW w:type="dxa" w:w="8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1" w:lineRule="auto" w:before="0" w:after="0"/>
              <w:ind w:left="0" w:right="0" w:firstLine="0"/>
              <w:jc w:val="center"/>
            </w:pPr>
            <w:r>
              <w:rPr>
                <w:rFonts w:ascii="Lora" w:hAnsi="Lora" w:eastAsia="Lora"/>
                <w:b w:val="0"/>
                <w:i w:val="0"/>
                <w:color w:val="000000"/>
                <w:sz w:val="18"/>
              </w:rPr>
              <w:t xml:space="preserve">2024. </w:t>
            </w:r>
          </w:p>
        </w:tc>
        <w:tc>
          <w:tcPr>
            <w:tcW w:type="dxa" w:w="4840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1" w:lineRule="auto" w:before="0" w:after="0"/>
              <w:ind w:left="0" w:right="0" w:firstLine="0"/>
              <w:jc w:val="left"/>
            </w:pPr>
            <w:r>
              <w:rPr>
                <w:u w:val="single" w:color="13377c"/>
                <w:rFonts w:ascii="Lora" w:hAnsi="Lora" w:eastAsia="Lora"/>
                <w:b w:val="0"/>
                <w:i w:val="0"/>
                <w:color w:val="14377D"/>
                <w:sz w:val="18"/>
              </w:rPr>
              <w:hyperlink r:id="rId57" w:history="1">
                <w:r>
                  <w:rPr>
                    <w:rStyle w:val="Hyperlink"/>
                  </w:rPr>
                  <w:t>https://www.congress.gov/</w:t>
                </w:r>
              </w:hyperlink>
            </w:r>
          </w:p>
        </w:tc>
      </w:tr>
      <w:tr>
        <w:trPr>
          <w:trHeight w:hRule="exact" w:val="240"/>
        </w:trPr>
        <w:tc>
          <w:tcPr>
            <w:tcW w:type="dxa" w:w="810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1" w:lineRule="auto" w:before="0" w:after="0"/>
              <w:ind w:left="1238" w:right="0" w:firstLine="0"/>
              <w:jc w:val="left"/>
            </w:pPr>
            <w:r>
              <w:rPr>
                <w:u w:val="single" w:color="13377c"/>
                <w:rFonts w:ascii="Lora" w:hAnsi="Lora" w:eastAsia="Lora"/>
                <w:b w:val="0"/>
                <w:i w:val="0"/>
                <w:color w:val="14377D"/>
                <w:sz w:val="18"/>
              </w:rPr>
              <w:hyperlink r:id="rId57" w:history="1">
                <w:r>
                  <w:rPr>
                    <w:rStyle w:val="Hyperlink"/>
                  </w:rPr>
                  <w:t>bill/118th-congress/ho</w:t>
                </w:r>
              </w:hyperlink>
            </w:r>
            <w:r>
              <w:rPr>
                <w:u w:val="single" w:color="13377c"/>
                <w:rFonts w:ascii="Lora" w:hAnsi="Lora" w:eastAsia="Lora"/>
                <w:b w:val="0"/>
                <w:i w:val="0"/>
                <w:color w:val="14377D"/>
                <w:sz w:val="18"/>
              </w:rPr>
              <w:hyperlink r:id="rId57" w:history="1">
                <w:r>
                  <w:rPr>
                    <w:rStyle w:val="Hyperlink"/>
                  </w:rPr>
                  <w:t>use-bill/1458/text</w:t>
                </w:r>
              </w:hyperlink>
            </w:r>
          </w:p>
        </w:tc>
      </w:tr>
      <w:tr>
        <w:trPr>
          <w:trHeight w:hRule="exact" w:val="240"/>
        </w:trPr>
        <w:tc>
          <w:tcPr>
            <w:tcW w:type="dxa" w:w="16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1" w:lineRule="auto" w:before="0" w:after="0"/>
              <w:ind w:left="0" w:right="44" w:firstLine="0"/>
              <w:jc w:val="right"/>
            </w:pPr>
            <w:r>
              <w:rPr>
                <w:rFonts w:ascii="Lora" w:hAnsi="Lora" w:eastAsia="Lora"/>
                <w:b w:val="0"/>
                <w:i w:val="0"/>
                <w:color w:val="000000"/>
                <w:sz w:val="18"/>
              </w:rPr>
              <w:t>88.</w:t>
            </w:r>
            <w:r>
              <w:rPr>
                <w:rFonts w:ascii="Lora" w:hAnsi="Lora" w:eastAsia="Lora"/>
                <w:b w:val="0"/>
                <w:i w:val="0"/>
                <w:color w:val="000000"/>
                <w:sz w:val="18"/>
              </w:rPr>
              <w:hyperlink r:id="rId57" w:history="1">
                <w:r>
                  <w:rPr>
                    <w:rStyle w:val="Hyperlink"/>
                  </w:rPr>
                  <w:t xml:space="preserve"> U.S. </w:t>
                </w:r>
              </w:hyperlink>
            </w:r>
          </w:p>
        </w:tc>
        <w:tc>
          <w:tcPr>
            <w:tcW w:type="dxa" w:w="7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1" w:lineRule="auto" w:before="0" w:after="0"/>
              <w:ind w:left="0" w:right="0" w:firstLine="0"/>
              <w:jc w:val="center"/>
            </w:pPr>
            <w:r>
              <w:rPr>
                <w:rFonts w:ascii="Lora" w:hAnsi="Lora" w:eastAsia="Lora"/>
                <w:b w:val="0"/>
                <w:i w:val="0"/>
                <w:color w:val="000000"/>
                <w:sz w:val="18"/>
              </w:rPr>
              <w:hyperlink r:id="rId57" w:history="1">
                <w:r>
                  <w:rPr>
                    <w:rStyle w:val="Hyperlink"/>
                  </w:rPr>
                  <w:t xml:space="preserve">Food </w:t>
                </w:r>
              </w:hyperlink>
            </w:r>
          </w:p>
        </w:tc>
        <w:tc>
          <w:tcPr>
            <w:tcW w:type="dxa" w:w="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1" w:lineRule="auto" w:before="0" w:after="0"/>
              <w:ind w:left="0" w:right="12" w:firstLine="0"/>
              <w:jc w:val="right"/>
            </w:pPr>
            <w:r>
              <w:rPr>
                <w:rFonts w:ascii="Lora" w:hAnsi="Lora" w:eastAsia="Lora"/>
                <w:b w:val="0"/>
                <w:i w:val="0"/>
                <w:color w:val="000000"/>
                <w:sz w:val="18"/>
              </w:rPr>
              <w:hyperlink r:id="rId57" w:history="1">
                <w:r>
                  <w:rPr>
                    <w:rStyle w:val="Hyperlink"/>
                  </w:rPr>
                  <w:t xml:space="preserve">&amp; </w:t>
                </w:r>
              </w:hyperlink>
            </w:r>
          </w:p>
        </w:tc>
        <w:tc>
          <w:tcPr>
            <w:tcW w:type="dxa" w:w="84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1" w:lineRule="auto" w:before="0" w:after="0"/>
              <w:ind w:left="0" w:right="0" w:firstLine="0"/>
              <w:jc w:val="center"/>
            </w:pPr>
            <w:r>
              <w:rPr>
                <w:rFonts w:ascii="Lora" w:hAnsi="Lora" w:eastAsia="Lora"/>
                <w:b w:val="0"/>
                <w:i w:val="0"/>
                <w:color w:val="000000"/>
                <w:sz w:val="18"/>
              </w:rPr>
              <w:hyperlink r:id="rId57" w:history="1">
                <w:r>
                  <w:rPr>
                    <w:rStyle w:val="Hyperlink"/>
                  </w:rPr>
                  <w:t xml:space="preserve">Drug </w:t>
                </w:r>
              </w:hyperlink>
            </w:r>
          </w:p>
        </w:tc>
        <w:tc>
          <w:tcPr>
            <w:tcW w:type="dxa" w:w="160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1" w:lineRule="auto" w:before="0" w:after="0"/>
              <w:ind w:left="0" w:right="0" w:firstLine="0"/>
              <w:jc w:val="center"/>
            </w:pPr>
            <w:r>
              <w:rPr>
                <w:rFonts w:ascii="Lora" w:hAnsi="Lora" w:eastAsia="Lora"/>
                <w:b w:val="0"/>
                <w:i w:val="0"/>
                <w:color w:val="000000"/>
                <w:sz w:val="18"/>
              </w:rPr>
              <w:hyperlink r:id="rId57" w:history="1">
                <w:r>
                  <w:rPr>
                    <w:rStyle w:val="Hyperlink"/>
                  </w:rPr>
                  <w:t>Administrati</w:t>
                </w:r>
              </w:hyperlink>
            </w:r>
            <w:r>
              <w:rPr>
                <w:rFonts w:ascii="Lora" w:hAnsi="Lora" w:eastAsia="Lora"/>
                <w:b w:val="0"/>
                <w:i w:val="0"/>
                <w:color w:val="000000"/>
                <w:sz w:val="18"/>
              </w:rPr>
              <w:t xml:space="preserve">on. </w:t>
            </w:r>
          </w:p>
        </w:tc>
        <w:tc>
          <w:tcPr>
            <w:tcW w:type="dxa" w:w="2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1" w:lineRule="auto" w:before="0" w:after="0"/>
              <w:ind w:left="112" w:right="0" w:firstLine="0"/>
              <w:jc w:val="left"/>
            </w:pPr>
            <w:r>
              <w:rPr>
                <w:rFonts w:ascii="Lora" w:hAnsi="Lora" w:eastAsia="Lora"/>
                <w:b w:val="0"/>
                <w:i w:val="0"/>
                <w:color w:val="000000"/>
                <w:sz w:val="18"/>
              </w:rPr>
              <w:t>Real-</w:t>
            </w:r>
          </w:p>
        </w:tc>
      </w:tr>
      <w:tr>
        <w:trPr>
          <w:trHeight w:hRule="exact" w:val="1200"/>
        </w:trPr>
        <w:tc>
          <w:tcPr>
            <w:tcW w:type="dxa" w:w="810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3" w:lineRule="auto" w:before="0" w:after="0"/>
              <w:ind w:left="1238" w:right="0" w:firstLine="0"/>
              <w:jc w:val="left"/>
            </w:pPr>
            <w:r>
              <w:rPr>
                <w:rFonts w:ascii="Lora" w:hAnsi="Lora" w:eastAsia="Lora"/>
                <w:b w:val="0"/>
                <w:i w:val="0"/>
                <w:color w:val="000000"/>
                <w:sz w:val="18"/>
              </w:rPr>
              <w:hyperlink r:id="rId58" w:history="1">
                <w:r>
                  <w:rPr>
                    <w:rStyle w:val="Hyperlink"/>
                  </w:rPr>
                  <w:t>world evidence. Accessed January 23, 2024.</w:t>
                </w:r>
              </w:hyperlink>
            </w:r>
            <w:r>
              <w:rPr>
                <w:rFonts w:ascii="Lora" w:hAnsi="Lora" w:eastAsia="Lora"/>
                <w:b w:val="0"/>
                <w:i w:val="0"/>
                <w:color w:val="000000"/>
                <w:sz w:val="18"/>
              </w:rPr>
              <w:t xml:space="preserve"> </w:t>
            </w:r>
          </w:p>
          <w:p>
            <w:pPr>
              <w:autoSpaceDN w:val="0"/>
              <w:tabs>
                <w:tab w:pos="1238" w:val="left"/>
              </w:tabs>
              <w:autoSpaceDE w:val="0"/>
              <w:widowControl/>
              <w:spacing w:line="245" w:lineRule="auto" w:before="0" w:after="0"/>
              <w:ind w:left="968" w:right="2304" w:firstLine="0"/>
              <w:jc w:val="left"/>
            </w:pPr>
            <w:r>
              <w:tab/>
            </w:r>
            <w:r>
              <w:rPr>
                <w:u w:val="single" w:color="13377c"/>
                <w:rFonts w:ascii="Lora" w:hAnsi="Lora" w:eastAsia="Lora"/>
                <w:b w:val="0"/>
                <w:i w:val="0"/>
                <w:color w:val="14377D"/>
                <w:sz w:val="18"/>
              </w:rPr>
              <w:hyperlink r:id="rId58" w:history="1">
                <w:r>
                  <w:rPr>
                    <w:rStyle w:val="Hyperlink"/>
                  </w:rPr>
                  <w:t xml:space="preserve">h t t p s ://w w w. fd a . g o v/s c i e n c e -r e s e a r c h/ </w:t>
                </w:r>
              </w:hyperlink>
            </w:r>
            <w:r>
              <w:tab/>
            </w:r>
            <w:r>
              <w:rPr>
                <w:u w:val="single" w:color="13377c"/>
                <w:rFonts w:ascii="Lora" w:hAnsi="Lora" w:eastAsia="Lora"/>
                <w:b w:val="0"/>
                <w:i w:val="0"/>
                <w:color w:val="14377D"/>
                <w:sz w:val="18"/>
              </w:rPr>
              <w:hyperlink r:id="rId58" w:history="1">
                <w:r>
                  <w:rPr>
                    <w:rStyle w:val="Hyperlink"/>
                  </w:rPr>
                  <w:t xml:space="preserve">s c i e n c e - a n d - r e </w:t>
                </w:r>
              </w:hyperlink>
            </w:r>
            <w:r>
              <w:rPr>
                <w:u w:val="single" w:color="13377c"/>
                <w:rFonts w:ascii="Lora" w:hAnsi="Lora" w:eastAsia="Lora"/>
                <w:b w:val="0"/>
                <w:i w:val="0"/>
                <w:color w:val="14377D"/>
                <w:sz w:val="18"/>
              </w:rPr>
              <w:hyperlink r:id="rId58" w:history="1">
                <w:r>
                  <w:rPr>
                    <w:rStyle w:val="Hyperlink"/>
                  </w:rPr>
                  <w:t xml:space="preserve">s e a r c h - s p e c i a l - t o p i c s/ </w:t>
                </w:r>
              </w:hyperlink>
            </w:r>
            <w:r>
              <w:tab/>
            </w:r>
            <w:r>
              <w:rPr>
                <w:u w:val="single" w:color="13377c"/>
                <w:rFonts w:ascii="Lora" w:hAnsi="Lora" w:eastAsia="Lora"/>
                <w:b w:val="0"/>
                <w:i w:val="0"/>
                <w:color w:val="14377D"/>
                <w:sz w:val="18"/>
              </w:rPr>
              <w:hyperlink r:id="rId58" w:history="1">
                <w:r>
                  <w:rPr>
                    <w:rStyle w:val="Hyperlink"/>
                  </w:rPr>
                  <w:t xml:space="preserve">real-world-evidence </w:t>
                </w:r>
              </w:hyperlink>
            </w:r>
            <w:r>
              <w:br/>
            </w:r>
            <w:r>
              <w:rPr>
                <w:rFonts w:ascii="Lora" w:hAnsi="Lora" w:eastAsia="Lora"/>
                <w:b w:val="0"/>
                <w:i w:val="0"/>
                <w:color w:val="000000"/>
                <w:sz w:val="18"/>
              </w:rPr>
              <w:t>89.</w:t>
            </w:r>
            <w:r>
              <w:rPr>
                <w:rFonts w:ascii="Lora" w:hAnsi="Lora" w:eastAsia="Lora"/>
                <w:b w:val="0"/>
                <w:i w:val="0"/>
                <w:color w:val="000000"/>
                <w:sz w:val="18"/>
              </w:rPr>
              <w:hyperlink r:id="rId58" w:history="1">
                <w:r>
                  <w:rPr>
                    <w:rStyle w:val="Hyperlink"/>
                  </w:rPr>
                  <w:t xml:space="preserve"> McKie J, Richardso</w:t>
                </w:r>
              </w:hyperlink>
            </w:r>
            <w:r>
              <w:rPr>
                <w:rFonts w:ascii="Lora" w:hAnsi="Lora" w:eastAsia="Lora"/>
                <w:b w:val="0"/>
                <w:i w:val="0"/>
                <w:color w:val="000000"/>
                <w:sz w:val="18"/>
              </w:rPr>
              <w:t xml:space="preserve">n J. The rule of rescue. Soc </w:t>
            </w:r>
          </w:p>
        </w:tc>
      </w:tr>
      <w:tr>
        <w:trPr>
          <w:trHeight w:hRule="exact" w:val="240"/>
        </w:trPr>
        <w:tc>
          <w:tcPr>
            <w:tcW w:type="dxa" w:w="16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3" w:lineRule="auto" w:before="0" w:after="0"/>
              <w:ind w:left="0" w:right="128" w:firstLine="0"/>
              <w:jc w:val="right"/>
            </w:pPr>
            <w:r>
              <w:rPr>
                <w:rFonts w:ascii="Lora" w:hAnsi="Lora" w:eastAsia="Lora"/>
                <w:b w:val="0"/>
                <w:i w:val="0"/>
                <w:color w:val="000000"/>
                <w:sz w:val="18"/>
              </w:rPr>
              <w:t xml:space="preserve">Sci </w:t>
            </w:r>
          </w:p>
        </w:tc>
        <w:tc>
          <w:tcPr>
            <w:tcW w:type="dxa" w:w="7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3" w:lineRule="auto" w:before="0" w:after="0"/>
              <w:ind w:left="68" w:right="0" w:firstLine="0"/>
              <w:jc w:val="left"/>
            </w:pPr>
            <w:r>
              <w:rPr>
                <w:rFonts w:ascii="Lora" w:hAnsi="Lora" w:eastAsia="Lora"/>
                <w:b w:val="0"/>
                <w:i w:val="0"/>
                <w:color w:val="000000"/>
                <w:sz w:val="18"/>
              </w:rPr>
              <w:t xml:space="preserve">Med. </w:t>
            </w:r>
          </w:p>
        </w:tc>
        <w:tc>
          <w:tcPr>
            <w:tcW w:type="dxa" w:w="1920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3" w:lineRule="auto" w:before="0" w:after="0"/>
              <w:ind w:left="0" w:right="0" w:firstLine="0"/>
              <w:jc w:val="center"/>
            </w:pPr>
            <w:r>
              <w:rPr>
                <w:rFonts w:ascii="Lora" w:hAnsi="Lora" w:eastAsia="Lora"/>
                <w:b w:val="0"/>
                <w:i w:val="0"/>
                <w:color w:val="000000"/>
                <w:sz w:val="18"/>
              </w:rPr>
              <w:t xml:space="preserve">2003;56(12):2407-19. </w:t>
            </w:r>
          </w:p>
        </w:tc>
        <w:tc>
          <w:tcPr>
            <w:tcW w:type="dxa" w:w="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3" w:lineRule="auto" w:before="0" w:after="0"/>
              <w:ind w:left="0" w:right="0" w:firstLine="0"/>
              <w:jc w:val="center"/>
            </w:pPr>
            <w:r>
              <w:rPr>
                <w:rFonts w:ascii="Lora" w:hAnsi="Lora" w:eastAsia="Lora"/>
                <w:b w:val="0"/>
                <w:i w:val="0"/>
                <w:color w:val="000000"/>
                <w:sz w:val="18"/>
              </w:rPr>
              <w:t xml:space="preserve">doi: </w:t>
            </w:r>
          </w:p>
        </w:tc>
        <w:tc>
          <w:tcPr>
            <w:tcW w:type="dxa" w:w="31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3" w:lineRule="auto" w:before="0" w:after="0"/>
              <w:ind w:left="104" w:right="0" w:firstLine="0"/>
              <w:jc w:val="left"/>
            </w:pPr>
            <w:r>
              <w:rPr>
                <w:rFonts w:ascii="Lora" w:hAnsi="Lora" w:eastAsia="Lora"/>
                <w:b w:val="0"/>
                <w:i w:val="0"/>
                <w:color w:val="000000"/>
                <w:sz w:val="18"/>
              </w:rPr>
              <w:t>10.1016/</w:t>
            </w:r>
          </w:p>
        </w:tc>
      </w:tr>
      <w:tr>
        <w:trPr>
          <w:trHeight w:hRule="exact" w:val="1508"/>
        </w:trPr>
        <w:tc>
          <w:tcPr>
            <w:tcW w:type="dxa" w:w="810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238" w:val="left"/>
              </w:tabs>
              <w:autoSpaceDE w:val="0"/>
              <w:widowControl/>
              <w:spacing w:line="245" w:lineRule="auto" w:before="0" w:after="0"/>
              <w:ind w:left="968" w:right="2304" w:firstLine="0"/>
              <w:jc w:val="left"/>
            </w:pPr>
            <w:r>
              <w:tab/>
            </w:r>
            <w:r>
              <w:rPr>
                <w:rFonts w:ascii="Lora" w:hAnsi="Lora" w:eastAsia="Lora"/>
                <w:b w:val="0"/>
                <w:i w:val="0"/>
                <w:color w:val="000000"/>
                <w:sz w:val="18"/>
              </w:rPr>
              <w:t xml:space="preserve">s0277-9536(02)00244-7 </w:t>
            </w:r>
            <w:r>
              <w:br/>
            </w:r>
            <w:r>
              <w:rPr>
                <w:rFonts w:ascii="Lora" w:hAnsi="Lora" w:eastAsia="Lora"/>
                <w:b w:val="0"/>
                <w:i w:val="0"/>
                <w:color w:val="000000"/>
                <w:sz w:val="18"/>
              </w:rPr>
              <w:t xml:space="preserve">90. AMCP. The AMCP format for formulary submissions </w:t>
            </w:r>
            <w:r>
              <w:tab/>
            </w:r>
            <w:r>
              <w:rPr>
                <w:rFonts w:ascii="Lora" w:hAnsi="Lora" w:eastAsia="Lora"/>
                <w:b w:val="0"/>
                <w:i w:val="0"/>
                <w:color w:val="000000"/>
                <w:sz w:val="18"/>
              </w:rPr>
              <w:t>(version 3.1). Addendum: specialty pharmac</w:t>
            </w:r>
            <w:r>
              <w:rPr>
                <w:rFonts w:ascii="Lora" w:hAnsi="Lora" w:eastAsia="Lora"/>
                <w:b w:val="0"/>
                <w:i w:val="0"/>
                <w:color w:val="000000"/>
                <w:sz w:val="18"/>
              </w:rPr>
              <w:hyperlink r:id="rId59" w:history="1">
                <w:r>
                  <w:rPr>
                    <w:rStyle w:val="Hyperlink"/>
                  </w:rPr>
                  <w:t>euticals.</w:t>
                </w:r>
              </w:hyperlink>
            </w:r>
            <w:r>
              <w:rPr>
                <w:rFonts w:ascii="Lora" w:hAnsi="Lora" w:eastAsia="Lora"/>
                <w:b w:val="0"/>
                <w:i w:val="0"/>
                <w:color w:val="000000"/>
                <w:sz w:val="18"/>
              </w:rPr>
              <w:t xml:space="preserve"> </w:t>
            </w:r>
          </w:p>
          <w:p>
            <w:pPr>
              <w:autoSpaceDN w:val="0"/>
              <w:autoSpaceDE w:val="0"/>
              <w:widowControl/>
              <w:spacing w:line="245" w:lineRule="auto" w:before="0" w:after="0"/>
              <w:ind w:left="1238" w:right="2362" w:firstLine="0"/>
              <w:jc w:val="both"/>
            </w:pPr>
            <w:r>
              <w:rPr>
                <w:rFonts w:ascii="Lora" w:hAnsi="Lora" w:eastAsia="Lora"/>
                <w:b w:val="0"/>
                <w:i w:val="0"/>
                <w:color w:val="000000"/>
                <w:sz w:val="18"/>
              </w:rPr>
              <w:hyperlink r:id="rId59" w:history="1">
                <w:r>
                  <w:rPr>
                    <w:rStyle w:val="Hyperlink"/>
                  </w:rPr>
                  <w:t xml:space="preserve">December 2012. Accessed January 23, 2024. </w:t>
                </w:r>
              </w:hyperlink>
            </w:r>
            <w:r>
              <w:rPr>
                <w:u w:val="single" w:color="13377c"/>
                <w:rFonts w:ascii="Lora" w:hAnsi="Lora" w:eastAsia="Lora"/>
                <w:b w:val="0"/>
                <w:i w:val="0"/>
                <w:color w:val="14377D"/>
                <w:sz w:val="18"/>
              </w:rPr>
              <w:hyperlink r:id="rId59" w:history="1">
                <w:r>
                  <w:rPr>
                    <w:rStyle w:val="Hyperlink"/>
                  </w:rPr>
                  <w:t xml:space="preserve">https:// </w:t>
                </w:r>
              </w:hyperlink>
            </w:r>
            <w:r>
              <w:rPr>
                <w:u w:val="single" w:color="13377c"/>
                <w:rFonts w:ascii="Lora" w:hAnsi="Lora" w:eastAsia="Lora"/>
                <w:b w:val="0"/>
                <w:i w:val="0"/>
                <w:color w:val="14377D"/>
                <w:sz w:val="18"/>
              </w:rPr>
              <w:hyperlink r:id="rId59" w:history="1">
                <w:r>
                  <w:rPr>
                    <w:rStyle w:val="Hyperlink"/>
                  </w:rPr>
                  <w:t>www.amcp.org/sites/default/files/20</w:t>
                </w:r>
              </w:hyperlink>
            </w:r>
            <w:r>
              <w:rPr>
                <w:u w:val="single" w:color="13377c"/>
                <w:rFonts w:ascii="Lora" w:hAnsi="Lora" w:eastAsia="Lora"/>
                <w:b w:val="0"/>
                <w:i w:val="0"/>
                <w:color w:val="14377D"/>
                <w:sz w:val="18"/>
              </w:rPr>
              <w:hyperlink r:id="rId59" w:history="1">
                <w:r>
                  <w:rPr>
                    <w:rStyle w:val="Hyperlink"/>
                  </w:rPr>
                  <w:t>19-03</w:t>
                </w:r>
              </w:hyperlink>
            </w:r>
            <w:r>
              <w:rPr>
                <w:u w:val="single" w:color="13377c"/>
                <w:rFonts w:ascii="Lora" w:hAnsi="Lora" w:eastAsia="Lora"/>
                <w:b w:val="0"/>
                <w:i w:val="0"/>
                <w:color w:val="14377D"/>
                <w:sz w:val="18"/>
              </w:rPr>
              <w:hyperlink r:id="rId59" w:history="1">
                <w:r>
                  <w:rPr>
                    <w:rStyle w:val="Hyperlink"/>
                  </w:rPr>
                  <w:t xml:space="preserve">/ </w:t>
                </w:r>
              </w:hyperlink>
            </w:r>
            <w:r>
              <w:rPr>
                <w:u w:val="single" w:color="13377c"/>
                <w:rFonts w:ascii="Lora" w:hAnsi="Lora" w:eastAsia="Lora"/>
                <w:b w:val="0"/>
                <w:i w:val="0"/>
                <w:color w:val="14377D"/>
                <w:sz w:val="18"/>
              </w:rPr>
              <w:hyperlink r:id="rId59" w:history="1">
                <w:r>
                  <w:rPr>
                    <w:rStyle w:val="Hyperlink"/>
                  </w:rPr>
                  <w:t>Format%20Version%203.1%20Final%202.2013_0.pdf</w:t>
                </w:r>
              </w:hyperlink>
            </w:r>
          </w:p>
        </w:tc>
      </w:tr>
    </w:tbl>
    <w:p>
      <w:pPr>
        <w:autoSpaceDN w:val="0"/>
        <w:autoSpaceDE w:val="0"/>
        <w:widowControl/>
        <w:spacing w:line="186" w:lineRule="exact" w:before="3374" w:after="0"/>
        <w:ind w:left="740" w:right="0" w:firstLine="0"/>
        <w:jc w:val="left"/>
      </w:pPr>
      <w:r>
        <w:rPr>
          <w:rFonts w:ascii="Asap" w:hAnsi="Asap" w:eastAsia="Asap"/>
          <w:b/>
          <w:i w:val="0"/>
          <w:color w:val="14377D"/>
          <w:sz w:val="14"/>
        </w:rPr>
        <w:t>JMCP</w:t>
      </w:r>
      <w:r>
        <w:rPr>
          <w:rFonts w:ascii="Asap" w:hAnsi="Asap" w:eastAsia="Asap"/>
          <w:b w:val="0"/>
          <w:i w:val="0"/>
          <w:color w:val="14377D"/>
          <w:sz w:val="14"/>
        </w:rPr>
        <w:t>.org</w:t>
      </w:r>
      <w:r>
        <w:rPr>
          <w:rFonts w:ascii="Asap" w:hAnsi="Asap" w:eastAsia="Asap"/>
          <w:b w:val="0"/>
          <w:i w:val="0"/>
          <w:color w:val="474C55"/>
          <w:sz w:val="14"/>
        </w:rPr>
        <w:t>|</w:t>
      </w:r>
      <w:r>
        <w:rPr>
          <w:rFonts w:ascii="Asap" w:hAnsi="Asap" w:eastAsia="Asap"/>
          <w:b w:val="0"/>
          <w:i w:val="0"/>
          <w:color w:val="474C55"/>
          <w:sz w:val="14"/>
        </w:rPr>
        <w:t>April 2024</w:t>
      </w:r>
      <w:r>
        <w:rPr>
          <w:rFonts w:ascii="Asap" w:hAnsi="Asap" w:eastAsia="Asap"/>
          <w:b w:val="0"/>
          <w:i w:val="0"/>
          <w:color w:val="474C55"/>
          <w:sz w:val="14"/>
        </w:rPr>
        <w:t>|</w:t>
      </w:r>
      <w:r>
        <w:rPr>
          <w:rFonts w:ascii="Asap" w:hAnsi="Asap" w:eastAsia="Asap"/>
          <w:b w:val="0"/>
          <w:i w:val="0"/>
          <w:color w:val="474C55"/>
          <w:sz w:val="14"/>
        </w:rPr>
        <w:t>Vol. 30, No. 4-B</w:t>
      </w:r>
    </w:p>
    <w:sectPr w:rsidR="00FC693F" w:rsidRPr="0006063C" w:rsidSect="00034616">
      <w:pgSz w:w="11880" w:h="15660"/>
      <w:pgMar w:top="360" w:right="1440" w:bottom="266" w:left="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hyperlink" Target="https://doi.org/10.18553/jmcp.2022.22093" TargetMode="External"/><Relationship Id="rId18" Type="http://schemas.openxmlformats.org/officeDocument/2006/relationships/hyperlink" Target="https://www.fda.gov/media/133620/download " TargetMode="External"/><Relationship Id="rId19" Type="http://schemas.openxmlformats.org/officeDocument/2006/relationships/hyperlink" Target="https://www.congress.gov/bill/117th-congress/house-bill/2617/text" TargetMode="External"/><Relationship Id="rId20" Type="http://schemas.openxmlformats.org/officeDocument/2006/relationships/hyperlink" Target="https://www.congress.gov/bill/117th-congress/house-bill/5376/text " TargetMode="External"/><Relationship Id="rId21" Type="http://schemas.openxmlformats.org/officeDocument/2006/relationships/hyperlink" Target="https://www.amcp.org/sites/default/files/2019-03/Principles%20of%20a%20Sound%20Drug%20Formulary%20System.pdf" TargetMode="External"/><Relationship Id="rId22" Type="http://schemas.openxmlformats.org/officeDocument/2006/relationships/hyperlink" Target="https://www.amcp.org/Resource-Center/blog/pie-act-case-study-importance-persistence-policymaking" TargetMode="External"/><Relationship Id="rId23" Type="http://schemas.openxmlformats.org/officeDocument/2006/relationships/hyperlink" Target="https://www.amcp.org/sites/default/files/2019-12/AMCP_Format%204.1_1219_final.pdf" TargetMode="External"/><Relationship Id="rId24" Type="http://schemas.openxmlformats.org/officeDocument/2006/relationships/hyperlink" Target="https://www.accessdata.fda.gov/scripts/cdrh/cfdocs/cfcfr/CFRSearch.cfm?CFRPart=202" TargetMode="External"/><Relationship Id="rId25" Type="http://schemas.openxmlformats.org/officeDocument/2006/relationships/hyperlink" Target="https://www.govinfo.gov/app/details/PLAW-105publ115" TargetMode="External"/><Relationship Id="rId26" Type="http://schemas.openxmlformats.org/officeDocument/2006/relationships/hyperlink" Target="https://www.fda.gov/regulatory-information/search-fda-guidance-documents/responding-unsolicited-requests-label-information-about-prescription-drugs-and-medical-devices" TargetMode="External"/><Relationship Id="rId27" Type="http://schemas.openxmlformats.org/officeDocument/2006/relationships/hyperlink" Target="https://www.fda.gov/media/119258/download" TargetMode="External"/><Relationship Id="rId28" Type="http://schemas.openxmlformats.org/officeDocument/2006/relationships/hyperlink" Target="https://www.fda.gov/media/124907/download" TargetMode="External"/><Relationship Id="rId29" Type="http://schemas.openxmlformats.org/officeDocument/2006/relationships/hyperlink" Target="https://www.congress.gov/111/plaws/publ148/PLAW-111publ148.pdf" TargetMode="External"/><Relationship Id="rId30" Type="http://schemas.openxmlformats.org/officeDocument/2006/relationships/hyperlink" Target="https://www.fda.gov/media/82647/download " TargetMode="External"/><Relationship Id="rId31" Type="http://schemas.openxmlformats.org/officeDocument/2006/relationships/hyperlink" Target="https://www.fda.gov/media/159261/download" TargetMode="External"/><Relationship Id="rId32" Type="http://schemas.openxmlformats.org/officeDocument/2006/relationships/hyperlink" Target="https://www.fda.gov/media/121316/download  " TargetMode="External"/><Relationship Id="rId33" Type="http://schemas.openxmlformats.org/officeDocument/2006/relationships/hyperlink" Target="https://www.fda.gov/regulatory-information/search-fda-guidance-documents/reference-product-exclusivity-biological-products-filed-under-section-351a-phs-act" TargetMode="External"/><Relationship Id="rId34" Type="http://schemas.openxmlformats.org/officeDocument/2006/relationships/hyperlink" Target="https://www.fda.gov/media/88622/download  " TargetMode="External"/><Relationship Id="rId35" Type="http://schemas.openxmlformats.org/officeDocument/2006/relationships/hyperlink" Target="https://www.fda.gov/media/119278/download " TargetMode="External"/><Relationship Id="rId36" Type="http://schemas.openxmlformats.org/officeDocument/2006/relationships/hyperlink" Target="https://www.fda.gov/media/81309/download. " TargetMode="External"/><Relationship Id="rId37" Type="http://schemas.openxmlformats.org/officeDocument/2006/relationships/hyperlink" Target="https://archive.cdc.gov/#/details?url=https://www.cdc.gov/genomics/gtesting/acce/index.htm" TargetMode="External"/><Relationship Id="rId38" Type="http://schemas.openxmlformats.org/officeDocument/2006/relationships/hyperlink" Target="https://www.ncbi.nlm.nih.gov/books/NBK62412 " TargetMode="External"/><Relationship Id="rId39" Type="http://schemas.openxmlformats.org/officeDocument/2006/relationships/hyperlink" Target="https://www.fda.gov/regulatory-information/search-fda-guidance-documents/guidance-use-bayesian-statistics-medical-device-clinical-trials" TargetMode="External"/><Relationship Id="rId40" Type="http://schemas.openxmlformats.org/officeDocument/2006/relationships/hyperlink" Target="https://www.ncbi.nlm.nih.gov/books/NBK209518 " TargetMode="External"/><Relationship Id="rId41" Type="http://schemas.openxmlformats.org/officeDocument/2006/relationships/hyperlink" Target="https://effectivehealthcare.ahrq.gov/sites/default/files/pdf/cer-methods-guide_overview.pdf " TargetMode="External"/><Relationship Id="rId42" Type="http://schemas.openxmlformats.org/officeDocument/2006/relationships/hyperlink" Target="https://icer.org/wp-content/uploads/2020/10/Rating-Matrix-User-Guide-UPDATED-06.30.17.pdf " TargetMode="External"/><Relationship Id="rId43" Type="http://schemas.openxmlformats.org/officeDocument/2006/relationships/hyperlink" Target="https://icer.org/evidence-rating-matrix/" TargetMode="External"/><Relationship Id="rId44" Type="http://schemas.openxmlformats.org/officeDocument/2006/relationships/hyperlink" Target="https://www.uspreventiveservicestaskforce.org/uspstf/about-uspstf/methods-and-processes/procedure-manual" TargetMode="External"/><Relationship Id="rId45" Type="http://schemas.openxmlformats.org/officeDocument/2006/relationships/hyperlink" Target="https://dtxalliance.org/wp-content/uploads/2023/06/DTA_FS_New-DTx-Definition.pdf " TargetMode="External"/><Relationship Id="rId46" Type="http://schemas.openxmlformats.org/officeDocument/2006/relationships/hyperlink" Target="https://www.nice.org.uk/corporate/ecd7 " TargetMode="External"/><Relationship Id="rId47" Type="http://schemas.openxmlformats.org/officeDocument/2006/relationships/hyperlink" Target="https://dtxalliance.org/advancing-dtx/dtx-value-guide/ " TargetMode="External"/><Relationship Id="rId48" Type="http://schemas.openxmlformats.org/officeDocument/2006/relationships/hyperlink" Target="https://www.fda.gov/media/99447/download  " TargetMode="External"/><Relationship Id="rId49" Type="http://schemas.openxmlformats.org/officeDocument/2006/relationships/hyperlink" Target="https://www.amcp.org/sites/default/files/2019-03/AMCP-Format-V4.pdf" TargetMode="External"/><Relationship Id="rId50" Type="http://schemas.openxmlformats.org/officeDocument/2006/relationships/hyperlink" Target="https://uscode.house.gov/view.xhtml?req=granuleid:USC-prelim-title21-section352&amp;num=0&amp;edition=prelim" TargetMode="External"/><Relationship Id="rId51" Type="http://schemas.openxmlformats.org/officeDocument/2006/relationships/hyperlink" Target="https://www.ajmc.com/view/care-pathways-in-us-healthcare-settings-current-successes-and-limitations-and-future-challenges " TargetMode="External"/><Relationship Id="rId52" Type="http://schemas.openxmlformats.org/officeDocument/2006/relationships/hyperlink" Target="https://nap.nationalacademies.org/read/12648/chapter/1" TargetMode="External"/><Relationship Id="rId53" Type="http://schemas.openxmlformats.org/officeDocument/2006/relationships/hyperlink" Target="https://www.iso.org/standard/83767.html" TargetMode="External"/><Relationship Id="rId54" Type="http://schemas.openxmlformats.org/officeDocument/2006/relationships/hyperlink" Target="https://www.amcp.org/Resource-Center/blog/pharmacoequity-new-opportunity-managed-care-pharmacy" TargetMode="External"/><Relationship Id="rId55" Type="http://schemas.openxmlformats.org/officeDocument/2006/relationships/hyperlink" Target="https://www.statnews.com/2021/07/28/pharmacoequity-new-goal-ending-disparities-us-health-care/" TargetMode="External"/><Relationship Id="rId56" Type="http://schemas.openxmlformats.org/officeDocument/2006/relationships/hyperlink" Target="https://www.congress.gov/bill/118th-congress/senate-bill/723/text" TargetMode="External"/><Relationship Id="rId57" Type="http://schemas.openxmlformats.org/officeDocument/2006/relationships/hyperlink" Target="https://www.congress.gov/bill/118th-congress/house-bill/1458/text" TargetMode="External"/><Relationship Id="rId58" Type="http://schemas.openxmlformats.org/officeDocument/2006/relationships/hyperlink" Target="https://www.fda.gov/science-research/science-and-research-special-topics/real-world-evidence " TargetMode="External"/><Relationship Id="rId59" Type="http://schemas.openxmlformats.org/officeDocument/2006/relationships/hyperlink" Target="https://www.amcp.org/sites/default/files/2019-03/Format%20Version%203.1%20Final%202.2013_0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