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2043"/>
          <w:sz w:val="48"/>
        </w:rPr>
        <w:t>SentinelDesk 🛡️ Architecture &amp; Agent Workflow Guide</w:t>
      </w:r>
    </w:p>
    <w:p>
      <w:r>
        <w:rPr>
          <w:rFonts w:ascii="Arial" w:hAnsi="Arial"/>
          <w:i/>
          <w:color w:val="1E5899"/>
          <w:sz w:val="26"/>
        </w:rPr>
        <w:t>10/10 Enterprise Multi-Agent AI Customer Support Operations Platform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0F2043"/>
        </w:rPr>
        <w:t>1. Executive Overview &amp; System Architecture</w:t>
      </w:r>
    </w:p>
    <w:p>
      <w:r>
        <w:t>SentinelDesk is an autonomous multi-agent platform designed to execute end-to-end customer support ticket triage. Built on Python 3.11+, LangGraph v0.2+, and FastAPI, SentinelDesk converts unstructured user queries into structured, verifiable, and grounded resolution workflows.</w:t>
      </w:r>
    </w:p>
    <w:p>
      <w:pPr>
        <w:pStyle w:val="Heading1"/>
      </w:pPr>
      <w:r>
        <w:rPr>
          <w:rFonts w:ascii="Arial" w:hAnsi="Arial"/>
          <w:color w:val="0F2043"/>
        </w:rPr>
        <w:t>2. The 8-Node Agent State Machine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043"/>
          </w:tcPr>
          <w:p>
            <w:r>
              <w:rPr>
                <w:b/>
                <w:color w:val="FFFFFF"/>
              </w:rPr>
              <w:t>Step #</w:t>
            </w:r>
          </w:p>
        </w:tc>
        <w:tc>
          <w:tcPr>
            <w:tcW w:type="dxa" w:w="3120"/>
            <w:shd w:fill="0F2043"/>
          </w:tcPr>
          <w:p>
            <w:r>
              <w:rPr>
                <w:b/>
                <w:color w:val="FFFFFF"/>
              </w:rPr>
              <w:t>Agent Node Name</w:t>
            </w:r>
          </w:p>
        </w:tc>
        <w:tc>
          <w:tcPr>
            <w:tcW w:type="dxa" w:w="3120"/>
            <w:shd w:fill="0F2043"/>
          </w:tcPr>
          <w:p>
            <w:r>
              <w:rPr>
                <w:b/>
                <w:color w:val="FFFFFF"/>
              </w:rPr>
              <w:t>Core Responsibilities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Intake &amp; Security Node</w:t>
            </w:r>
          </w:p>
        </w:tc>
        <w:tc>
          <w:tcPr>
            <w:tcW w:type="dxa" w:w="3120"/>
          </w:tcPr>
          <w:p>
            <w:r>
              <w:t>PII redaction (email, cards, SSN), OWASP LLM01 prompt injection interception, multi-modal OCR attachment ingestion.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Intent Classifier Node</w:t>
            </w:r>
          </w:p>
        </w:tc>
        <w:tc>
          <w:tcPr>
            <w:tcW w:type="dxa" w:w="3120"/>
          </w:tcPr>
          <w:p>
            <w:r>
              <w:t>Categorizes query into Billing, TechBug, FeatureRequest, AccountAccess, GeneralQuery, or AbusePolicy.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Urgency &amp; SLA Engine</w:t>
            </w:r>
          </w:p>
        </w:tc>
        <w:tc>
          <w:tcPr>
            <w:tcW w:type="dxa" w:w="3120"/>
          </w:tcPr>
          <w:p>
            <w:r>
              <w:t>Computes urgency score (HOT 0.95, WARM 0.70, COLD 0.25) based on customer tier and keywords.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Duplicate Search Node</w:t>
            </w:r>
          </w:p>
        </w:tc>
        <w:tc>
          <w:tcPr>
            <w:tcW w:type="dxa" w:w="3120"/>
          </w:tcPr>
          <w:p>
            <w:r>
              <w:t>Queries ChromaDB open ticket vector index to detect duplicate submissions (&gt; 85% similarity).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Autonomous ReAct Tool Loop</w:t>
            </w:r>
          </w:p>
        </w:tc>
        <w:tc>
          <w:tcPr>
            <w:tcW w:type="dxa" w:w="3120"/>
          </w:tcPr>
          <w:p>
            <w:r>
              <w:t>Dynamically executes tool chain: lookup_customer_account, verify_transaction, issue_refund, search_knowledge_base.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RAG Retrieval Node</w:t>
            </w:r>
          </w:p>
        </w:tc>
        <w:tc>
          <w:tcPr>
            <w:tcW w:type="dxa" w:w="3120"/>
          </w:tcPr>
          <w:p>
            <w:r>
              <w:t>Local bge-small-en-v1.5 embeddings → ChromaDB vector query across faq, manual, policy, and guide collections.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Draft Resolution Node</w:t>
            </w:r>
          </w:p>
        </w:tc>
        <w:tc>
          <w:tcPr>
            <w:tcW w:type="dxa" w:w="3120"/>
          </w:tcPr>
          <w:p>
            <w:r>
              <w:t>Generates customer-facing resolution text grounded strictly in retrieved KB chunks with source citations.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Decision &amp; Gate Node</w:t>
            </w:r>
          </w:p>
        </w:tc>
        <w:tc>
          <w:tcPr>
            <w:tcW w:type="dxa" w:w="3120"/>
          </w:tcPr>
          <w:p>
            <w:r>
              <w:t>Confidence Gate check (&gt;= 0.75 SOLVED; &lt; 0.75 or policy rules ESCALATED to Tier 2 / Compliance).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2043"/>
        </w:rPr>
        <w:t>3. Autonomous ReAct Tool Execution &amp; Self-Correction</w:t>
      </w:r>
    </w:p>
    <w:p>
      <w:r>
        <w:t>SentinelDesk employs an autonomous ReAct loop (Thought → Action → Observation → Reflexion). The agent dynamically selects tools from its executable registry:</w:t>
      </w:r>
    </w:p>
    <w:p>
      <w:pPr>
        <w:pStyle w:val="ListBullet"/>
      </w:pPr>
      <w:r>
        <w:t>lookup_customer_account(email): Retrieves customer account history, subscription tier, and lifetime value.</w:t>
      </w:r>
    </w:p>
    <w:p>
      <w:pPr>
        <w:pStyle w:val="ListBullet"/>
      </w:pPr>
      <w:r>
        <w:t>verify_transaction(transaction_id): Queries ledger to verify double charges and refund eligibility.</w:t>
      </w:r>
    </w:p>
    <w:p>
      <w:pPr>
        <w:pStyle w:val="ListBullet"/>
      </w:pPr>
      <w:r>
        <w:t>issue_refund(customer_id, amount, reason): Autonomous refund execution for verified billing disputes.</w:t>
      </w:r>
    </w:p>
    <w:p>
      <w:pPr>
        <w:pStyle w:val="ListBullet"/>
      </w:pPr>
      <w:r>
        <w:t>search_knowledge_base(query, top_k): Queries ChromaDB collections for technical documentation.</w:t>
      </w:r>
    </w:p>
    <w:p>
      <w:pPr>
        <w:pStyle w:val="Heading1"/>
      </w:pPr>
      <w:r>
        <w:rPr>
          <w:rFonts w:ascii="Arial" w:hAnsi="Arial"/>
          <w:color w:val="0F2043"/>
        </w:rPr>
        <w:t>4. Security Guardrails &amp; Multi-Model Failover</w:t>
      </w:r>
    </w:p>
    <w:p>
      <w:r>
        <w:t>• OWASP LLM Top 10 Defense: Strict input regex sanitization &amp; injection payload isolation.</w:t>
        <w:br/>
        <w:t>• Multi-Model Failover Pool: Automatic fallback (Gemini 2.0 Flash → Gemini 2.0 Flash Lite → Groq → OpenRouter) on 429 Rate Limits.</w:t>
        <w:br/>
        <w:t>• Real-Time WebSockets: Live telemetry streamed over ws://localhost:8000/ws/live-triage.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