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Arial" w:hAnsi="Arial"/>
          <w:b/>
          <w:color w:val="1F6D70"/>
          <w:sz w:val="22"/>
        </w:rPr>
        <w:t>EMERGE / EPIC BUSINESS CONTINUITY PROGRAM</w:t>
      </w:r>
    </w:p>
    <w:p>
      <w:pPr>
        <w:pStyle w:val="Title"/>
        <w:spacing w:before="200" w:after="160"/>
      </w:pPr>
      <w:r>
        <w:rPr>
          <w:rFonts w:ascii="Arial" w:hAnsi="Arial"/>
        </w:rPr>
        <w:t>Ransomware Tabletop Exercise</w:t>
        <w:br/>
        <w:t>After-Action Report</w:t>
      </w:r>
    </w:p>
    <w:p>
      <w:pPr>
        <w:spacing w:after="480"/>
      </w:pPr>
      <w:r>
        <w:rPr>
          <w:rFonts w:ascii="Arial" w:hAnsi="Arial"/>
          <w:color w:val="1F4E78"/>
          <w:sz w:val="32"/>
        </w:rPr>
        <w:t>Combined summary of Sessions 1-3</w:t>
      </w:r>
    </w:p>
    <w:tbl>
      <w:tblPr>
        <w:tblW w:type="auto" w:w="0"/>
        <w:jc w:val="left"/>
        <w:tblLook w:firstColumn="1" w:firstRow="1" w:lastColumn="0" w:lastRow="0" w:noHBand="0" w:noVBand="1" w:val="04A0"/>
        <w:tblBorders>
          <w:top w:val="single" w:sz="1" w:space="0" w:color="1F4E78"/>
          <w:left w:val="single" w:sz="1" w:space="0" w:color="1F4E78"/>
          <w:bottom w:val="single" w:sz="1" w:space="0" w:color="1F4E78"/>
          <w:right w:val="single" w:sz="1" w:space="0" w:color="1F4E78"/>
          <w:insideH w:val="single" w:sz="1" w:space="0" w:color="1F4E78"/>
          <w:insideV w:val="single" w:sz="1" w:space="0" w:color="1F4E78"/>
        </w:tblBorders>
      </w:tblPr>
      <w:tblGrid>
        <w:gridCol w:w="10080"/>
      </w:tblGrid>
      <w:tr>
        <w:trPr>
          <w:trHeight w:val="100" w:hRule="exact"/>
        </w:trPr>
        <w:tc>
          <w:tcPr>
            <w:tcW w:type="dxa" w:w="10080"/>
            <w:shd w:fill="1F4E78"/>
          </w:tcPr>
          <w:p/>
        </w:tc>
      </w:tr>
    </w:tbl>
    <w:tbl>
      <w:tblPr>
        <w:tblW w:type="auto" w:w="0"/>
        <w:jc w:val="left"/>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232"/>
        <w:gridCol w:w="7848"/>
      </w:tblGrid>
      <w:tr>
        <w:tc>
          <w:tcPr>
            <w:tcW w:type="dxa" w:w="2232"/>
            <w:vAlign w:val="center"/>
            <w:tcMar>
              <w:top w:w="90" w:type="dxa"/>
              <w:start w:w="90" w:type="dxa"/>
              <w:bottom w:w="90" w:type="dxa"/>
              <w:end w:w="90" w:type="dxa"/>
            </w:tcMar>
            <w:shd w:fill="D9EAF7"/>
          </w:tcPr>
          <w:p>
            <w:pPr>
              <w:spacing w:after="0"/>
              <w:jc w:val="left"/>
            </w:pPr>
            <w:r/>
            <w:r>
              <w:rPr>
                <w:rFonts w:ascii="Arial" w:hAnsi="Arial"/>
                <w:b/>
                <w:color w:val="17365D"/>
                <w:sz w:val="18"/>
              </w:rPr>
              <w:t>Exercise period</w:t>
            </w:r>
          </w:p>
        </w:tc>
        <w:tc>
          <w:tcPr>
            <w:tcW w:type="dxa" w:w="7848"/>
            <w:vAlign w:val="center"/>
            <w:tcMar>
              <w:top w:w="90" w:type="dxa"/>
              <w:start w:w="90" w:type="dxa"/>
              <w:bottom w:w="90" w:type="dxa"/>
              <w:end w:w="90" w:type="dxa"/>
            </w:tcMar>
          </w:tcPr>
          <w:p>
            <w:pPr>
              <w:spacing w:after="0"/>
              <w:jc w:val="left"/>
            </w:pPr>
            <w:r/>
            <w:r>
              <w:rPr>
                <w:rFonts w:ascii="Arial" w:hAnsi="Arial"/>
                <w:b w:val="0"/>
                <w:color w:val="404040"/>
                <w:sz w:val="19"/>
              </w:rPr>
              <w:t>July 2026 (three facilitated sessions)</w:t>
            </w:r>
          </w:p>
        </w:tc>
      </w:tr>
      <w:tr>
        <w:tc>
          <w:tcPr>
            <w:tcW w:type="dxa" w:w="2232"/>
            <w:vAlign w:val="center"/>
            <w:tcMar>
              <w:top w:w="90" w:type="dxa"/>
              <w:start w:w="90" w:type="dxa"/>
              <w:bottom w:w="90" w:type="dxa"/>
              <w:end w:w="90" w:type="dxa"/>
            </w:tcMar>
            <w:shd w:fill="D9EAF7"/>
          </w:tcPr>
          <w:p>
            <w:pPr>
              <w:spacing w:after="0"/>
              <w:jc w:val="left"/>
            </w:pPr>
            <w:r/>
            <w:r>
              <w:rPr>
                <w:rFonts w:ascii="Arial" w:hAnsi="Arial"/>
                <w:b/>
                <w:color w:val="17365D"/>
                <w:sz w:val="18"/>
              </w:rPr>
              <w:t>Exercise type</w:t>
            </w:r>
          </w:p>
        </w:tc>
        <w:tc>
          <w:tcPr>
            <w:tcW w:type="dxa" w:w="7848"/>
            <w:vAlign w:val="center"/>
            <w:tcMar>
              <w:top w:w="90" w:type="dxa"/>
              <w:start w:w="90" w:type="dxa"/>
              <w:bottom w:w="90" w:type="dxa"/>
              <w:end w:w="90" w:type="dxa"/>
            </w:tcMar>
          </w:tcPr>
          <w:p>
            <w:pPr>
              <w:spacing w:after="0"/>
              <w:jc w:val="left"/>
            </w:pPr>
            <w:r/>
            <w:r>
              <w:rPr>
                <w:rFonts w:ascii="Arial" w:hAnsi="Arial"/>
                <w:b w:val="0"/>
                <w:color w:val="404040"/>
                <w:sz w:val="19"/>
              </w:rPr>
              <w:t>Annual ransomware business continuity and incident response tabletop</w:t>
            </w:r>
          </w:p>
        </w:tc>
      </w:tr>
      <w:tr>
        <w:tc>
          <w:tcPr>
            <w:tcW w:type="dxa" w:w="2232"/>
            <w:vAlign w:val="center"/>
            <w:tcMar>
              <w:top w:w="90" w:type="dxa"/>
              <w:start w:w="90" w:type="dxa"/>
              <w:bottom w:w="90" w:type="dxa"/>
              <w:end w:w="90" w:type="dxa"/>
            </w:tcMar>
            <w:shd w:fill="D9EAF7"/>
          </w:tcPr>
          <w:p>
            <w:pPr>
              <w:spacing w:after="0"/>
              <w:jc w:val="left"/>
            </w:pPr>
            <w:r/>
            <w:r>
              <w:rPr>
                <w:rFonts w:ascii="Arial" w:hAnsi="Arial"/>
                <w:b/>
                <w:color w:val="17365D"/>
                <w:sz w:val="18"/>
              </w:rPr>
              <w:t>Prepared for</w:t>
            </w:r>
          </w:p>
        </w:tc>
        <w:tc>
          <w:tcPr>
            <w:tcW w:type="dxa" w:w="7848"/>
            <w:vAlign w:val="center"/>
            <w:tcMar>
              <w:top w:w="90" w:type="dxa"/>
              <w:start w:w="90" w:type="dxa"/>
              <w:bottom w:w="90" w:type="dxa"/>
              <w:end w:w="90" w:type="dxa"/>
            </w:tcMar>
          </w:tcPr>
          <w:p>
            <w:pPr>
              <w:spacing w:after="0"/>
              <w:jc w:val="left"/>
            </w:pPr>
            <w:r/>
            <w:r>
              <w:rPr>
                <w:rFonts w:ascii="Arial" w:hAnsi="Arial"/>
                <w:b w:val="0"/>
                <w:color w:val="404040"/>
                <w:sz w:val="19"/>
              </w:rPr>
              <w:t>Epic Business Continuity Review</w:t>
            </w:r>
          </w:p>
        </w:tc>
      </w:tr>
      <w:tr>
        <w:tc>
          <w:tcPr>
            <w:tcW w:type="dxa" w:w="2232"/>
            <w:vAlign w:val="center"/>
            <w:tcMar>
              <w:top w:w="90" w:type="dxa"/>
              <w:start w:w="90" w:type="dxa"/>
              <w:bottom w:w="90" w:type="dxa"/>
              <w:end w:w="90" w:type="dxa"/>
            </w:tcMar>
            <w:shd w:fill="D9EAF7"/>
          </w:tcPr>
          <w:p>
            <w:pPr>
              <w:spacing w:after="0"/>
              <w:jc w:val="left"/>
            </w:pPr>
            <w:r/>
            <w:r>
              <w:rPr>
                <w:rFonts w:ascii="Arial" w:hAnsi="Arial"/>
                <w:b/>
                <w:color w:val="17365D"/>
                <w:sz w:val="18"/>
              </w:rPr>
              <w:t>Prepared by</w:t>
            </w:r>
          </w:p>
        </w:tc>
        <w:tc>
          <w:tcPr>
            <w:tcW w:type="dxa" w:w="7848"/>
            <w:vAlign w:val="center"/>
            <w:tcMar>
              <w:top w:w="90" w:type="dxa"/>
              <w:start w:w="90" w:type="dxa"/>
              <w:bottom w:w="90" w:type="dxa"/>
              <w:end w:w="90" w:type="dxa"/>
            </w:tcMar>
          </w:tcPr>
          <w:p>
            <w:pPr>
              <w:spacing w:after="0"/>
              <w:jc w:val="left"/>
            </w:pPr>
            <w:r/>
            <w:r>
              <w:rPr>
                <w:rFonts w:ascii="Arial" w:hAnsi="Arial"/>
                <w:b w:val="0"/>
                <w:color w:val="404040"/>
                <w:sz w:val="19"/>
              </w:rPr>
              <w:t>Emerge BCP tabletop scribe</w:t>
            </w:r>
          </w:p>
        </w:tc>
      </w:tr>
      <w:tr>
        <w:tc>
          <w:tcPr>
            <w:tcW w:type="dxa" w:w="2232"/>
            <w:vAlign w:val="center"/>
            <w:tcMar>
              <w:top w:w="90" w:type="dxa"/>
              <w:start w:w="90" w:type="dxa"/>
              <w:bottom w:w="90" w:type="dxa"/>
              <w:end w:w="90" w:type="dxa"/>
            </w:tcMar>
            <w:shd w:fill="D9EAF7"/>
          </w:tcPr>
          <w:p>
            <w:pPr>
              <w:spacing w:after="0"/>
              <w:jc w:val="left"/>
            </w:pPr>
            <w:r/>
            <w:r>
              <w:rPr>
                <w:rFonts w:ascii="Arial" w:hAnsi="Arial"/>
                <w:b/>
                <w:color w:val="17365D"/>
                <w:sz w:val="18"/>
              </w:rPr>
              <w:t>Version</w:t>
            </w:r>
          </w:p>
        </w:tc>
        <w:tc>
          <w:tcPr>
            <w:tcW w:type="dxa" w:w="7848"/>
            <w:vAlign w:val="center"/>
            <w:tcMar>
              <w:top w:w="90" w:type="dxa"/>
              <w:start w:w="90" w:type="dxa"/>
              <w:bottom w:w="90" w:type="dxa"/>
              <w:end w:w="90" w:type="dxa"/>
            </w:tcMar>
          </w:tcPr>
          <w:p>
            <w:pPr>
              <w:spacing w:after="0"/>
              <w:jc w:val="left"/>
            </w:pPr>
            <w:r/>
            <w:r>
              <w:rPr>
                <w:rFonts w:ascii="Arial" w:hAnsi="Arial"/>
                <w:b w:val="0"/>
                <w:color w:val="404040"/>
                <w:sz w:val="19"/>
              </w:rPr>
              <w:t>1.0</w:t>
            </w:r>
          </w:p>
        </w:tc>
      </w:tr>
      <w:tr>
        <w:tc>
          <w:tcPr>
            <w:tcW w:type="dxa" w:w="2232"/>
            <w:vAlign w:val="center"/>
            <w:tcMar>
              <w:top w:w="90" w:type="dxa"/>
              <w:start w:w="90" w:type="dxa"/>
              <w:bottom w:w="90" w:type="dxa"/>
              <w:end w:w="90" w:type="dxa"/>
            </w:tcMar>
            <w:shd w:fill="D9EAF7"/>
          </w:tcPr>
          <w:p>
            <w:pPr>
              <w:spacing w:after="0"/>
              <w:jc w:val="left"/>
            </w:pPr>
            <w:r/>
            <w:r>
              <w:rPr>
                <w:rFonts w:ascii="Arial" w:hAnsi="Arial"/>
                <w:b/>
                <w:color w:val="17365D"/>
                <w:sz w:val="18"/>
              </w:rPr>
              <w:t>Distribution</w:t>
            </w:r>
          </w:p>
        </w:tc>
        <w:tc>
          <w:tcPr>
            <w:tcW w:type="dxa" w:w="7848"/>
            <w:vAlign w:val="center"/>
            <w:tcMar>
              <w:top w:w="90" w:type="dxa"/>
              <w:start w:w="90" w:type="dxa"/>
              <w:bottom w:w="90" w:type="dxa"/>
              <w:end w:w="90" w:type="dxa"/>
            </w:tcMar>
          </w:tcPr>
          <w:p>
            <w:pPr>
              <w:spacing w:after="0"/>
              <w:jc w:val="left"/>
            </w:pPr>
            <w:r/>
            <w:r>
              <w:rPr>
                <w:rFonts w:ascii="Arial" w:hAnsi="Arial"/>
                <w:b w:val="0"/>
                <w:color w:val="404040"/>
                <w:sz w:val="19"/>
              </w:rPr>
              <w:t>Epic BCP review; Emerge leadership; incident response; clinical operations</w:t>
            </w:r>
          </w:p>
        </w:tc>
      </w:tr>
    </w:tbl>
    <w:p/>
    <w:tbl>
      <w:tblPr>
        <w:tblW w:type="auto" w:w="0"/>
        <w:jc w:val="center"/>
        <w:tblLook w:firstColumn="1" w:firstRow="1" w:lastColumn="0" w:lastRow="0" w:noHBand="0" w:noVBand="1" w:val="04A0"/>
        <w:tblBorders>
          <w:top w:val="single" w:sz="6" w:space="0" w:color="1F4E78"/>
          <w:left w:val="single" w:sz="6" w:space="0" w:color="1F4E78"/>
          <w:bottom w:val="single" w:sz="6" w:space="0" w:color="1F4E78"/>
          <w:right w:val="single" w:sz="6" w:space="0" w:color="1F4E78"/>
          <w:insideH w:val="single" w:sz="6" w:space="0" w:color="1F4E78"/>
          <w:insideV w:val="single" w:sz="6" w:space="0" w:color="1F4E78"/>
        </w:tblBorders>
      </w:tblPr>
      <w:tblGrid>
        <w:gridCol w:w="10080"/>
      </w:tblGrid>
      <w:tr>
        <w:tc>
          <w:tcPr>
            <w:tcW w:type="dxa" w:w="10080"/>
            <w:shd w:fill="EAF2F8"/>
            <w:tcMar>
              <w:top w:w="120" w:type="dxa"/>
              <w:start w:w="140" w:type="dxa"/>
              <w:bottom w:w="120" w:type="dxa"/>
              <w:end w:w="140" w:type="dxa"/>
            </w:tcMar>
          </w:tcPr>
          <w:p>
            <w:pPr>
              <w:spacing w:after="40"/>
            </w:pPr>
            <w:r>
              <w:rPr>
                <w:rFonts w:ascii="Arial" w:hAnsi="Arial"/>
                <w:b/>
                <w:color w:val="17365D"/>
                <w:sz w:val="20"/>
              </w:rPr>
              <w:t>Exercise statement</w:t>
            </w:r>
          </w:p>
          <w:p>
            <w:pPr>
              <w:spacing w:after="0"/>
            </w:pPr>
            <w:r>
              <w:rPr>
                <w:rFonts w:ascii="Arial" w:hAnsi="Arial"/>
                <w:color w:val="404040"/>
                <w:sz w:val="19"/>
              </w:rPr>
              <w:t>This document summarizes a simulated ransomware exercise. No actual patient data, production systems, or clinical environments were affected.</w:t>
            </w:r>
          </w:p>
        </w:tc>
      </w:tr>
    </w:tbl>
    <w:p>
      <w:pPr>
        <w:spacing w:after="0"/>
      </w:pPr>
    </w:p>
    <w:p>
      <w:r>
        <w:rPr>
          <w:rFonts w:ascii="Arial" w:hAnsi="Arial"/>
        </w:rPr>
        <w:br w:type="page"/>
      </w:r>
    </w:p>
    <w:p>
      <w:pPr>
        <w:pStyle w:val="Heading1"/>
        <w:keepNext/>
        <w:spacing w:before="200" w:after="80"/>
      </w:pPr>
      <w:r>
        <w:rPr>
          <w:rFonts w:ascii="Arial" w:hAnsi="Arial"/>
        </w:rPr>
        <w:t>1. Executive Summary</w:t>
      </w:r>
    </w:p>
    <w:p>
      <w:pPr>
        <w:pStyle w:val="BodyText"/>
        <w:spacing w:after="100" w:line="259" w:lineRule="auto"/>
      </w:pPr>
      <w:r>
        <w:rPr>
          <w:rFonts w:ascii="Arial" w:hAnsi="Arial"/>
        </w:rPr>
        <w:t>Emerge completed a three-session ransomware tabletop exercise in July 2026 to validate incident detection, escalation, containment, business continuity, clinical downtime operations, stakeholder coordination, and recovery planning. The exercise began with a suspicious email reported by a user, progressed through a confirmed endpoint infection and lateral spread, and concluded with a widespread outage affecting shared cloud services and potentially multiple clinics.</w:t>
      </w:r>
    </w:p>
    <w:p>
      <w:pPr>
        <w:pStyle w:val="BodyText"/>
        <w:spacing w:after="100" w:line="259" w:lineRule="auto"/>
      </w:pPr>
      <w:r>
        <w:rPr>
          <w:rFonts w:ascii="Arial" w:hAnsi="Arial"/>
        </w:rPr>
        <w:t>The exercise confirmed that Emerge has foundational continuity capabilities, including endpoint isolation, Defender and device telemetry, network and VLAN isolation, VPN/tunnel disablement, PAG access, paper downtime procedures, patient-data backups, local mini-PACS image caching, conference-bridge coordination, and escalation to Privacy, Legal, Epic, and an external incident-response retainer. The team also clarified incident-declaration and emergency decision authority.</w:t>
      </w:r>
    </w:p>
    <w:p>
      <w:pPr>
        <w:pStyle w:val="BodyText"/>
        <w:spacing w:after="100" w:line="259" w:lineRule="auto"/>
      </w:pPr>
      <w:r>
        <w:rPr>
          <w:rFonts w:ascii="Arial" w:hAnsi="Arial"/>
        </w:rPr>
        <w:t>The principal opportunities for improvement are to formalize the suspicious-email and ransomware response procedures; document decision thresholds and backup decision makers; strengthen cross-clinic alerting and dependency visibility; test mini-PACS, Haiku/Canto, backup restoration, and downtime backfill workflows; establish a trained backup for network isolation; clarify security-awareness training ownership; and define realistic downtime sustainability and return-to-service criteria.</w:t>
      </w:r>
    </w:p>
    <w:tbl>
      <w:tblPr>
        <w:tblW w:type="auto" w:w="0"/>
        <w:jc w:val="center"/>
        <w:tblLook w:firstColumn="1" w:firstRow="1" w:lastColumn="0" w:lastRow="0" w:noHBand="0" w:noVBand="1" w:val="04A0"/>
        <w:tblBorders>
          <w:top w:val="single" w:sz="6" w:space="0" w:color="70AD47"/>
          <w:left w:val="single" w:sz="6" w:space="0" w:color="70AD47"/>
          <w:bottom w:val="single" w:sz="6" w:space="0" w:color="70AD47"/>
          <w:right w:val="single" w:sz="6" w:space="0" w:color="70AD47"/>
          <w:insideH w:val="single" w:sz="6" w:space="0" w:color="70AD47"/>
          <w:insideV w:val="single" w:sz="6" w:space="0" w:color="70AD47"/>
        </w:tblBorders>
      </w:tblPr>
      <w:tblGrid>
        <w:gridCol w:w="10080"/>
      </w:tblGrid>
      <w:tr>
        <w:tc>
          <w:tcPr>
            <w:tcW w:type="dxa" w:w="10080"/>
            <w:shd w:fill="E2F0D9"/>
            <w:tcMar>
              <w:top w:w="120" w:type="dxa"/>
              <w:start w:w="140" w:type="dxa"/>
              <w:bottom w:w="120" w:type="dxa"/>
              <w:end w:w="140" w:type="dxa"/>
            </w:tcMar>
          </w:tcPr>
          <w:p>
            <w:pPr>
              <w:spacing w:after="40"/>
            </w:pPr>
            <w:r>
              <w:rPr>
                <w:rFonts w:ascii="Arial" w:hAnsi="Arial"/>
                <w:b/>
                <w:color w:val="17365D"/>
                <w:sz w:val="20"/>
              </w:rPr>
              <w:t>Overall assessment</w:t>
            </w:r>
          </w:p>
          <w:p>
            <w:pPr>
              <w:spacing w:after="0"/>
            </w:pPr>
            <w:r>
              <w:rPr>
                <w:rFonts w:ascii="Arial" w:hAnsi="Arial"/>
                <w:color w:val="404040"/>
                <w:sz w:val="19"/>
              </w:rPr>
              <w:t>The exercise demonstrated strong participation, rapid consensus on containment priorities, and viable clinical continuity options. Corrective actions are primarily focused on documentation, validation testing, role clarity, and dependency mapping rather than the absence of all response capability.</w:t>
            </w:r>
          </w:p>
        </w:tc>
      </w:tr>
    </w:tbl>
    <w:p>
      <w:pPr>
        <w:spacing w:after="0"/>
      </w:pPr>
    </w:p>
    <w:p>
      <w:pPr>
        <w:pStyle w:val="Heading1"/>
        <w:keepNext/>
        <w:spacing w:before="200" w:after="80"/>
      </w:pPr>
      <w:r>
        <w:rPr>
          <w:rFonts w:ascii="Arial" w:hAnsi="Arial"/>
        </w:rPr>
        <w:t>2. Exercise Purpose and Objectives</w:t>
      </w:r>
    </w:p>
    <w:p>
      <w:pPr>
        <w:pStyle w:val="BodyText"/>
        <w:spacing w:after="100" w:line="259" w:lineRule="auto"/>
      </w:pPr>
      <w:r>
        <w:rPr>
          <w:rFonts w:ascii="Arial" w:hAnsi="Arial"/>
        </w:rPr>
        <w:t>The tabletop was designed to test how Emerge would protect patient care and critical clinical operations during a major ransomware event. The objectives were to:</w:t>
      </w:r>
    </w:p>
    <w:p>
      <w:pPr>
        <w:pStyle w:val="ListBullet"/>
        <w:spacing w:after="50" w:line="245" w:lineRule="auto"/>
        <w:ind w:left="288" w:hanging="259"/>
      </w:pPr>
      <w:r>
        <w:rPr>
          <w:rFonts w:ascii="Arial" w:hAnsi="Arial"/>
        </w:rPr>
        <w:t>Validate how suspicious email and potential malware are reported, triaged, and escalated.</w:t>
      </w:r>
    </w:p>
    <w:p>
      <w:pPr>
        <w:pStyle w:val="ListBullet"/>
        <w:spacing w:after="50" w:line="245" w:lineRule="auto"/>
        <w:ind w:left="288" w:hanging="259"/>
      </w:pPr>
      <w:r>
        <w:rPr>
          <w:rFonts w:ascii="Arial" w:hAnsi="Arial"/>
        </w:rPr>
        <w:t>Confirm immediate endpoint and network containment actions.</w:t>
      </w:r>
    </w:p>
    <w:p>
      <w:pPr>
        <w:pStyle w:val="ListBullet"/>
        <w:spacing w:after="50" w:line="245" w:lineRule="auto"/>
        <w:ind w:left="288" w:hanging="259"/>
      </w:pPr>
      <w:r>
        <w:rPr>
          <w:rFonts w:ascii="Arial" w:hAnsi="Arial"/>
        </w:rPr>
        <w:t>Determine how the blast radius and potential lateral movement would be assessed.</w:t>
      </w:r>
    </w:p>
    <w:p>
      <w:pPr>
        <w:pStyle w:val="ListBullet"/>
        <w:spacing w:after="50" w:line="245" w:lineRule="auto"/>
        <w:ind w:left="288" w:hanging="259"/>
      </w:pPr>
      <w:r>
        <w:rPr>
          <w:rFonts w:ascii="Arial" w:hAnsi="Arial"/>
        </w:rPr>
        <w:t>Evaluate how Emerge would transition clinics to downtime conditions and maintain essential patient care.</w:t>
      </w:r>
    </w:p>
    <w:p>
      <w:pPr>
        <w:pStyle w:val="ListBullet"/>
        <w:spacing w:after="50" w:line="245" w:lineRule="auto"/>
        <w:ind w:left="288" w:hanging="259"/>
      </w:pPr>
      <w:r>
        <w:rPr>
          <w:rFonts w:ascii="Arial" w:hAnsi="Arial"/>
        </w:rPr>
        <w:t>Review the availability of PAG, imaging, paper documentation, patient-data backups, and clinical backfill processes.</w:t>
      </w:r>
    </w:p>
    <w:p>
      <w:pPr>
        <w:pStyle w:val="ListBullet"/>
        <w:spacing w:after="50" w:line="245" w:lineRule="auto"/>
        <w:ind w:left="288" w:hanging="259"/>
      </w:pPr>
      <w:r>
        <w:rPr>
          <w:rFonts w:ascii="Arial" w:hAnsi="Arial"/>
        </w:rPr>
        <w:t>Clarify internal and external stakeholder notification, incident declaration, war-room coordination, and emergency decision authority.</w:t>
      </w:r>
    </w:p>
    <w:p>
      <w:pPr>
        <w:pStyle w:val="ListBullet"/>
        <w:spacing w:after="50" w:line="245" w:lineRule="auto"/>
        <w:ind w:left="288" w:hanging="259"/>
      </w:pPr>
      <w:r>
        <w:rPr>
          <w:rFonts w:ascii="Arial" w:hAnsi="Arial"/>
        </w:rPr>
        <w:t>Identify lessons learned and corrective actions for the Incident Response Plan, BCP documentation, and operating procedures.</w:t>
      </w:r>
    </w:p>
    <w:p>
      <w:pPr>
        <w:pStyle w:val="Heading1"/>
        <w:keepNext/>
        <w:spacing w:before="200" w:after="80"/>
      </w:pPr>
      <w:r>
        <w:rPr>
          <w:rFonts w:ascii="Arial" w:hAnsi="Arial"/>
        </w:rPr>
        <w:t>3. Exercise Scope and Scenario Progression</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152"/>
        <w:gridCol w:w="3744"/>
        <w:gridCol w:w="2880"/>
        <w:gridCol w:w="2304"/>
      </w:tblGrid>
      <w:tr>
        <w:trPr>
          <w:tblHeader w:val="true"/>
          <w:cantSplit/>
        </w:trPr>
        <w:tc>
          <w:tcPr>
            <w:tcW w:type="dxa" w:w="1152"/>
            <w:vAlign w:val="center"/>
            <w:tcMar>
              <w:top w:w="90" w:type="dxa"/>
              <w:start w:w="90" w:type="dxa"/>
              <w:bottom w:w="90" w:type="dxa"/>
              <w:end w:w="90" w:type="dxa"/>
            </w:tcMar>
            <w:shd w:fill="17365D"/>
          </w:tcPr>
          <w:p>
            <w:pPr>
              <w:spacing w:after="0"/>
              <w:jc w:val="center"/>
            </w:pPr>
            <w:r/>
            <w:r>
              <w:rPr>
                <w:rFonts w:ascii="Arial" w:hAnsi="Arial"/>
                <w:b/>
                <w:color w:val="FFFFFF"/>
                <w:sz w:val="17"/>
              </w:rPr>
              <w:t>Stage</w:t>
            </w:r>
          </w:p>
        </w:tc>
        <w:tc>
          <w:tcPr>
            <w:tcW w:type="dxa" w:w="3744"/>
            <w:vAlign w:val="center"/>
            <w:tcMar>
              <w:top w:w="90" w:type="dxa"/>
              <w:start w:w="90" w:type="dxa"/>
              <w:bottom w:w="90" w:type="dxa"/>
              <w:end w:w="90" w:type="dxa"/>
            </w:tcMar>
            <w:shd w:fill="17365D"/>
          </w:tcPr>
          <w:p>
            <w:pPr>
              <w:spacing w:after="0"/>
              <w:jc w:val="center"/>
            </w:pPr>
            <w:r/>
            <w:r>
              <w:rPr>
                <w:rFonts w:ascii="Arial" w:hAnsi="Arial"/>
                <w:b/>
                <w:color w:val="FFFFFF"/>
                <w:sz w:val="17"/>
              </w:rPr>
              <w:t>Scenario progression</w:t>
            </w:r>
          </w:p>
        </w:tc>
        <w:tc>
          <w:tcPr>
            <w:tcW w:type="dxa" w:w="2880"/>
            <w:vAlign w:val="center"/>
            <w:tcMar>
              <w:top w:w="90" w:type="dxa"/>
              <w:start w:w="90" w:type="dxa"/>
              <w:bottom w:w="90" w:type="dxa"/>
              <w:end w:w="90" w:type="dxa"/>
            </w:tcMar>
            <w:shd w:fill="17365D"/>
          </w:tcPr>
          <w:p>
            <w:pPr>
              <w:spacing w:after="0"/>
              <w:jc w:val="center"/>
            </w:pPr>
            <w:r/>
            <w:r>
              <w:rPr>
                <w:rFonts w:ascii="Arial" w:hAnsi="Arial"/>
                <w:b/>
                <w:color w:val="FFFFFF"/>
                <w:sz w:val="17"/>
              </w:rPr>
              <w:t>Primary response focus</w:t>
            </w:r>
          </w:p>
        </w:tc>
        <w:tc>
          <w:tcPr>
            <w:tcW w:type="dxa" w:w="2304"/>
            <w:vAlign w:val="center"/>
            <w:tcMar>
              <w:top w:w="90" w:type="dxa"/>
              <w:start w:w="90" w:type="dxa"/>
              <w:bottom w:w="90" w:type="dxa"/>
              <w:end w:w="90" w:type="dxa"/>
            </w:tcMar>
            <w:shd w:fill="17365D"/>
          </w:tcPr>
          <w:p>
            <w:pPr>
              <w:spacing w:after="0"/>
              <w:jc w:val="center"/>
            </w:pPr>
            <w:r/>
            <w:r>
              <w:rPr>
                <w:rFonts w:ascii="Arial" w:hAnsi="Arial"/>
                <w:b/>
                <w:color w:val="FFFFFF"/>
                <w:sz w:val="17"/>
              </w:rPr>
              <w:t>Continuity focus</w:t>
            </w:r>
          </w:p>
        </w:tc>
      </w:tr>
      <w:tr>
        <w:trPr>
          <w:cantSplit/>
        </w:trPr>
        <w:tc>
          <w:tcPr>
            <w:tcW w:type="dxa" w:w="1152"/>
            <w:vAlign w:val="center"/>
            <w:tcMar>
              <w:top w:w="90" w:type="dxa"/>
              <w:start w:w="90" w:type="dxa"/>
              <w:bottom w:w="90" w:type="dxa"/>
              <w:end w:w="90" w:type="dxa"/>
            </w:tcMar>
          </w:tcPr>
          <w:p>
            <w:pPr>
              <w:spacing w:after="0"/>
              <w:jc w:val="center"/>
            </w:pPr>
            <w:r/>
            <w:r>
              <w:rPr>
                <w:rFonts w:ascii="Arial" w:hAnsi="Arial"/>
                <w:b w:val="0"/>
                <w:color w:val="404040"/>
                <w:sz w:val="17"/>
              </w:rPr>
              <w:t>1</w:t>
            </w:r>
          </w:p>
        </w:tc>
        <w:tc>
          <w:tcPr>
            <w:tcW w:type="dxa" w:w="3744"/>
            <w:vAlign w:val="center"/>
            <w:tcMar>
              <w:top w:w="90" w:type="dxa"/>
              <w:start w:w="90" w:type="dxa"/>
              <w:bottom w:w="90" w:type="dxa"/>
              <w:end w:w="90" w:type="dxa"/>
            </w:tcMar>
          </w:tcPr>
          <w:p>
            <w:pPr>
              <w:spacing w:after="0"/>
              <w:jc w:val="left"/>
            </w:pPr>
            <w:r/>
            <w:r>
              <w:rPr>
                <w:rFonts w:ascii="Arial" w:hAnsi="Arial"/>
                <w:b w:val="0"/>
                <w:color w:val="404040"/>
                <w:sz w:val="17"/>
              </w:rPr>
              <w:t>Suspicious email containing a link or file is reported.</w:t>
            </w:r>
          </w:p>
        </w:tc>
        <w:tc>
          <w:tcPr>
            <w:tcW w:type="dxa" w:w="2880"/>
            <w:vAlign w:val="center"/>
            <w:tcMar>
              <w:top w:w="90" w:type="dxa"/>
              <w:start w:w="90" w:type="dxa"/>
              <w:bottom w:w="90" w:type="dxa"/>
              <w:end w:w="90" w:type="dxa"/>
            </w:tcMar>
          </w:tcPr>
          <w:p>
            <w:pPr>
              <w:spacing w:after="0"/>
              <w:jc w:val="left"/>
            </w:pPr>
            <w:r/>
            <w:r>
              <w:rPr>
                <w:rFonts w:ascii="Arial" w:hAnsi="Arial"/>
                <w:b w:val="0"/>
                <w:color w:val="404040"/>
                <w:sz w:val="17"/>
              </w:rPr>
              <w:t>Email review, malware scan, mailbox scope, device isolation, reporting path.</w:t>
            </w:r>
          </w:p>
        </w:tc>
        <w:tc>
          <w:tcPr>
            <w:tcW w:type="dxa" w:w="2304"/>
            <w:vAlign w:val="center"/>
            <w:tcMar>
              <w:top w:w="90" w:type="dxa"/>
              <w:start w:w="90" w:type="dxa"/>
              <w:bottom w:w="90" w:type="dxa"/>
              <w:end w:w="90" w:type="dxa"/>
            </w:tcMar>
          </w:tcPr>
          <w:p>
            <w:pPr>
              <w:spacing w:after="0"/>
              <w:jc w:val="left"/>
            </w:pPr>
            <w:r/>
            <w:r>
              <w:rPr>
                <w:rFonts w:ascii="Arial" w:hAnsi="Arial"/>
                <w:b w:val="0"/>
                <w:color w:val="404040"/>
                <w:sz w:val="17"/>
              </w:rPr>
              <w:t>Maintain user operations while validating whether compromise occurred.</w:t>
            </w:r>
          </w:p>
        </w:tc>
      </w:tr>
      <w:tr>
        <w:trPr>
          <w:cantSplit/>
        </w:trPr>
        <w:tc>
          <w:tcPr>
            <w:tcW w:type="dxa" w:w="1152"/>
            <w:vAlign w:val="center"/>
            <w:tcMar>
              <w:top w:w="90" w:type="dxa"/>
              <w:start w:w="90" w:type="dxa"/>
              <w:bottom w:w="90" w:type="dxa"/>
              <w:end w:w="90" w:type="dxa"/>
            </w:tcMar>
            <w:shd w:fill="F7FAFC"/>
          </w:tcPr>
          <w:p>
            <w:pPr>
              <w:spacing w:after="0"/>
              <w:jc w:val="center"/>
            </w:pPr>
            <w:r/>
            <w:r>
              <w:rPr>
                <w:rFonts w:ascii="Arial" w:hAnsi="Arial"/>
                <w:b w:val="0"/>
                <w:color w:val="404040"/>
                <w:sz w:val="17"/>
              </w:rPr>
              <w:t>2.1</w:t>
            </w:r>
          </w:p>
        </w:tc>
        <w:tc>
          <w:tcPr>
            <w:tcW w:type="dxa" w:w="3744"/>
            <w:vAlign w:val="center"/>
            <w:tcMar>
              <w:top w:w="90" w:type="dxa"/>
              <w:start w:w="90" w:type="dxa"/>
              <w:bottom w:w="90" w:type="dxa"/>
              <w:end w:w="90" w:type="dxa"/>
            </w:tcMar>
            <w:shd w:fill="F7FAFC"/>
          </w:tcPr>
          <w:p>
            <w:pPr>
              <w:spacing w:after="0"/>
              <w:jc w:val="left"/>
            </w:pPr>
            <w:r/>
            <w:r>
              <w:rPr>
                <w:rFonts w:ascii="Arial" w:hAnsi="Arial"/>
                <w:b w:val="0"/>
                <w:color w:val="404040"/>
                <w:sz w:val="17"/>
              </w:rPr>
              <w:t>A physician opens a file; the workstation slows and files cannot be opened.</w:t>
            </w:r>
          </w:p>
        </w:tc>
        <w:tc>
          <w:tcPr>
            <w:tcW w:type="dxa" w:w="2880"/>
            <w:vAlign w:val="center"/>
            <w:tcMar>
              <w:top w:w="90" w:type="dxa"/>
              <w:start w:w="90" w:type="dxa"/>
              <w:bottom w:w="90" w:type="dxa"/>
              <w:end w:w="90" w:type="dxa"/>
            </w:tcMar>
            <w:shd w:fill="F7FAFC"/>
          </w:tcPr>
          <w:p>
            <w:pPr>
              <w:spacing w:after="0"/>
              <w:jc w:val="left"/>
            </w:pPr>
            <w:r/>
            <w:r>
              <w:rPr>
                <w:rFonts w:ascii="Arial" w:hAnsi="Arial"/>
                <w:b w:val="0"/>
                <w:color w:val="404040"/>
                <w:sz w:val="17"/>
              </w:rPr>
              <w:t>Endpoint telemetry, Defender review, disconnect device, preserve evidence, determine whether to reimage.</w:t>
            </w:r>
          </w:p>
        </w:tc>
        <w:tc>
          <w:tcPr>
            <w:tcW w:type="dxa" w:w="2304"/>
            <w:vAlign w:val="center"/>
            <w:tcMar>
              <w:top w:w="90" w:type="dxa"/>
              <w:start w:w="90" w:type="dxa"/>
              <w:bottom w:w="90" w:type="dxa"/>
              <w:end w:w="90" w:type="dxa"/>
            </w:tcMar>
            <w:shd w:fill="F7FAFC"/>
          </w:tcPr>
          <w:p>
            <w:pPr>
              <w:spacing w:after="0"/>
              <w:jc w:val="left"/>
            </w:pPr>
            <w:r/>
            <w:r>
              <w:rPr>
                <w:rFonts w:ascii="Arial" w:hAnsi="Arial"/>
                <w:b w:val="0"/>
                <w:color w:val="404040"/>
                <w:sz w:val="17"/>
              </w:rPr>
              <w:t>Provide alternative device/access before rebuild.</w:t>
            </w:r>
          </w:p>
        </w:tc>
      </w:tr>
      <w:tr>
        <w:trPr>
          <w:cantSplit/>
        </w:trPr>
        <w:tc>
          <w:tcPr>
            <w:tcW w:type="dxa" w:w="1152"/>
            <w:vAlign w:val="center"/>
            <w:tcMar>
              <w:top w:w="90" w:type="dxa"/>
              <w:start w:w="90" w:type="dxa"/>
              <w:bottom w:w="90" w:type="dxa"/>
              <w:end w:w="90" w:type="dxa"/>
            </w:tcMar>
          </w:tcPr>
          <w:p>
            <w:pPr>
              <w:spacing w:after="0"/>
              <w:jc w:val="center"/>
            </w:pPr>
            <w:r/>
            <w:r>
              <w:rPr>
                <w:rFonts w:ascii="Arial" w:hAnsi="Arial"/>
                <w:b w:val="0"/>
                <w:color w:val="404040"/>
                <w:sz w:val="17"/>
              </w:rPr>
              <w:t>2.2</w:t>
            </w:r>
          </w:p>
        </w:tc>
        <w:tc>
          <w:tcPr>
            <w:tcW w:type="dxa" w:w="3744"/>
            <w:vAlign w:val="center"/>
            <w:tcMar>
              <w:top w:w="90" w:type="dxa"/>
              <w:start w:w="90" w:type="dxa"/>
              <w:bottom w:w="90" w:type="dxa"/>
              <w:end w:w="90" w:type="dxa"/>
            </w:tcMar>
          </w:tcPr>
          <w:p>
            <w:pPr>
              <w:spacing w:after="0"/>
              <w:jc w:val="left"/>
            </w:pPr>
            <w:r/>
            <w:r>
              <w:rPr>
                <w:rFonts w:ascii="Arial" w:hAnsi="Arial"/>
                <w:b w:val="0"/>
                <w:color w:val="404040"/>
                <w:sz w:val="17"/>
              </w:rPr>
              <w:t>Ransomware is confirmed and encryption is continuing.</w:t>
            </w:r>
          </w:p>
        </w:tc>
        <w:tc>
          <w:tcPr>
            <w:tcW w:type="dxa" w:w="2880"/>
            <w:vAlign w:val="center"/>
            <w:tcMar>
              <w:top w:w="90" w:type="dxa"/>
              <w:start w:w="90" w:type="dxa"/>
              <w:bottom w:w="90" w:type="dxa"/>
              <w:end w:w="90" w:type="dxa"/>
            </w:tcMar>
          </w:tcPr>
          <w:p>
            <w:pPr>
              <w:spacing w:after="0"/>
              <w:jc w:val="left"/>
            </w:pPr>
            <w:r/>
            <w:r>
              <w:rPr>
                <w:rFonts w:ascii="Arial" w:hAnsi="Arial"/>
                <w:b w:val="0"/>
                <w:color w:val="404040"/>
                <w:sz w:val="17"/>
              </w:rPr>
              <w:t>Logical isolation, real-time monitoring, identify spread, notify leadership, open war room.</w:t>
            </w:r>
          </w:p>
        </w:tc>
        <w:tc>
          <w:tcPr>
            <w:tcW w:type="dxa" w:w="2304"/>
            <w:vAlign w:val="center"/>
            <w:tcMar>
              <w:top w:w="90" w:type="dxa"/>
              <w:start w:w="90" w:type="dxa"/>
              <w:bottom w:w="90" w:type="dxa"/>
              <w:end w:w="90" w:type="dxa"/>
            </w:tcMar>
          </w:tcPr>
          <w:p>
            <w:pPr>
              <w:spacing w:after="0"/>
              <w:jc w:val="left"/>
            </w:pPr>
            <w:r/>
            <w:r>
              <w:rPr>
                <w:rFonts w:ascii="Arial" w:hAnsi="Arial"/>
                <w:b w:val="0"/>
                <w:color w:val="404040"/>
                <w:sz w:val="17"/>
              </w:rPr>
              <w:t>Use extra workstations and PAG as needed.</w:t>
            </w:r>
          </w:p>
        </w:tc>
      </w:tr>
      <w:tr>
        <w:trPr>
          <w:cantSplit/>
        </w:trPr>
        <w:tc>
          <w:tcPr>
            <w:tcW w:type="dxa" w:w="1152"/>
            <w:vAlign w:val="center"/>
            <w:tcMar>
              <w:top w:w="90" w:type="dxa"/>
              <w:start w:w="90" w:type="dxa"/>
              <w:bottom w:w="90" w:type="dxa"/>
              <w:end w:w="90" w:type="dxa"/>
            </w:tcMar>
            <w:shd w:fill="F7FAFC"/>
          </w:tcPr>
          <w:p>
            <w:pPr>
              <w:spacing w:after="0"/>
              <w:jc w:val="center"/>
            </w:pPr>
            <w:r/>
            <w:r>
              <w:rPr>
                <w:rFonts w:ascii="Arial" w:hAnsi="Arial"/>
                <w:b w:val="0"/>
                <w:color w:val="404040"/>
                <w:sz w:val="17"/>
              </w:rPr>
              <w:t>3</w:t>
            </w:r>
          </w:p>
        </w:tc>
        <w:tc>
          <w:tcPr>
            <w:tcW w:type="dxa" w:w="3744"/>
            <w:vAlign w:val="center"/>
            <w:tcMar>
              <w:top w:w="90" w:type="dxa"/>
              <w:start w:w="90" w:type="dxa"/>
              <w:bottom w:w="90" w:type="dxa"/>
              <w:end w:w="90" w:type="dxa"/>
            </w:tcMar>
            <w:shd w:fill="F7FAFC"/>
          </w:tcPr>
          <w:p>
            <w:pPr>
              <w:spacing w:after="0"/>
              <w:jc w:val="left"/>
            </w:pPr>
            <w:r/>
            <w:r>
              <w:rPr>
                <w:rFonts w:ascii="Arial" w:hAnsi="Arial"/>
                <w:b w:val="0"/>
                <w:color w:val="404040"/>
                <w:sz w:val="17"/>
              </w:rPr>
              <w:t>At least one device is affected and multiple systems may be involved.</w:t>
            </w:r>
          </w:p>
        </w:tc>
        <w:tc>
          <w:tcPr>
            <w:tcW w:type="dxa" w:w="2880"/>
            <w:vAlign w:val="center"/>
            <w:tcMar>
              <w:top w:w="90" w:type="dxa"/>
              <w:start w:w="90" w:type="dxa"/>
              <w:bottom w:w="90" w:type="dxa"/>
              <w:end w:w="90" w:type="dxa"/>
            </w:tcMar>
            <w:shd w:fill="F7FAFC"/>
          </w:tcPr>
          <w:p>
            <w:pPr>
              <w:spacing w:after="0"/>
              <w:jc w:val="left"/>
            </w:pPr>
            <w:r/>
            <w:r>
              <w:rPr>
                <w:rFonts w:ascii="Arial" w:hAnsi="Arial"/>
                <w:b w:val="0"/>
                <w:color w:val="404040"/>
                <w:sz w:val="17"/>
              </w:rPr>
              <w:t>Disable tunnels or VLANs if lateral movement is suspected; escalate broadly.</w:t>
            </w:r>
          </w:p>
        </w:tc>
        <w:tc>
          <w:tcPr>
            <w:tcW w:type="dxa" w:w="2304"/>
            <w:vAlign w:val="center"/>
            <w:tcMar>
              <w:top w:w="90" w:type="dxa"/>
              <w:start w:w="90" w:type="dxa"/>
              <w:bottom w:w="90" w:type="dxa"/>
              <w:end w:w="90" w:type="dxa"/>
            </w:tcMar>
            <w:shd w:fill="F7FAFC"/>
          </w:tcPr>
          <w:p>
            <w:pPr>
              <w:spacing w:after="0"/>
              <w:jc w:val="left"/>
            </w:pPr>
            <w:r/>
            <w:r>
              <w:rPr>
                <w:rFonts w:ascii="Arial" w:hAnsi="Arial"/>
                <w:b w:val="0"/>
                <w:color w:val="404040"/>
                <w:sz w:val="17"/>
              </w:rPr>
              <w:t>Use downtime procedures, patient-data backups, and operational communications.</w:t>
            </w:r>
          </w:p>
        </w:tc>
      </w:tr>
      <w:tr>
        <w:trPr>
          <w:cantSplit/>
        </w:trPr>
        <w:tc>
          <w:tcPr>
            <w:tcW w:type="dxa" w:w="1152"/>
            <w:vAlign w:val="center"/>
            <w:tcMar>
              <w:top w:w="90" w:type="dxa"/>
              <w:start w:w="90" w:type="dxa"/>
              <w:bottom w:w="90" w:type="dxa"/>
              <w:end w:w="90" w:type="dxa"/>
            </w:tcMar>
          </w:tcPr>
          <w:p>
            <w:pPr>
              <w:spacing w:after="0"/>
              <w:jc w:val="center"/>
            </w:pPr>
            <w:r/>
            <w:r>
              <w:rPr>
                <w:rFonts w:ascii="Arial" w:hAnsi="Arial"/>
                <w:b w:val="0"/>
                <w:color w:val="404040"/>
                <w:sz w:val="17"/>
              </w:rPr>
              <w:t>4.1</w:t>
            </w:r>
          </w:p>
        </w:tc>
        <w:tc>
          <w:tcPr>
            <w:tcW w:type="dxa" w:w="3744"/>
            <w:vAlign w:val="center"/>
            <w:tcMar>
              <w:top w:w="90" w:type="dxa"/>
              <w:start w:w="90" w:type="dxa"/>
              <w:bottom w:w="90" w:type="dxa"/>
              <w:end w:w="90" w:type="dxa"/>
            </w:tcMar>
          </w:tcPr>
          <w:p>
            <w:pPr>
              <w:spacing w:after="0"/>
              <w:jc w:val="left"/>
            </w:pPr>
            <w:r/>
            <w:r>
              <w:rPr>
                <w:rFonts w:ascii="Arial" w:hAnsi="Arial"/>
                <w:b w:val="0"/>
                <w:color w:val="404040"/>
                <w:sz w:val="17"/>
              </w:rPr>
              <w:t>Many devices and shared cloud services are affected; company files are inaccessible.</w:t>
            </w:r>
          </w:p>
        </w:tc>
        <w:tc>
          <w:tcPr>
            <w:tcW w:type="dxa" w:w="2880"/>
            <w:vAlign w:val="center"/>
            <w:tcMar>
              <w:top w:w="90" w:type="dxa"/>
              <w:start w:w="90" w:type="dxa"/>
              <w:bottom w:w="90" w:type="dxa"/>
              <w:end w:w="90" w:type="dxa"/>
            </w:tcMar>
          </w:tcPr>
          <w:p>
            <w:pPr>
              <w:spacing w:after="0"/>
              <w:jc w:val="left"/>
            </w:pPr>
            <w:r/>
            <w:r>
              <w:rPr>
                <w:rFonts w:ascii="Arial" w:hAnsi="Arial"/>
                <w:b w:val="0"/>
                <w:color w:val="404040"/>
                <w:sz w:val="17"/>
              </w:rPr>
              <w:t>Potential full network shutdown; activate full Incident Response Plan.</w:t>
            </w:r>
          </w:p>
        </w:tc>
        <w:tc>
          <w:tcPr>
            <w:tcW w:type="dxa" w:w="2304"/>
            <w:vAlign w:val="center"/>
            <w:tcMar>
              <w:top w:w="90" w:type="dxa"/>
              <w:start w:w="90" w:type="dxa"/>
              <w:bottom w:w="90" w:type="dxa"/>
              <w:end w:w="90" w:type="dxa"/>
            </w:tcMar>
          </w:tcPr>
          <w:p>
            <w:pPr>
              <w:spacing w:after="0"/>
              <w:jc w:val="left"/>
            </w:pPr>
            <w:r/>
            <w:r>
              <w:rPr>
                <w:rFonts w:ascii="Arial" w:hAnsi="Arial"/>
                <w:b w:val="0"/>
                <w:color w:val="404040"/>
                <w:sz w:val="17"/>
              </w:rPr>
              <w:t>Paper downtime, local mini-PACS, conference bridge, clinic notifications.</w:t>
            </w:r>
          </w:p>
        </w:tc>
      </w:tr>
      <w:tr>
        <w:trPr>
          <w:cantSplit/>
        </w:trPr>
        <w:tc>
          <w:tcPr>
            <w:tcW w:type="dxa" w:w="1152"/>
            <w:vAlign w:val="center"/>
            <w:tcMar>
              <w:top w:w="90" w:type="dxa"/>
              <w:start w:w="90" w:type="dxa"/>
              <w:bottom w:w="90" w:type="dxa"/>
              <w:end w:w="90" w:type="dxa"/>
            </w:tcMar>
            <w:shd w:fill="F7FAFC"/>
          </w:tcPr>
          <w:p>
            <w:pPr>
              <w:spacing w:after="0"/>
              <w:jc w:val="center"/>
            </w:pPr>
            <w:r/>
            <w:r>
              <w:rPr>
                <w:rFonts w:ascii="Arial" w:hAnsi="Arial"/>
                <w:b w:val="0"/>
                <w:color w:val="404040"/>
                <w:sz w:val="17"/>
              </w:rPr>
              <w:t>4.2</w:t>
            </w:r>
          </w:p>
        </w:tc>
        <w:tc>
          <w:tcPr>
            <w:tcW w:type="dxa" w:w="3744"/>
            <w:vAlign w:val="center"/>
            <w:tcMar>
              <w:top w:w="90" w:type="dxa"/>
              <w:start w:w="90" w:type="dxa"/>
              <w:bottom w:w="90" w:type="dxa"/>
              <w:end w:w="90" w:type="dxa"/>
            </w:tcMar>
            <w:shd w:fill="F7FAFC"/>
          </w:tcPr>
          <w:p>
            <w:pPr>
              <w:spacing w:after="0"/>
              <w:jc w:val="left"/>
            </w:pPr>
            <w:r/>
            <w:r>
              <w:rPr>
                <w:rFonts w:ascii="Arial" w:hAnsi="Arial"/>
                <w:b w:val="0"/>
                <w:color w:val="404040"/>
                <w:sz w:val="17"/>
              </w:rPr>
              <w:t>One or more clinics become functionally inoperable.</w:t>
            </w:r>
          </w:p>
        </w:tc>
        <w:tc>
          <w:tcPr>
            <w:tcW w:type="dxa" w:w="2880"/>
            <w:vAlign w:val="center"/>
            <w:tcMar>
              <w:top w:w="90" w:type="dxa"/>
              <w:start w:w="90" w:type="dxa"/>
              <w:bottom w:w="90" w:type="dxa"/>
              <w:end w:w="90" w:type="dxa"/>
            </w:tcMar>
            <w:shd w:fill="F7FAFC"/>
          </w:tcPr>
          <w:p>
            <w:pPr>
              <w:spacing w:after="0"/>
              <w:jc w:val="left"/>
            </w:pPr>
            <w:r/>
            <w:r>
              <w:rPr>
                <w:rFonts w:ascii="Arial" w:hAnsi="Arial"/>
                <w:b w:val="0"/>
                <w:color w:val="404040"/>
                <w:sz w:val="17"/>
              </w:rPr>
              <w:t>Contain clinic or shared-service impact and assess central Azure dependencies.</w:t>
            </w:r>
          </w:p>
        </w:tc>
        <w:tc>
          <w:tcPr>
            <w:tcW w:type="dxa" w:w="2304"/>
            <w:vAlign w:val="center"/>
            <w:tcMar>
              <w:top w:w="90" w:type="dxa"/>
              <w:start w:w="90" w:type="dxa"/>
              <w:bottom w:w="90" w:type="dxa"/>
              <w:end w:w="90" w:type="dxa"/>
            </w:tcMar>
            <w:shd w:fill="F7FAFC"/>
          </w:tcPr>
          <w:p>
            <w:pPr>
              <w:spacing w:after="0"/>
              <w:jc w:val="left"/>
            </w:pPr>
            <w:r/>
            <w:r>
              <w:rPr>
                <w:rFonts w:ascii="Arial" w:hAnsi="Arial"/>
                <w:b w:val="0"/>
                <w:color w:val="404040"/>
                <w:sz w:val="17"/>
              </w:rPr>
              <w:t>Protect patient care, access history where possible, capture data on paper, plan backfill and RCM recovery.</w:t>
            </w:r>
          </w:p>
        </w:tc>
      </w:tr>
    </w:tbl>
    <w:p>
      <w:pPr>
        <w:pStyle w:val="Heading1"/>
        <w:keepNext/>
        <w:spacing w:before="200" w:after="80"/>
      </w:pPr>
      <w:r>
        <w:rPr>
          <w:rFonts w:ascii="Arial" w:hAnsi="Arial"/>
        </w:rPr>
        <w:t>4. Combined Exercise Findings and Response Decisions</w:t>
      </w:r>
    </w:p>
    <w:p>
      <w:pPr>
        <w:pStyle w:val="Heading2"/>
        <w:keepNext/>
        <w:spacing w:before="140" w:after="80"/>
      </w:pPr>
      <w:r>
        <w:rPr>
          <w:rFonts w:ascii="Arial" w:hAnsi="Arial"/>
        </w:rPr>
        <w:t>4.1 Suspicious email reporting and initial triage</w:t>
      </w:r>
    </w:p>
    <w:p>
      <w:pPr>
        <w:pStyle w:val="BodyText"/>
        <w:spacing w:after="100" w:line="259" w:lineRule="auto"/>
      </w:pPr>
      <w:r>
        <w:rPr>
          <w:rFonts w:ascii="Arial" w:hAnsi="Arial"/>
        </w:rPr>
        <w:t>The current reporting path is a Desktop Support ticket, with the security mailbox and Information Security engaged as appropriate. Desktop Support would preserve and review the original email, inspect the sender, link, attachment, and headers, submit the content for antivirus or malware scanning, and determine whether the message remained in one mailbox or was distributed more broadly.</w:t>
      </w:r>
    </w:p>
    <w:p>
      <w:pPr>
        <w:pStyle w:val="BodyText"/>
        <w:spacing w:after="100" w:line="259" w:lineRule="auto"/>
      </w:pPr>
      <w:r>
        <w:rPr>
          <w:rFonts w:ascii="Arial" w:hAnsi="Arial"/>
        </w:rPr>
        <w:t>David Pye was identified as the primary endpoint triage resource, working with Trevor Lawrence when security escalation is required. When a user opened the link or file, or malicious activity was suspected, the immediate response would be to disconnect the device from the network. Ticket documentation would follow, but emergency communication and containment would not wait for the normal Jira process.</w:t>
      </w:r>
    </w:p>
    <w:p>
      <w:pPr>
        <w:pStyle w:val="BodyText"/>
        <w:spacing w:after="100" w:line="259" w:lineRule="auto"/>
      </w:pPr>
      <w:r>
        <w:rPr>
          <w:rFonts w:ascii="Arial" w:hAnsi="Arial"/>
        </w:rPr>
        <w:t>The team discussed enabling a phishing-reporting icon to simplify user reporting and improve the speed and quality of triage. Security-awareness training currently relies primarily on Delta Dental material for employees and contractors, while an Emerge-specific training and tracking process is being developed.</w:t>
      </w:r>
    </w:p>
    <w:p>
      <w:pPr>
        <w:pStyle w:val="Heading2"/>
        <w:keepNext/>
        <w:spacing w:before="140" w:after="80"/>
      </w:pPr>
      <w:r>
        <w:rPr>
          <w:rFonts w:ascii="Arial" w:hAnsi="Arial"/>
        </w:rPr>
        <w:t>4.2 Endpoint diagnosis and confirmation of ransomware</w:t>
      </w:r>
    </w:p>
    <w:p>
      <w:pPr>
        <w:pStyle w:val="BodyText"/>
        <w:spacing w:after="100" w:line="259" w:lineRule="auto"/>
      </w:pPr>
      <w:r>
        <w:rPr>
          <w:rFonts w:ascii="Arial" w:hAnsi="Arial"/>
        </w:rPr>
        <w:t>Potential indicators included inaccessible or encrypted files, system slowness, high CPU or memory usage, unexpected file or folder modifications, Defender alerts, suspicious authentication activity, and abnormal endpoint or network telemetry. David and Trevor would use Defender and available device telemetry to reconstruct activity and determine whether the behavior was consistent with ransomware.</w:t>
      </w:r>
    </w:p>
    <w:p>
      <w:pPr>
        <w:pStyle w:val="BodyText"/>
        <w:spacing w:after="100" w:line="259" w:lineRule="auto"/>
      </w:pPr>
      <w:r>
        <w:rPr>
          <w:rFonts w:ascii="Arial" w:hAnsi="Arial"/>
        </w:rPr>
        <w:t>The team agreed that containment should begin when there is credible suspicion; final incident classification should not delay disconnection of the affected device. Reimaging is a likely endpoint recovery action when compromise is suspected or confirmed, but logs and relevant evidence should be preserved first, and a replacement device or alternative access path should be available before the rebuild.</w:t>
      </w:r>
    </w:p>
    <w:p>
      <w:pPr>
        <w:pStyle w:val="Heading2"/>
        <w:keepNext/>
        <w:spacing w:before="140" w:after="80"/>
      </w:pPr>
      <w:r>
        <w:rPr>
          <w:rFonts w:ascii="Arial" w:hAnsi="Arial"/>
        </w:rPr>
        <w:t>4.3 Blast-radius assessment and containment</w:t>
      </w:r>
    </w:p>
    <w:p>
      <w:pPr>
        <w:pStyle w:val="BodyText"/>
        <w:spacing w:after="100" w:line="259" w:lineRule="auto"/>
      </w:pPr>
      <w:r>
        <w:rPr>
          <w:rFonts w:ascii="Arial" w:hAnsi="Arial"/>
        </w:rPr>
        <w:t>The preferred approach is to isolate only the confirmed affected device or segment when the team can identify the scope quickly and confidently. If encryption is continuing, multiple devices are affected, or lateral movement is suspected, containment would expand to VPN termination, tunnel disablement, Conditional Access restrictions, VLAN isolation, or full network disconnection.</w:t>
      </w:r>
    </w:p>
    <w:p>
      <w:pPr>
        <w:pStyle w:val="BodyText"/>
        <w:spacing w:after="100" w:line="259" w:lineRule="auto"/>
      </w:pPr>
      <w:r>
        <w:rPr>
          <w:rFonts w:ascii="Arial" w:hAnsi="Arial"/>
        </w:rPr>
        <w:t>Information Security would coordinate the response with endpoint, onsite technical, infrastructure, network, and identity teams. Kevin was identified as the primary resource for network-level isolation, including VLAN shutdown. A trained backup is needed to avoid dependence on a single person during an emergency.</w:t>
      </w:r>
    </w:p>
    <w:p>
      <w:pPr>
        <w:pStyle w:val="BodyText"/>
        <w:spacing w:after="100" w:line="259" w:lineRule="auto"/>
      </w:pPr>
      <w:r>
        <w:rPr>
          <w:rFonts w:ascii="Arial" w:hAnsi="Arial"/>
        </w:rPr>
        <w:t>Real-time indicators, Defender, authentication logs, endpoint telemetry, network traffic, shared-folder access, and communication with other affected users would be used to assess spread. More than 20 users were assumed to have interacted with the malicious content, with one physician completing the full action, making rapid blast-radius analysis essential.</w:t>
      </w:r>
    </w:p>
    <w:p>
      <w:pPr>
        <w:pStyle w:val="Heading2"/>
        <w:keepNext/>
        <w:spacing w:before="140" w:after="80"/>
      </w:pPr>
      <w:r>
        <w:rPr>
          <w:rFonts w:ascii="Arial" w:hAnsi="Arial"/>
        </w:rPr>
        <w:t>4.4 Clinic, Harmony, and Community Connect boundaries</w:t>
      </w:r>
    </w:p>
    <w:p>
      <w:pPr>
        <w:pStyle w:val="BodyText"/>
        <w:spacing w:after="100" w:line="259" w:lineRule="auto"/>
      </w:pPr>
      <w:r>
        <w:rPr>
          <w:rFonts w:ascii="Arial" w:hAnsi="Arial"/>
        </w:rPr>
        <w:t>The team discussed how clinic and Community Connect environments are monitored and how Emerge would learn that a clinic Active Directory environment had been compromised. Each clinic is expected to maintain responsibility for its local environment, while Emerge must preserve perimeter, segmentation, identity, and connectivity controls so a clinic compromise cannot easily cascade into shared services.</w:t>
      </w:r>
    </w:p>
    <w:p>
      <w:pPr>
        <w:pStyle w:val="BodyText"/>
        <w:spacing w:after="100" w:line="259" w:lineRule="auto"/>
      </w:pPr>
      <w:r>
        <w:rPr>
          <w:rFonts w:ascii="Arial" w:hAnsi="Arial"/>
        </w:rPr>
        <w:t>The exercise identified a need to clarify alert ownership and escalation across clinic environments, including Defender coverage, suspicious-login alerts, unauthorized-access alerts, Conditional Access, VPN restrictions, one-to-one NAT, and other boundary controls. Raghav Talluri and Blessing were identified as resources to help validate these controls. Geno Gomez was identified as a resource for clarifying Community Connect management and alerting.</w:t>
      </w:r>
    </w:p>
    <w:p>
      <w:pPr>
        <w:pStyle w:val="BodyText"/>
        <w:spacing w:after="100" w:line="259" w:lineRule="auto"/>
      </w:pPr>
      <w:r>
        <w:rPr>
          <w:rFonts w:ascii="Arial" w:hAnsi="Arial"/>
        </w:rPr>
        <w:t>Clinics were described as having no direct east-west traffic. Propagation from one clinic to another would generally need to traverse the central Emerge environment. This reduces direct clinic-to-clinic risk but does not eliminate the broader risk: a compromise of shared Azure or other central services could affect multiple or all clinics simultaneously.</w:t>
      </w:r>
    </w:p>
    <w:p>
      <w:pPr>
        <w:pStyle w:val="Heading2"/>
        <w:keepNext/>
        <w:spacing w:before="140" w:after="80"/>
      </w:pPr>
      <w:r>
        <w:rPr>
          <w:rFonts w:ascii="Arial" w:hAnsi="Arial"/>
        </w:rPr>
        <w:t>4.5 Incident declaration, decision authority, and escalation</w:t>
      </w:r>
    </w:p>
    <w:p>
      <w:pPr>
        <w:pStyle w:val="BodyText"/>
        <w:spacing w:after="100" w:line="259" w:lineRule="auto"/>
      </w:pPr>
      <w:r>
        <w:rPr>
          <w:rFonts w:ascii="Arial" w:hAnsi="Arial"/>
        </w:rPr>
        <w:t>Mark Thacker is responsible for formally declaring the incident. For major containment decisions, such as shutting down broad network access or shared tunnels, the preferred decision group is Mark, Dean Trovato, Ankur, and Sridhar. When the threat is imminent and the full group cannot be assembled quickly, the available subset - or one available member of that decision group - may authorize the necessary containment action.</w:t>
      </w:r>
    </w:p>
    <w:p>
      <w:pPr>
        <w:pStyle w:val="BodyText"/>
        <w:spacing w:after="100" w:line="259" w:lineRule="auto"/>
      </w:pPr>
      <w:r>
        <w:rPr>
          <w:rFonts w:ascii="Arial" w:hAnsi="Arial"/>
        </w:rPr>
        <w:t>Once a significant incident is confirmed or reaches the escalation threshold, Mark would be notified and a war room or conference bridge would be opened. The full Incident Response Plan would bring in Privacy, Legal, infrastructure and network teams, clinical and operational leadership, application teams, Epic, and the external incident-response retainer provider.</w:t>
      </w:r>
    </w:p>
    <w:p>
      <w:pPr>
        <w:pStyle w:val="Heading2"/>
        <w:keepNext/>
        <w:spacing w:before="140" w:after="80"/>
      </w:pPr>
      <w:r>
        <w:rPr>
          <w:rFonts w:ascii="Arial" w:hAnsi="Arial"/>
        </w:rPr>
        <w:t>4.6 Clinical downtime and patient-care continuity</w:t>
      </w:r>
    </w:p>
    <w:p>
      <w:pPr>
        <w:pStyle w:val="BodyText"/>
        <w:spacing w:after="100" w:line="259" w:lineRule="auto"/>
      </w:pPr>
      <w:r>
        <w:rPr>
          <w:rFonts w:ascii="Arial" w:hAnsi="Arial"/>
        </w:rPr>
        <w:t>PAG was confirmed as an alternate access path during network or primary-system disruption. Clinic managers and downtime escalation coordinators would direct staff to use established downtime tools and paper forms. A clinic-level call and the central conference bridge would coordinate the switchover, communicate decisions, and keep technical and operational teams aligned.</w:t>
      </w:r>
    </w:p>
    <w:p>
      <w:pPr>
        <w:pStyle w:val="BodyText"/>
        <w:spacing w:after="100" w:line="259" w:lineRule="auto"/>
      </w:pPr>
      <w:r>
        <w:rPr>
          <w:rFonts w:ascii="Arial" w:hAnsi="Arial"/>
        </w:rPr>
        <w:t>The most significant patient-care risk is the provider's inability to access historical clinical information. Providers may need to determine whether treatment can proceed safely without complete history, and certain appointments may need to be postponed or rescheduled. New notes, procedures, and other data would be captured on paper and entered into Epic after restoration.</w:t>
      </w:r>
    </w:p>
    <w:p>
      <w:pPr>
        <w:pStyle w:val="BodyText"/>
        <w:spacing w:after="100" w:line="259" w:lineRule="auto"/>
      </w:pPr>
      <w:r>
        <w:rPr>
          <w:rFonts w:ascii="Arial" w:hAnsi="Arial"/>
        </w:rPr>
        <w:t>A standard process is needed to define who declares clinic downtime, who informs staff and patients, how communication occurs if normal tools are unavailable, who authorizes the return to normal operations, and how each clinic confirms readiness.</w:t>
      </w:r>
    </w:p>
    <w:p>
      <w:pPr>
        <w:pStyle w:val="Heading2"/>
        <w:keepNext/>
        <w:spacing w:before="140" w:after="80"/>
      </w:pPr>
      <w:r>
        <w:rPr>
          <w:rFonts w:ascii="Arial" w:hAnsi="Arial"/>
        </w:rPr>
        <w:t>4.7 Imaging continuity: mini-PACS, Haiku, and Canto</w:t>
      </w:r>
    </w:p>
    <w:p>
      <w:pPr>
        <w:pStyle w:val="BodyText"/>
        <w:spacing w:after="100" w:line="259" w:lineRule="auto"/>
      </w:pPr>
      <w:r>
        <w:rPr>
          <w:rFonts w:ascii="Arial" w:hAnsi="Arial"/>
        </w:rPr>
        <w:t>The local mini-PACS server was described as caching images locally and forwarding them to the hosted environment after connectivity is restored. This capability may allow clinics to continue imaging during a tunnel outage, provided the local mini-PACS server and imaging equipment remain operational and uncompromised.</w:t>
      </w:r>
    </w:p>
    <w:p>
      <w:pPr>
        <w:pStyle w:val="BodyText"/>
        <w:spacing w:after="100" w:line="259" w:lineRule="auto"/>
      </w:pPr>
      <w:r>
        <w:rPr>
          <w:rFonts w:ascii="Arial" w:hAnsi="Arial"/>
        </w:rPr>
        <w:t>Haiku and Canto were discussed as potential workarounds for viewing previously available information or images if their dependent services remain functional. The exercise treated these as potential capabilities rather than fully validated recovery paths. An end-to-end test is needed to confirm offline or degraded-mode behavior, local storage duration, later synchronization, security controls, and operational instructions.</w:t>
      </w:r>
    </w:p>
    <w:p>
      <w:pPr>
        <w:pStyle w:val="Heading2"/>
        <w:keepNext/>
        <w:spacing w:before="140" w:after="80"/>
      </w:pPr>
      <w:r>
        <w:rPr>
          <w:rFonts w:ascii="Arial" w:hAnsi="Arial"/>
        </w:rPr>
        <w:t>4.8 Patient-data backup, backfill, and revenue-cycle recovery</w:t>
      </w:r>
    </w:p>
    <w:p>
      <w:pPr>
        <w:pStyle w:val="BodyText"/>
        <w:spacing w:after="100" w:line="259" w:lineRule="auto"/>
      </w:pPr>
      <w:r>
        <w:rPr>
          <w:rFonts w:ascii="Arial" w:hAnsi="Arial"/>
        </w:rPr>
        <w:t>Patient-data backups were confirmed to exist. The exercise did not fully validate recovery time, backup isolation, the last successful restoration test, restoration approval, or the order in which applications and data would be recovered. These items should be documented and exercised.</w:t>
      </w:r>
    </w:p>
    <w:p>
      <w:pPr>
        <w:pStyle w:val="BodyText"/>
        <w:spacing w:after="100" w:line="259" w:lineRule="auto"/>
      </w:pPr>
      <w:r>
        <w:rPr>
          <w:rFonts w:ascii="Arial" w:hAnsi="Arial"/>
        </w:rPr>
        <w:t>During downtime, new clinical information and charges would be captured on paper. The expectation is that Revenue Cycle Management processes would resume after clinical data is backfilled. The workflow still requires validation, including who performs backfill, how the backlog is prioritized, how missing or duplicate information is reconciled, how charges and claims are released, and how filing deadlines are monitored.</w:t>
      </w:r>
    </w:p>
    <w:p>
      <w:pPr>
        <w:pStyle w:val="BodyText"/>
        <w:spacing w:after="100" w:line="259" w:lineRule="auto"/>
      </w:pPr>
      <w:r>
        <w:rPr>
          <w:rFonts w:ascii="Arial" w:hAnsi="Arial"/>
        </w:rPr>
        <w:t>The shortest claim-filing window discussed was approximately 90 days. The team correctly recognized that this is a theoretical claims-related upper limit, not a practical clinical or operational recovery objective. A realistic maximum sustainable downtime period should be defined based on patient safety, staffing, paper supplies, backlog volume, billing impact, and human tolerance.</w:t>
      </w:r>
    </w:p>
    <w:p>
      <w:pPr>
        <w:pStyle w:val="Heading2"/>
        <w:keepNext/>
        <w:spacing w:before="140" w:after="80"/>
      </w:pPr>
      <w:r>
        <w:rPr>
          <w:rFonts w:ascii="Arial" w:hAnsi="Arial"/>
        </w:rPr>
        <w:t>4.9 Communications and stakeholder coordination</w:t>
      </w:r>
    </w:p>
    <w:p>
      <w:pPr>
        <w:pStyle w:val="BodyText"/>
        <w:spacing w:after="100" w:line="259" w:lineRule="auto"/>
      </w:pPr>
      <w:r>
        <w:rPr>
          <w:rFonts w:ascii="Arial" w:hAnsi="Arial"/>
        </w:rPr>
        <w:t>The response would use a conference bridge or war room, supported by an incident page such as Confluence when available. Office managers and downtime coordinators would communicate directly with clinic staff. Mark maintains contacts for other departments, and Privacy, Legal, Epic, and the external incident-response provider would be contacted in a widespread event.</w:t>
      </w:r>
    </w:p>
    <w:p>
      <w:pPr>
        <w:pStyle w:val="BodyText"/>
        <w:spacing w:after="100" w:line="259" w:lineRule="auto"/>
      </w:pPr>
      <w:r>
        <w:rPr>
          <w:rFonts w:ascii="Arial" w:hAnsi="Arial"/>
        </w:rPr>
        <w:t>The exercise identified the need for an offline or externally accessible contact list, predefined communication roles, status-update frequency, approved message templates, and alternate channels in case normal email, collaboration, or network services are unavailable.</w:t>
      </w:r>
    </w:p>
    <w:p>
      <w:pPr>
        <w:pStyle w:val="Heading1"/>
        <w:keepNext/>
        <w:spacing w:before="200" w:after="80"/>
      </w:pPr>
      <w:r>
        <w:rPr>
          <w:rFonts w:ascii="Arial" w:hAnsi="Arial"/>
        </w:rPr>
        <w:t>5. What Went Well</w:t>
      </w:r>
    </w:p>
    <w:p>
      <w:pPr>
        <w:pStyle w:val="ListBullet"/>
        <w:spacing w:after="50" w:line="245" w:lineRule="auto"/>
        <w:ind w:left="288" w:hanging="259"/>
      </w:pPr>
      <w:r>
        <w:rPr>
          <w:rFonts w:ascii="Arial" w:hAnsi="Arial"/>
        </w:rPr>
        <w:t>Participants remained highly engaged across three sessions and worked through technical, clinical, operational, and leadership decisions collaboratively.</w:t>
      </w:r>
    </w:p>
    <w:p>
      <w:pPr>
        <w:pStyle w:val="ListBullet"/>
        <w:spacing w:after="50" w:line="245" w:lineRule="auto"/>
        <w:ind w:left="288" w:hanging="259"/>
      </w:pPr>
      <w:r>
        <w:rPr>
          <w:rFonts w:ascii="Arial" w:hAnsi="Arial"/>
        </w:rPr>
        <w:t>There was rapid agreement that affected devices must be disconnected immediately and that containment should not wait for final classification.</w:t>
      </w:r>
    </w:p>
    <w:p>
      <w:pPr>
        <w:pStyle w:val="ListBullet"/>
        <w:spacing w:after="50" w:line="245" w:lineRule="auto"/>
        <w:ind w:left="288" w:hanging="259"/>
      </w:pPr>
      <w:r>
        <w:rPr>
          <w:rFonts w:ascii="Arial" w:hAnsi="Arial"/>
        </w:rPr>
        <w:t>The team demonstrated the ability to escalate containment from a single device to VPN, tunnel, VLAN, or full network isolation based on blast radius.</w:t>
      </w:r>
    </w:p>
    <w:p>
      <w:pPr>
        <w:pStyle w:val="ListBullet"/>
        <w:spacing w:after="50" w:line="245" w:lineRule="auto"/>
        <w:ind w:left="288" w:hanging="259"/>
      </w:pPr>
      <w:r>
        <w:rPr>
          <w:rFonts w:ascii="Arial" w:hAnsi="Arial"/>
        </w:rPr>
        <w:t>PAG, paper downtime procedures, replacement workstations, patient-data backups, and local mini-PACS caching provide multiple continuity options.</w:t>
      </w:r>
    </w:p>
    <w:p>
      <w:pPr>
        <w:pStyle w:val="ListBullet"/>
        <w:spacing w:after="50" w:line="245" w:lineRule="auto"/>
        <w:ind w:left="288" w:hanging="259"/>
      </w:pPr>
      <w:r>
        <w:rPr>
          <w:rFonts w:ascii="Arial" w:hAnsi="Arial"/>
        </w:rPr>
        <w:t>Clinic segmentation and the lack of direct east-west traffic reduce the likelihood of direct clinic-to-clinic propagation.</w:t>
      </w:r>
    </w:p>
    <w:p>
      <w:pPr>
        <w:pStyle w:val="ListBullet"/>
        <w:spacing w:after="50" w:line="245" w:lineRule="auto"/>
        <w:ind w:left="288" w:hanging="259"/>
      </w:pPr>
      <w:r>
        <w:rPr>
          <w:rFonts w:ascii="Arial" w:hAnsi="Arial"/>
        </w:rPr>
        <w:t>Incident declaration and emergency decision authority were clarified during the exercise.</w:t>
      </w:r>
    </w:p>
    <w:p>
      <w:pPr>
        <w:pStyle w:val="ListBullet"/>
        <w:spacing w:after="50" w:line="245" w:lineRule="auto"/>
        <w:ind w:left="288" w:hanging="259"/>
      </w:pPr>
      <w:r>
        <w:rPr>
          <w:rFonts w:ascii="Arial" w:hAnsi="Arial"/>
        </w:rPr>
        <w:t>The exercise identified Privacy, Legal, Epic, and an external incident-response retainer as important external or cross-functional participants.</w:t>
      </w:r>
    </w:p>
    <w:p>
      <w:pPr>
        <w:pStyle w:val="ListBullet"/>
        <w:spacing w:after="50" w:line="245" w:lineRule="auto"/>
        <w:ind w:left="288" w:hanging="259"/>
      </w:pPr>
      <w:r>
        <w:rPr>
          <w:rFonts w:ascii="Arial" w:hAnsi="Arial"/>
        </w:rPr>
        <w:t>Leadership reported increased confidence in the team because of the quality of discussion and willingness to identify improvement opportunities.</w:t>
      </w:r>
    </w:p>
    <w:p>
      <w:pPr>
        <w:pStyle w:val="Heading1"/>
        <w:keepNext/>
        <w:spacing w:before="200" w:after="80"/>
      </w:pPr>
      <w:r>
        <w:rPr>
          <w:rFonts w:ascii="Arial" w:hAnsi="Arial"/>
        </w:rPr>
        <w:t>6. Lessons Learned and Improvement Opportunities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728"/>
        <w:gridCol w:w="3240"/>
        <w:gridCol w:w="2376"/>
        <w:gridCol w:w="2736"/>
      </w:tblGrid>
      <w:tr>
        <w:trPr>
          <w:tblHeader w:val="true"/>
          <w:cantSplit/>
        </w:trPr>
        <w:tc>
          <w:tcPr>
            <w:tcW w:type="dxa" w:w="1728"/>
            <w:vAlign w:val="center"/>
            <w:tcMar>
              <w:top w:w="90" w:type="dxa"/>
              <w:start w:w="90" w:type="dxa"/>
              <w:bottom w:w="90" w:type="dxa"/>
              <w:end w:w="90" w:type="dxa"/>
            </w:tcMar>
            <w:shd w:fill="17365D"/>
          </w:tcPr>
          <w:p>
            <w:pPr>
              <w:spacing w:after="0"/>
              <w:jc w:val="center"/>
            </w:pPr>
            <w:r/>
            <w:r>
              <w:rPr>
                <w:rFonts w:ascii="Arial" w:hAnsi="Arial"/>
                <w:b/>
                <w:color w:val="FFFFFF"/>
                <w:sz w:val="16"/>
              </w:rPr>
              <w:t>Area</w:t>
            </w:r>
          </w:p>
        </w:tc>
        <w:tc>
          <w:tcPr>
            <w:tcW w:type="dxa" w:w="3240"/>
            <w:vAlign w:val="center"/>
            <w:tcMar>
              <w:top w:w="90" w:type="dxa"/>
              <w:start w:w="90" w:type="dxa"/>
              <w:bottom w:w="90" w:type="dxa"/>
              <w:end w:w="90" w:type="dxa"/>
            </w:tcMar>
            <w:shd w:fill="17365D"/>
          </w:tcPr>
          <w:p>
            <w:pPr>
              <w:spacing w:after="0"/>
              <w:jc w:val="center"/>
            </w:pPr>
            <w:r/>
            <w:r>
              <w:rPr>
                <w:rFonts w:ascii="Arial" w:hAnsi="Arial"/>
                <w:b/>
                <w:color w:val="FFFFFF"/>
                <w:sz w:val="16"/>
              </w:rPr>
              <w:t>Observation</w:t>
            </w:r>
          </w:p>
        </w:tc>
        <w:tc>
          <w:tcPr>
            <w:tcW w:type="dxa" w:w="2376"/>
            <w:vAlign w:val="center"/>
            <w:tcMar>
              <w:top w:w="90" w:type="dxa"/>
              <w:start w:w="90" w:type="dxa"/>
              <w:bottom w:w="90" w:type="dxa"/>
              <w:end w:w="90" w:type="dxa"/>
            </w:tcMar>
            <w:shd w:fill="17365D"/>
          </w:tcPr>
          <w:p>
            <w:pPr>
              <w:spacing w:after="0"/>
              <w:jc w:val="center"/>
            </w:pPr>
            <w:r/>
            <w:r>
              <w:rPr>
                <w:rFonts w:ascii="Arial" w:hAnsi="Arial"/>
                <w:b/>
                <w:color w:val="FFFFFF"/>
                <w:sz w:val="16"/>
              </w:rPr>
              <w:t>Risk if unresolved</w:t>
            </w:r>
          </w:p>
        </w:tc>
        <w:tc>
          <w:tcPr>
            <w:tcW w:type="dxa" w:w="2736"/>
            <w:vAlign w:val="center"/>
            <w:tcMar>
              <w:top w:w="90" w:type="dxa"/>
              <w:start w:w="90" w:type="dxa"/>
              <w:bottom w:w="90" w:type="dxa"/>
              <w:end w:w="90" w:type="dxa"/>
            </w:tcMar>
            <w:shd w:fill="17365D"/>
          </w:tcPr>
          <w:p>
            <w:pPr>
              <w:spacing w:after="0"/>
              <w:jc w:val="center"/>
            </w:pPr>
            <w:r/>
            <w:r>
              <w:rPr>
                <w:rFonts w:ascii="Arial" w:hAnsi="Arial"/>
                <w:b/>
                <w:color w:val="FFFFFF"/>
                <w:sz w:val="16"/>
              </w:rPr>
              <w:t>Required improvement</w:t>
            </w:r>
          </w:p>
        </w:tc>
      </w:tr>
      <w:tr>
        <w:trPr>
          <w:cantSplit/>
        </w:trPr>
        <w:tc>
          <w:tcPr>
            <w:tcW w:type="dxa" w:w="1728"/>
            <w:vAlign w:val="center"/>
            <w:tcMar>
              <w:top w:w="90" w:type="dxa"/>
              <w:start w:w="90" w:type="dxa"/>
              <w:bottom w:w="90" w:type="dxa"/>
              <w:end w:w="90" w:type="dxa"/>
            </w:tcMar>
          </w:tcPr>
          <w:p>
            <w:pPr>
              <w:spacing w:after="0"/>
              <w:jc w:val="left"/>
            </w:pPr>
            <w:r/>
            <w:r>
              <w:rPr>
                <w:rFonts w:ascii="Arial" w:hAnsi="Arial"/>
                <w:b w:val="0"/>
                <w:color w:val="404040"/>
                <w:sz w:val="16"/>
              </w:rPr>
              <w:t>Reporting and training</w:t>
            </w:r>
          </w:p>
        </w:tc>
        <w:tc>
          <w:tcPr>
            <w:tcW w:type="dxa" w:w="3240"/>
            <w:vAlign w:val="center"/>
            <w:tcMar>
              <w:top w:w="90" w:type="dxa"/>
              <w:start w:w="90" w:type="dxa"/>
              <w:bottom w:w="90" w:type="dxa"/>
              <w:end w:w="90" w:type="dxa"/>
            </w:tcMar>
          </w:tcPr>
          <w:p>
            <w:pPr>
              <w:spacing w:after="0"/>
              <w:jc w:val="left"/>
            </w:pPr>
            <w:r/>
            <w:r>
              <w:rPr>
                <w:rFonts w:ascii="Arial" w:hAnsi="Arial"/>
                <w:b w:val="0"/>
                <w:color w:val="404040"/>
                <w:sz w:val="16"/>
              </w:rPr>
              <w:t>Suspicious-email reporting is ticket-based; phishing-button enablement and Emerge-specific training are still developing.</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6"/>
              </w:rPr>
              <w:t>Delayed reporting or inconsistent user response.</w:t>
            </w:r>
          </w:p>
        </w:tc>
        <w:tc>
          <w:tcPr>
            <w:tcW w:type="dxa" w:w="2736"/>
            <w:vAlign w:val="center"/>
            <w:tcMar>
              <w:top w:w="90" w:type="dxa"/>
              <w:start w:w="90" w:type="dxa"/>
              <w:bottom w:w="90" w:type="dxa"/>
              <w:end w:w="90" w:type="dxa"/>
            </w:tcMar>
          </w:tcPr>
          <w:p>
            <w:pPr>
              <w:spacing w:after="0"/>
              <w:jc w:val="left"/>
            </w:pPr>
            <w:r/>
            <w:r>
              <w:rPr>
                <w:rFonts w:ascii="Arial" w:hAnsi="Arial"/>
                <w:b w:val="0"/>
                <w:color w:val="404040"/>
                <w:sz w:val="16"/>
              </w:rPr>
              <w:t>Publish one reporting path, enable the phishing button, and assign training ownership and completion tracking.</w:t>
            </w:r>
          </w:p>
        </w:tc>
      </w:tr>
      <w:tr>
        <w:trPr>
          <w:cantSplit/>
        </w:trPr>
        <w:tc>
          <w:tcPr>
            <w:tcW w:type="dxa" w:w="1728"/>
            <w:vAlign w:val="center"/>
            <w:tcMar>
              <w:top w:w="90" w:type="dxa"/>
              <w:start w:w="90" w:type="dxa"/>
              <w:bottom w:w="90" w:type="dxa"/>
              <w:end w:w="90" w:type="dxa"/>
            </w:tcMar>
            <w:shd w:fill="F7FAFC"/>
          </w:tcPr>
          <w:p>
            <w:pPr>
              <w:spacing w:after="0"/>
              <w:jc w:val="left"/>
            </w:pPr>
            <w:r/>
            <w:r>
              <w:rPr>
                <w:rFonts w:ascii="Arial" w:hAnsi="Arial"/>
                <w:b w:val="0"/>
                <w:color w:val="404040"/>
                <w:sz w:val="16"/>
              </w:rPr>
              <w:t>Endpoint response</w:t>
            </w:r>
          </w:p>
        </w:tc>
        <w:tc>
          <w:tcPr>
            <w:tcW w:type="dxa" w:w="3240"/>
            <w:vAlign w:val="center"/>
            <w:tcMar>
              <w:top w:w="90" w:type="dxa"/>
              <w:start w:w="90" w:type="dxa"/>
              <w:bottom w:w="90" w:type="dxa"/>
              <w:end w:w="90" w:type="dxa"/>
            </w:tcMar>
            <w:shd w:fill="F7FAFC"/>
          </w:tcPr>
          <w:p>
            <w:pPr>
              <w:spacing w:after="0"/>
              <w:jc w:val="left"/>
            </w:pPr>
            <w:r/>
            <w:r>
              <w:rPr>
                <w:rFonts w:ascii="Arial" w:hAnsi="Arial"/>
                <w:b w:val="0"/>
                <w:color w:val="404040"/>
                <w:sz w:val="16"/>
              </w:rPr>
              <w:t>Investigation relies on Defender and device telemetry; the diagnostic and evidence-preservation sequence is not fully documented.</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6"/>
              </w:rPr>
              <w:t>Inconsistent triage, evidence loss, or delayed containment.</w:t>
            </w:r>
          </w:p>
        </w:tc>
        <w:tc>
          <w:tcPr>
            <w:tcW w:type="dxa" w:w="2736"/>
            <w:vAlign w:val="center"/>
            <w:tcMar>
              <w:top w:w="90" w:type="dxa"/>
              <w:start w:w="90" w:type="dxa"/>
              <w:bottom w:w="90" w:type="dxa"/>
              <w:end w:w="90" w:type="dxa"/>
            </w:tcMar>
            <w:shd w:fill="F7FAFC"/>
          </w:tcPr>
          <w:p>
            <w:pPr>
              <w:spacing w:after="0"/>
              <w:jc w:val="left"/>
            </w:pPr>
            <w:r/>
            <w:r>
              <w:rPr>
                <w:rFonts w:ascii="Arial" w:hAnsi="Arial"/>
                <w:b w:val="0"/>
                <w:color w:val="404040"/>
                <w:sz w:val="16"/>
              </w:rPr>
              <w:t>Create a ransomware endpoint playbook with triggers, evidence steps, isolation, rebuild, and validation.</w:t>
            </w:r>
          </w:p>
        </w:tc>
      </w:tr>
      <w:tr>
        <w:trPr>
          <w:cantSplit/>
        </w:trPr>
        <w:tc>
          <w:tcPr>
            <w:tcW w:type="dxa" w:w="1728"/>
            <w:vAlign w:val="center"/>
            <w:tcMar>
              <w:top w:w="90" w:type="dxa"/>
              <w:start w:w="90" w:type="dxa"/>
              <w:bottom w:w="90" w:type="dxa"/>
              <w:end w:w="90" w:type="dxa"/>
            </w:tcMar>
          </w:tcPr>
          <w:p>
            <w:pPr>
              <w:spacing w:after="0"/>
              <w:jc w:val="left"/>
            </w:pPr>
            <w:r/>
            <w:r>
              <w:rPr>
                <w:rFonts w:ascii="Arial" w:hAnsi="Arial"/>
                <w:b w:val="0"/>
                <w:color w:val="404040"/>
                <w:sz w:val="16"/>
              </w:rPr>
              <w:t>Network containment</w:t>
            </w:r>
          </w:p>
        </w:tc>
        <w:tc>
          <w:tcPr>
            <w:tcW w:type="dxa" w:w="3240"/>
            <w:vAlign w:val="center"/>
            <w:tcMar>
              <w:top w:w="90" w:type="dxa"/>
              <w:start w:w="90" w:type="dxa"/>
              <w:bottom w:w="90" w:type="dxa"/>
              <w:end w:w="90" w:type="dxa"/>
            </w:tcMar>
          </w:tcPr>
          <w:p>
            <w:pPr>
              <w:spacing w:after="0"/>
              <w:jc w:val="left"/>
            </w:pPr>
            <w:r/>
            <w:r>
              <w:rPr>
                <w:rFonts w:ascii="Arial" w:hAnsi="Arial"/>
                <w:b w:val="0"/>
                <w:color w:val="404040"/>
                <w:sz w:val="16"/>
              </w:rPr>
              <w:t>Kevin is the primary VLAN/network isolation resource.</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6"/>
              </w:rPr>
              <w:t>Single-person dependency during an emergency.</w:t>
            </w:r>
          </w:p>
        </w:tc>
        <w:tc>
          <w:tcPr>
            <w:tcW w:type="dxa" w:w="2736"/>
            <w:vAlign w:val="center"/>
            <w:tcMar>
              <w:top w:w="90" w:type="dxa"/>
              <w:start w:w="90" w:type="dxa"/>
              <w:bottom w:w="90" w:type="dxa"/>
              <w:end w:w="90" w:type="dxa"/>
            </w:tcMar>
          </w:tcPr>
          <w:p>
            <w:pPr>
              <w:spacing w:after="0"/>
              <w:jc w:val="left"/>
            </w:pPr>
            <w:r/>
            <w:r>
              <w:rPr>
                <w:rFonts w:ascii="Arial" w:hAnsi="Arial"/>
                <w:b w:val="0"/>
                <w:color w:val="404040"/>
                <w:sz w:val="16"/>
              </w:rPr>
              <w:t>Train and test at least one backup and document the isolation runbook.</w:t>
            </w:r>
          </w:p>
        </w:tc>
      </w:tr>
      <w:tr>
        <w:trPr>
          <w:cantSplit/>
        </w:trPr>
        <w:tc>
          <w:tcPr>
            <w:tcW w:type="dxa" w:w="1728"/>
            <w:vAlign w:val="center"/>
            <w:tcMar>
              <w:top w:w="90" w:type="dxa"/>
              <w:start w:w="90" w:type="dxa"/>
              <w:bottom w:w="90" w:type="dxa"/>
              <w:end w:w="90" w:type="dxa"/>
            </w:tcMar>
            <w:shd w:fill="F7FAFC"/>
          </w:tcPr>
          <w:p>
            <w:pPr>
              <w:spacing w:after="0"/>
              <w:jc w:val="left"/>
            </w:pPr>
            <w:r/>
            <w:r>
              <w:rPr>
                <w:rFonts w:ascii="Arial" w:hAnsi="Arial"/>
                <w:b w:val="0"/>
                <w:color w:val="404040"/>
                <w:sz w:val="16"/>
              </w:rPr>
              <w:t>Clinic monitoring</w:t>
            </w:r>
          </w:p>
        </w:tc>
        <w:tc>
          <w:tcPr>
            <w:tcW w:type="dxa" w:w="3240"/>
            <w:vAlign w:val="center"/>
            <w:tcMar>
              <w:top w:w="90" w:type="dxa"/>
              <w:start w:w="90" w:type="dxa"/>
              <w:bottom w:w="90" w:type="dxa"/>
              <w:end w:w="90" w:type="dxa"/>
            </w:tcMar>
            <w:shd w:fill="F7FAFC"/>
          </w:tcPr>
          <w:p>
            <w:pPr>
              <w:spacing w:after="0"/>
              <w:jc w:val="left"/>
            </w:pPr>
            <w:r/>
            <w:r>
              <w:rPr>
                <w:rFonts w:ascii="Arial" w:hAnsi="Arial"/>
                <w:b w:val="0"/>
                <w:color w:val="404040"/>
                <w:sz w:val="16"/>
              </w:rPr>
              <w:t>Alert ownership and escalation for Harmony and other clinic AD environments are unclear.</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6"/>
              </w:rPr>
              <w:t>A clinic compromise may not be identified or communicated quickly.</w:t>
            </w:r>
          </w:p>
        </w:tc>
        <w:tc>
          <w:tcPr>
            <w:tcW w:type="dxa" w:w="2736"/>
            <w:vAlign w:val="center"/>
            <w:tcMar>
              <w:top w:w="90" w:type="dxa"/>
              <w:start w:w="90" w:type="dxa"/>
              <w:bottom w:w="90" w:type="dxa"/>
              <w:end w:w="90" w:type="dxa"/>
            </w:tcMar>
            <w:shd w:fill="F7FAFC"/>
          </w:tcPr>
          <w:p>
            <w:pPr>
              <w:spacing w:after="0"/>
              <w:jc w:val="left"/>
            </w:pPr>
            <w:r/>
            <w:r>
              <w:rPr>
                <w:rFonts w:ascii="Arial" w:hAnsi="Arial"/>
                <w:b w:val="0"/>
                <w:color w:val="404040"/>
                <w:sz w:val="16"/>
              </w:rPr>
              <w:t>Define monitoring, escalation, and shared-boundary controls for all clinic environments.</w:t>
            </w:r>
          </w:p>
        </w:tc>
      </w:tr>
      <w:tr>
        <w:trPr>
          <w:cantSplit/>
        </w:trPr>
        <w:tc>
          <w:tcPr>
            <w:tcW w:type="dxa" w:w="1728"/>
            <w:vAlign w:val="center"/>
            <w:tcMar>
              <w:top w:w="90" w:type="dxa"/>
              <w:start w:w="90" w:type="dxa"/>
              <w:bottom w:w="90" w:type="dxa"/>
              <w:end w:w="90" w:type="dxa"/>
            </w:tcMar>
          </w:tcPr>
          <w:p>
            <w:pPr>
              <w:spacing w:after="0"/>
              <w:jc w:val="left"/>
            </w:pPr>
            <w:r/>
            <w:r>
              <w:rPr>
                <w:rFonts w:ascii="Arial" w:hAnsi="Arial"/>
                <w:b w:val="0"/>
                <w:color w:val="404040"/>
                <w:sz w:val="16"/>
              </w:rPr>
              <w:t>Decision authority</w:t>
            </w:r>
          </w:p>
        </w:tc>
        <w:tc>
          <w:tcPr>
            <w:tcW w:type="dxa" w:w="3240"/>
            <w:vAlign w:val="center"/>
            <w:tcMar>
              <w:top w:w="90" w:type="dxa"/>
              <w:start w:w="90" w:type="dxa"/>
              <w:bottom w:w="90" w:type="dxa"/>
              <w:end w:w="90" w:type="dxa"/>
            </w:tcMar>
          </w:tcPr>
          <w:p>
            <w:pPr>
              <w:spacing w:after="0"/>
              <w:jc w:val="left"/>
            </w:pPr>
            <w:r/>
            <w:r>
              <w:rPr>
                <w:rFonts w:ascii="Arial" w:hAnsi="Arial"/>
                <w:b w:val="0"/>
                <w:color w:val="404040"/>
                <w:sz w:val="16"/>
              </w:rPr>
              <w:t>The decision model was clarified verbally during the exercise.</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6"/>
              </w:rPr>
              <w:t>Containment may be delayed if authority is disputed or key people are unavailable.</w:t>
            </w:r>
          </w:p>
        </w:tc>
        <w:tc>
          <w:tcPr>
            <w:tcW w:type="dxa" w:w="2736"/>
            <w:vAlign w:val="center"/>
            <w:tcMar>
              <w:top w:w="90" w:type="dxa"/>
              <w:start w:w="90" w:type="dxa"/>
              <w:bottom w:w="90" w:type="dxa"/>
              <w:end w:w="90" w:type="dxa"/>
            </w:tcMar>
          </w:tcPr>
          <w:p>
            <w:pPr>
              <w:spacing w:after="0"/>
              <w:jc w:val="left"/>
            </w:pPr>
            <w:r/>
            <w:r>
              <w:rPr>
                <w:rFonts w:ascii="Arial" w:hAnsi="Arial"/>
                <w:b w:val="0"/>
                <w:color w:val="404040"/>
                <w:sz w:val="16"/>
              </w:rPr>
              <w:t>Add incident declaration, emergency authority, shutdown thresholds, and delegation to the IR plan.</w:t>
            </w:r>
          </w:p>
        </w:tc>
      </w:tr>
      <w:tr>
        <w:trPr>
          <w:cantSplit/>
        </w:trPr>
        <w:tc>
          <w:tcPr>
            <w:tcW w:type="dxa" w:w="1728"/>
            <w:vAlign w:val="center"/>
            <w:tcMar>
              <w:top w:w="90" w:type="dxa"/>
              <w:start w:w="90" w:type="dxa"/>
              <w:bottom w:w="90" w:type="dxa"/>
              <w:end w:w="90" w:type="dxa"/>
            </w:tcMar>
            <w:shd w:fill="F7FAFC"/>
          </w:tcPr>
          <w:p>
            <w:pPr>
              <w:spacing w:after="0"/>
              <w:jc w:val="left"/>
            </w:pPr>
            <w:r/>
            <w:r>
              <w:rPr>
                <w:rFonts w:ascii="Arial" w:hAnsi="Arial"/>
                <w:b w:val="0"/>
                <w:color w:val="404040"/>
                <w:sz w:val="16"/>
              </w:rPr>
              <w:t>Clinical downtime</w:t>
            </w:r>
          </w:p>
        </w:tc>
        <w:tc>
          <w:tcPr>
            <w:tcW w:type="dxa" w:w="3240"/>
            <w:vAlign w:val="center"/>
            <w:tcMar>
              <w:top w:w="90" w:type="dxa"/>
              <w:start w:w="90" w:type="dxa"/>
              <w:bottom w:w="90" w:type="dxa"/>
              <w:end w:w="90" w:type="dxa"/>
            </w:tcMar>
            <w:shd w:fill="F7FAFC"/>
          </w:tcPr>
          <w:p>
            <w:pPr>
              <w:spacing w:after="0"/>
              <w:jc w:val="left"/>
            </w:pPr>
            <w:r/>
            <w:r>
              <w:rPr>
                <w:rFonts w:ascii="Arial" w:hAnsi="Arial"/>
                <w:b w:val="0"/>
                <w:color w:val="404040"/>
                <w:sz w:val="16"/>
              </w:rPr>
              <w:t>Paper procedures exist, but a realistic sustainable duration and clinic communication standard are not defined.</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6"/>
              </w:rPr>
              <w:t>Patient-care risk, operational fatigue, and uncontrolled backlog.</w:t>
            </w:r>
          </w:p>
        </w:tc>
        <w:tc>
          <w:tcPr>
            <w:tcW w:type="dxa" w:w="2736"/>
            <w:vAlign w:val="center"/>
            <w:tcMar>
              <w:top w:w="90" w:type="dxa"/>
              <w:start w:w="90" w:type="dxa"/>
              <w:bottom w:w="90" w:type="dxa"/>
              <w:end w:w="90" w:type="dxa"/>
            </w:tcMar>
            <w:shd w:fill="F7FAFC"/>
          </w:tcPr>
          <w:p>
            <w:pPr>
              <w:spacing w:after="0"/>
              <w:jc w:val="left"/>
            </w:pPr>
            <w:r/>
            <w:r>
              <w:rPr>
                <w:rFonts w:ascii="Arial" w:hAnsi="Arial"/>
                <w:b w:val="0"/>
                <w:color w:val="404040"/>
                <w:sz w:val="16"/>
              </w:rPr>
              <w:t>Define maximum practical downtime, clinic activation, patient communication, and return-to-service criteria.</w:t>
            </w:r>
          </w:p>
        </w:tc>
      </w:tr>
      <w:tr>
        <w:trPr>
          <w:cantSplit/>
        </w:trPr>
        <w:tc>
          <w:tcPr>
            <w:tcW w:type="dxa" w:w="1728"/>
            <w:vAlign w:val="center"/>
            <w:tcMar>
              <w:top w:w="90" w:type="dxa"/>
              <w:start w:w="90" w:type="dxa"/>
              <w:bottom w:w="90" w:type="dxa"/>
              <w:end w:w="90" w:type="dxa"/>
            </w:tcMar>
          </w:tcPr>
          <w:p>
            <w:pPr>
              <w:spacing w:after="0"/>
              <w:jc w:val="left"/>
            </w:pPr>
            <w:r/>
            <w:r>
              <w:rPr>
                <w:rFonts w:ascii="Arial" w:hAnsi="Arial"/>
                <w:b w:val="0"/>
                <w:color w:val="404040"/>
                <w:sz w:val="16"/>
              </w:rPr>
              <w:t>Imaging</w:t>
            </w:r>
          </w:p>
        </w:tc>
        <w:tc>
          <w:tcPr>
            <w:tcW w:type="dxa" w:w="3240"/>
            <w:vAlign w:val="center"/>
            <w:tcMar>
              <w:top w:w="90" w:type="dxa"/>
              <w:start w:w="90" w:type="dxa"/>
              <w:bottom w:w="90" w:type="dxa"/>
              <w:end w:w="90" w:type="dxa"/>
            </w:tcMar>
          </w:tcPr>
          <w:p>
            <w:pPr>
              <w:spacing w:after="0"/>
              <w:jc w:val="left"/>
            </w:pPr>
            <w:r/>
            <w:r>
              <w:rPr>
                <w:rFonts w:ascii="Arial" w:hAnsi="Arial"/>
                <w:b w:val="0"/>
                <w:color w:val="404040"/>
                <w:sz w:val="16"/>
              </w:rPr>
              <w:t>Mini-PACS caching and Haiku/Canto were discussed but not fully tested under the scenario.</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6"/>
              </w:rPr>
              <w:t>Imaging capability may not perform as assumed during isolation.</w:t>
            </w:r>
          </w:p>
        </w:tc>
        <w:tc>
          <w:tcPr>
            <w:tcW w:type="dxa" w:w="2736"/>
            <w:vAlign w:val="center"/>
            <w:tcMar>
              <w:top w:w="90" w:type="dxa"/>
              <w:start w:w="90" w:type="dxa"/>
              <w:bottom w:w="90" w:type="dxa"/>
              <w:end w:w="90" w:type="dxa"/>
            </w:tcMar>
          </w:tcPr>
          <w:p>
            <w:pPr>
              <w:spacing w:after="0"/>
              <w:jc w:val="left"/>
            </w:pPr>
            <w:r/>
            <w:r>
              <w:rPr>
                <w:rFonts w:ascii="Arial" w:hAnsi="Arial"/>
                <w:b w:val="0"/>
                <w:color w:val="404040"/>
                <w:sz w:val="16"/>
              </w:rPr>
              <w:t>Conduct end-to-end degraded-mode tests and document results.</w:t>
            </w:r>
          </w:p>
        </w:tc>
      </w:tr>
      <w:tr>
        <w:trPr>
          <w:cantSplit/>
        </w:trPr>
        <w:tc>
          <w:tcPr>
            <w:tcW w:type="dxa" w:w="1728"/>
            <w:vAlign w:val="center"/>
            <w:tcMar>
              <w:top w:w="90" w:type="dxa"/>
              <w:start w:w="90" w:type="dxa"/>
              <w:bottom w:w="90" w:type="dxa"/>
              <w:end w:w="90" w:type="dxa"/>
            </w:tcMar>
            <w:shd w:fill="F7FAFC"/>
          </w:tcPr>
          <w:p>
            <w:pPr>
              <w:spacing w:after="0"/>
              <w:jc w:val="left"/>
            </w:pPr>
            <w:r/>
            <w:r>
              <w:rPr>
                <w:rFonts w:ascii="Arial" w:hAnsi="Arial"/>
                <w:b w:val="0"/>
                <w:color w:val="404040"/>
                <w:sz w:val="16"/>
              </w:rPr>
              <w:t>Recovery and backfill</w:t>
            </w:r>
          </w:p>
        </w:tc>
        <w:tc>
          <w:tcPr>
            <w:tcW w:type="dxa" w:w="3240"/>
            <w:vAlign w:val="center"/>
            <w:tcMar>
              <w:top w:w="90" w:type="dxa"/>
              <w:start w:w="90" w:type="dxa"/>
              <w:bottom w:w="90" w:type="dxa"/>
              <w:end w:w="90" w:type="dxa"/>
            </w:tcMar>
            <w:shd w:fill="F7FAFC"/>
          </w:tcPr>
          <w:p>
            <w:pPr>
              <w:spacing w:after="0"/>
              <w:jc w:val="left"/>
            </w:pPr>
            <w:r/>
            <w:r>
              <w:rPr>
                <w:rFonts w:ascii="Arial" w:hAnsi="Arial"/>
                <w:b w:val="0"/>
                <w:color w:val="404040"/>
                <w:sz w:val="16"/>
              </w:rPr>
              <w:t>Backups exist, but restoration testing, ownership, clinical backfill, and RCM recovery need stronger validation.</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6"/>
              </w:rPr>
              <w:t>Extended outage, data inconsistency, delayed billing, or missed claims.</w:t>
            </w:r>
          </w:p>
        </w:tc>
        <w:tc>
          <w:tcPr>
            <w:tcW w:type="dxa" w:w="2736"/>
            <w:vAlign w:val="center"/>
            <w:tcMar>
              <w:top w:w="90" w:type="dxa"/>
              <w:start w:w="90" w:type="dxa"/>
              <w:bottom w:w="90" w:type="dxa"/>
              <w:end w:w="90" w:type="dxa"/>
            </w:tcMar>
            <w:shd w:fill="F7FAFC"/>
          </w:tcPr>
          <w:p>
            <w:pPr>
              <w:spacing w:after="0"/>
              <w:jc w:val="left"/>
            </w:pPr>
            <w:r/>
            <w:r>
              <w:rPr>
                <w:rFonts w:ascii="Arial" w:hAnsi="Arial"/>
                <w:b w:val="0"/>
                <w:color w:val="404040"/>
                <w:sz w:val="16"/>
              </w:rPr>
              <w:t>Test restore, document recovery sequence, and exercise paper-to-Epic/RCM reconciliation.</w:t>
            </w:r>
          </w:p>
        </w:tc>
      </w:tr>
      <w:tr>
        <w:trPr>
          <w:cantSplit/>
        </w:trPr>
        <w:tc>
          <w:tcPr>
            <w:tcW w:type="dxa" w:w="1728"/>
            <w:vAlign w:val="center"/>
            <w:tcMar>
              <w:top w:w="90" w:type="dxa"/>
              <w:start w:w="90" w:type="dxa"/>
              <w:bottom w:w="90" w:type="dxa"/>
              <w:end w:w="90" w:type="dxa"/>
            </w:tcMar>
          </w:tcPr>
          <w:p>
            <w:pPr>
              <w:spacing w:after="0"/>
              <w:jc w:val="left"/>
            </w:pPr>
            <w:r/>
            <w:r>
              <w:rPr>
                <w:rFonts w:ascii="Arial" w:hAnsi="Arial"/>
                <w:b w:val="0"/>
                <w:color w:val="404040"/>
                <w:sz w:val="16"/>
              </w:rPr>
              <w:t>Architecture dependencies</w:t>
            </w:r>
          </w:p>
        </w:tc>
        <w:tc>
          <w:tcPr>
            <w:tcW w:type="dxa" w:w="3240"/>
            <w:vAlign w:val="center"/>
            <w:tcMar>
              <w:top w:w="90" w:type="dxa"/>
              <w:start w:w="90" w:type="dxa"/>
              <w:bottom w:w="90" w:type="dxa"/>
              <w:end w:w="90" w:type="dxa"/>
            </w:tcMar>
          </w:tcPr>
          <w:p>
            <w:pPr>
              <w:spacing w:after="0"/>
              <w:jc w:val="left"/>
            </w:pPr>
            <w:r/>
            <w:r>
              <w:rPr>
                <w:rFonts w:ascii="Arial" w:hAnsi="Arial"/>
                <w:b w:val="0"/>
                <w:color w:val="404040"/>
                <w:sz w:val="16"/>
              </w:rPr>
              <w:t>A shared Azure issue may affect all clinics; local versus shared dependencies are not fully mapped.</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6"/>
              </w:rPr>
              <w:t>Unexpected multi-clinic outage or incorrect containment decisions.</w:t>
            </w:r>
          </w:p>
        </w:tc>
        <w:tc>
          <w:tcPr>
            <w:tcW w:type="dxa" w:w="2736"/>
            <w:vAlign w:val="center"/>
            <w:tcMar>
              <w:top w:w="90" w:type="dxa"/>
              <w:start w:w="90" w:type="dxa"/>
              <w:bottom w:w="90" w:type="dxa"/>
              <w:end w:w="90" w:type="dxa"/>
            </w:tcMar>
          </w:tcPr>
          <w:p>
            <w:pPr>
              <w:spacing w:after="0"/>
              <w:jc w:val="left"/>
            </w:pPr>
            <w:r/>
            <w:r>
              <w:rPr>
                <w:rFonts w:ascii="Arial" w:hAnsi="Arial"/>
                <w:b w:val="0"/>
                <w:color w:val="404040"/>
                <w:sz w:val="16"/>
              </w:rPr>
              <w:t>Maintain a current dependency and data-flow map for clinic, identity, cloud, Epic, and imaging services.</w:t>
            </w:r>
          </w:p>
        </w:tc>
      </w:tr>
      <w:tr>
        <w:trPr>
          <w:cantSplit/>
        </w:trPr>
        <w:tc>
          <w:tcPr>
            <w:tcW w:type="dxa" w:w="1728"/>
            <w:vAlign w:val="center"/>
            <w:tcMar>
              <w:top w:w="90" w:type="dxa"/>
              <w:start w:w="90" w:type="dxa"/>
              <w:bottom w:w="90" w:type="dxa"/>
              <w:end w:w="90" w:type="dxa"/>
            </w:tcMar>
            <w:shd w:fill="F7FAFC"/>
          </w:tcPr>
          <w:p>
            <w:pPr>
              <w:spacing w:after="0"/>
              <w:jc w:val="left"/>
            </w:pPr>
            <w:r/>
            <w:r>
              <w:rPr>
                <w:rFonts w:ascii="Arial" w:hAnsi="Arial"/>
                <w:b w:val="0"/>
                <w:color w:val="404040"/>
                <w:sz w:val="16"/>
              </w:rPr>
              <w:t>Third parties and response capacity</w:t>
            </w:r>
          </w:p>
        </w:tc>
        <w:tc>
          <w:tcPr>
            <w:tcW w:type="dxa" w:w="3240"/>
            <w:vAlign w:val="center"/>
            <w:tcMar>
              <w:top w:w="90" w:type="dxa"/>
              <w:start w:w="90" w:type="dxa"/>
              <w:bottom w:w="90" w:type="dxa"/>
              <w:end w:w="90" w:type="dxa"/>
            </w:tcMar>
            <w:shd w:fill="F7FAFC"/>
          </w:tcPr>
          <w:p>
            <w:pPr>
              <w:spacing w:after="0"/>
              <w:jc w:val="left"/>
            </w:pPr>
            <w:r/>
            <w:r>
              <w:rPr>
                <w:rFonts w:ascii="Arial" w:hAnsi="Arial"/>
                <w:b w:val="0"/>
                <w:color w:val="404040"/>
                <w:sz w:val="16"/>
              </w:rPr>
              <w:t>No dedicated internal cybersecurity response team was identified; external retainer activation and vendor risk require clearer documentation.</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6"/>
              </w:rPr>
              <w:t>Delayed forensics, recovery, legal coordination, or vendor response.</w:t>
            </w:r>
          </w:p>
        </w:tc>
        <w:tc>
          <w:tcPr>
            <w:tcW w:type="dxa" w:w="2736"/>
            <w:vAlign w:val="center"/>
            <w:tcMar>
              <w:top w:w="90" w:type="dxa"/>
              <w:start w:w="90" w:type="dxa"/>
              <w:bottom w:w="90" w:type="dxa"/>
              <w:end w:w="90" w:type="dxa"/>
            </w:tcMar>
            <w:shd w:fill="F7FAFC"/>
          </w:tcPr>
          <w:p>
            <w:pPr>
              <w:spacing w:after="0"/>
              <w:jc w:val="left"/>
            </w:pPr>
            <w:r/>
            <w:r>
              <w:rPr>
                <w:rFonts w:ascii="Arial" w:hAnsi="Arial"/>
                <w:b w:val="0"/>
                <w:color w:val="404040"/>
                <w:sz w:val="16"/>
              </w:rPr>
              <w:t>Document retainer activation, responsibilities, evidence handoff, and third-party risk expectations.</w:t>
            </w:r>
          </w:p>
        </w:tc>
      </w:tr>
    </w:tbl>
    <w:p>
      <w:pPr>
        <w:pStyle w:val="Heading1"/>
        <w:keepNext/>
        <w:spacing w:before="200" w:after="80"/>
      </w:pPr>
      <w:r>
        <w:rPr>
          <w:rFonts w:ascii="Arial" w:hAnsi="Arial"/>
        </w:rPr>
        <w:t>7. Corrective Action Plan</w:t>
      </w:r>
    </w:p>
    <w:p>
      <w:pPr>
        <w:pStyle w:val="BodyText"/>
        <w:spacing w:after="100" w:line="259" w:lineRule="auto"/>
      </w:pPr>
      <w:r>
        <w:rPr>
          <w:rFonts w:ascii="Arial" w:hAnsi="Arial"/>
        </w:rPr>
        <w:t>The following actions consolidate the gaps identified across all three sessions. Owners and timing should be confirmed during the planned retrospective.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76"/>
        <w:gridCol w:w="4824"/>
        <w:gridCol w:w="2376"/>
        <w:gridCol w:w="1007"/>
        <w:gridCol w:w="1296"/>
      </w:tblGrid>
      <w:tr>
        <w:trPr>
          <w:tblHeader w:val="true"/>
          <w:cantSplit/>
        </w:trPr>
        <w:tc>
          <w:tcPr>
            <w:tcW w:type="dxa" w:w="576"/>
            <w:vAlign w:val="center"/>
            <w:tcMar>
              <w:top w:w="90" w:type="dxa"/>
              <w:start w:w="90" w:type="dxa"/>
              <w:bottom w:w="90" w:type="dxa"/>
              <w:end w:w="90" w:type="dxa"/>
            </w:tcMar>
            <w:shd w:fill="17365D"/>
          </w:tcPr>
          <w:p>
            <w:pPr>
              <w:spacing w:after="0"/>
              <w:jc w:val="center"/>
            </w:pPr>
            <w:r/>
            <w:r>
              <w:rPr>
                <w:rFonts w:ascii="Arial" w:hAnsi="Arial"/>
                <w:b/>
                <w:color w:val="FFFFFF"/>
                <w:sz w:val="16"/>
              </w:rPr>
              <w:t>ID</w:t>
            </w:r>
          </w:p>
        </w:tc>
        <w:tc>
          <w:tcPr>
            <w:tcW w:type="dxa" w:w="4824"/>
            <w:vAlign w:val="center"/>
            <w:tcMar>
              <w:top w:w="90" w:type="dxa"/>
              <w:start w:w="90" w:type="dxa"/>
              <w:bottom w:w="90" w:type="dxa"/>
              <w:end w:w="90" w:type="dxa"/>
            </w:tcMar>
            <w:shd w:fill="17365D"/>
          </w:tcPr>
          <w:p>
            <w:pPr>
              <w:spacing w:after="0"/>
              <w:jc w:val="center"/>
            </w:pPr>
            <w:r/>
            <w:r>
              <w:rPr>
                <w:rFonts w:ascii="Arial" w:hAnsi="Arial"/>
                <w:b/>
                <w:color w:val="FFFFFF"/>
                <w:sz w:val="16"/>
              </w:rPr>
              <w:t>Corrective action</w:t>
            </w:r>
          </w:p>
        </w:tc>
        <w:tc>
          <w:tcPr>
            <w:tcW w:type="dxa" w:w="2376"/>
            <w:vAlign w:val="center"/>
            <w:tcMar>
              <w:top w:w="90" w:type="dxa"/>
              <w:start w:w="90" w:type="dxa"/>
              <w:bottom w:w="90" w:type="dxa"/>
              <w:end w:w="90" w:type="dxa"/>
            </w:tcMar>
            <w:shd w:fill="17365D"/>
          </w:tcPr>
          <w:p>
            <w:pPr>
              <w:spacing w:after="0"/>
              <w:jc w:val="center"/>
            </w:pPr>
            <w:r/>
            <w:r>
              <w:rPr>
                <w:rFonts w:ascii="Arial" w:hAnsi="Arial"/>
                <w:b/>
                <w:color w:val="FFFFFF"/>
                <w:sz w:val="16"/>
              </w:rPr>
              <w:t>Proposed owner(s)</w:t>
            </w:r>
          </w:p>
        </w:tc>
        <w:tc>
          <w:tcPr>
            <w:tcW w:type="dxa" w:w="1007"/>
            <w:vAlign w:val="center"/>
            <w:tcMar>
              <w:top w:w="90" w:type="dxa"/>
              <w:start w:w="90" w:type="dxa"/>
              <w:bottom w:w="90" w:type="dxa"/>
              <w:end w:w="90" w:type="dxa"/>
            </w:tcMar>
            <w:shd w:fill="17365D"/>
          </w:tcPr>
          <w:p>
            <w:pPr>
              <w:spacing w:after="0"/>
              <w:jc w:val="center"/>
            </w:pPr>
            <w:r/>
            <w:r>
              <w:rPr>
                <w:rFonts w:ascii="Arial" w:hAnsi="Arial"/>
                <w:b/>
                <w:color w:val="FFFFFF"/>
                <w:sz w:val="16"/>
              </w:rPr>
              <w:t>Priority</w:t>
            </w:r>
          </w:p>
        </w:tc>
        <w:tc>
          <w:tcPr>
            <w:tcW w:type="dxa" w:w="1296"/>
            <w:vAlign w:val="center"/>
            <w:tcMar>
              <w:top w:w="90" w:type="dxa"/>
              <w:start w:w="90" w:type="dxa"/>
              <w:bottom w:w="90" w:type="dxa"/>
              <w:end w:w="90" w:type="dxa"/>
            </w:tcMar>
            <w:shd w:fill="17365D"/>
          </w:tcPr>
          <w:p>
            <w:pPr>
              <w:spacing w:after="0"/>
              <w:jc w:val="center"/>
            </w:pPr>
            <w:r/>
            <w:r>
              <w:rPr>
                <w:rFonts w:ascii="Arial" w:hAnsi="Arial"/>
                <w:b/>
                <w:color w:val="FFFFFF"/>
                <w:sz w:val="16"/>
              </w:rPr>
              <w:t>Target timing</w:t>
            </w:r>
          </w:p>
        </w:tc>
      </w:tr>
      <w:tr>
        <w:trPr>
          <w:cantSplit/>
        </w:trPr>
        <w:tc>
          <w:tcPr>
            <w:tcW w:type="dxa" w:w="576"/>
            <w:vAlign w:val="center"/>
            <w:tcMar>
              <w:top w:w="90" w:type="dxa"/>
              <w:start w:w="90" w:type="dxa"/>
              <w:bottom w:w="90" w:type="dxa"/>
              <w:end w:w="90" w:type="dxa"/>
            </w:tcMar>
          </w:tcPr>
          <w:p>
            <w:pPr>
              <w:spacing w:after="0"/>
              <w:jc w:val="center"/>
            </w:pPr>
            <w:r/>
            <w:r>
              <w:rPr>
                <w:rFonts w:ascii="Arial" w:hAnsi="Arial"/>
                <w:b/>
                <w:color w:val="404040"/>
                <w:sz w:val="15"/>
              </w:rPr>
              <w:t>A1</w:t>
            </w:r>
          </w:p>
        </w:tc>
        <w:tc>
          <w:tcPr>
            <w:tcW w:type="dxa" w:w="4824"/>
            <w:vAlign w:val="center"/>
            <w:tcMar>
              <w:top w:w="90" w:type="dxa"/>
              <w:start w:w="90" w:type="dxa"/>
              <w:bottom w:w="90" w:type="dxa"/>
              <w:end w:w="90" w:type="dxa"/>
            </w:tcMar>
          </w:tcPr>
          <w:p>
            <w:pPr>
              <w:spacing w:after="0"/>
              <w:jc w:val="left"/>
            </w:pPr>
            <w:r/>
            <w:r>
              <w:rPr>
                <w:rFonts w:ascii="Arial" w:hAnsi="Arial"/>
                <w:b w:val="0"/>
                <w:color w:val="404040"/>
                <w:sz w:val="15"/>
              </w:rPr>
              <w:t>Publish an Emerge-specific suspicious-email and ransomware reporting, triage, escalation, evidence-preservation, and endpoint-rebuild procedure.</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5"/>
              </w:rPr>
              <w:t>Desktop Support / David / Trevor</w:t>
            </w:r>
          </w:p>
        </w:tc>
        <w:tc>
          <w:tcPr>
            <w:tcW w:type="dxa" w:w="1007"/>
            <w:vAlign w:val="center"/>
            <w:tcMar>
              <w:top w:w="90" w:type="dxa"/>
              <w:start w:w="90" w:type="dxa"/>
              <w:bottom w:w="90" w:type="dxa"/>
              <w:end w:w="90" w:type="dxa"/>
            </w:tcMar>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tcPr>
          <w:p>
            <w:pPr>
              <w:spacing w:after="0"/>
              <w:jc w:val="center"/>
            </w:pPr>
            <w:r/>
            <w:r>
              <w:rPr>
                <w:rFonts w:ascii="Arial" w:hAnsi="Arial"/>
                <w:b w:val="0"/>
                <w:color w:val="404040"/>
                <w:sz w:val="15"/>
              </w:rPr>
              <w:t>0-30 days</w:t>
            </w:r>
          </w:p>
        </w:tc>
      </w:tr>
      <w:tr>
        <w:trPr>
          <w:cantSplit/>
        </w:trPr>
        <w:tc>
          <w:tcPr>
            <w:tcW w:type="dxa" w:w="576"/>
            <w:vAlign w:val="center"/>
            <w:tcMar>
              <w:top w:w="90" w:type="dxa"/>
              <w:start w:w="90" w:type="dxa"/>
              <w:bottom w:w="90" w:type="dxa"/>
              <w:end w:w="90" w:type="dxa"/>
            </w:tcMar>
            <w:shd w:fill="F7FAFC"/>
          </w:tcPr>
          <w:p>
            <w:pPr>
              <w:spacing w:after="0"/>
              <w:jc w:val="center"/>
            </w:pPr>
            <w:r/>
            <w:r>
              <w:rPr>
                <w:rFonts w:ascii="Arial" w:hAnsi="Arial"/>
                <w:b/>
                <w:color w:val="404040"/>
                <w:sz w:val="15"/>
              </w:rPr>
              <w:t>A2</w:t>
            </w:r>
          </w:p>
        </w:tc>
        <w:tc>
          <w:tcPr>
            <w:tcW w:type="dxa" w:w="4824"/>
            <w:vAlign w:val="center"/>
            <w:tcMar>
              <w:top w:w="90" w:type="dxa"/>
              <w:start w:w="90" w:type="dxa"/>
              <w:bottom w:w="90" w:type="dxa"/>
              <w:end w:w="90" w:type="dxa"/>
            </w:tcMar>
            <w:shd w:fill="F7FAFC"/>
          </w:tcPr>
          <w:p>
            <w:pPr>
              <w:spacing w:after="0"/>
              <w:jc w:val="left"/>
            </w:pPr>
            <w:r/>
            <w:r>
              <w:rPr>
                <w:rFonts w:ascii="Arial" w:hAnsi="Arial"/>
                <w:b w:val="0"/>
                <w:color w:val="404040"/>
                <w:sz w:val="15"/>
              </w:rPr>
              <w:t>Enable and validate the Outlook phishing-reporting icon and confirm routing to the responsible support/security queue.</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5"/>
              </w:rPr>
              <w:t>Dean / Endpoint / Messaging</w:t>
            </w:r>
          </w:p>
        </w:tc>
        <w:tc>
          <w:tcPr>
            <w:tcW w:type="dxa" w:w="1007"/>
            <w:vAlign w:val="center"/>
            <w:tcMar>
              <w:top w:w="90" w:type="dxa"/>
              <w:start w:w="90" w:type="dxa"/>
              <w:bottom w:w="90" w:type="dxa"/>
              <w:end w:w="90" w:type="dxa"/>
            </w:tcMar>
            <w:shd w:fill="F7FAFC"/>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shd w:fill="F7FAFC"/>
          </w:tcPr>
          <w:p>
            <w:pPr>
              <w:spacing w:after="0"/>
              <w:jc w:val="center"/>
            </w:pPr>
            <w:r/>
            <w:r>
              <w:rPr>
                <w:rFonts w:ascii="Arial" w:hAnsi="Arial"/>
                <w:b w:val="0"/>
                <w:color w:val="404040"/>
                <w:sz w:val="15"/>
              </w:rPr>
              <w:t>0-30 days</w:t>
            </w:r>
          </w:p>
        </w:tc>
      </w:tr>
      <w:tr>
        <w:trPr>
          <w:cantSplit/>
        </w:trPr>
        <w:tc>
          <w:tcPr>
            <w:tcW w:type="dxa" w:w="576"/>
            <w:vAlign w:val="center"/>
            <w:tcMar>
              <w:top w:w="90" w:type="dxa"/>
              <w:start w:w="90" w:type="dxa"/>
              <w:bottom w:w="90" w:type="dxa"/>
              <w:end w:w="90" w:type="dxa"/>
            </w:tcMar>
          </w:tcPr>
          <w:p>
            <w:pPr>
              <w:spacing w:after="0"/>
              <w:jc w:val="center"/>
            </w:pPr>
            <w:r/>
            <w:r>
              <w:rPr>
                <w:rFonts w:ascii="Arial" w:hAnsi="Arial"/>
                <w:b/>
                <w:color w:val="404040"/>
                <w:sz w:val="15"/>
              </w:rPr>
              <w:t>A3</w:t>
            </w:r>
          </w:p>
        </w:tc>
        <w:tc>
          <w:tcPr>
            <w:tcW w:type="dxa" w:w="4824"/>
            <w:vAlign w:val="center"/>
            <w:tcMar>
              <w:top w:w="90" w:type="dxa"/>
              <w:start w:w="90" w:type="dxa"/>
              <w:bottom w:w="90" w:type="dxa"/>
              <w:end w:w="90" w:type="dxa"/>
            </w:tcMar>
          </w:tcPr>
          <w:p>
            <w:pPr>
              <w:spacing w:after="0"/>
              <w:jc w:val="left"/>
            </w:pPr>
            <w:r/>
            <w:r>
              <w:rPr>
                <w:rFonts w:ascii="Arial" w:hAnsi="Arial"/>
                <w:b w:val="0"/>
                <w:color w:val="404040"/>
                <w:sz w:val="15"/>
              </w:rPr>
              <w:t>Confirm ownership for security-awareness training, onboarding coverage, contractor inclusion, recurring cadence, and completion evidence.</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5"/>
              </w:rPr>
              <w:t>HR / Training / Information Security</w:t>
            </w:r>
          </w:p>
        </w:tc>
        <w:tc>
          <w:tcPr>
            <w:tcW w:type="dxa" w:w="1007"/>
            <w:vAlign w:val="center"/>
            <w:tcMar>
              <w:top w:w="90" w:type="dxa"/>
              <w:start w:w="90" w:type="dxa"/>
              <w:bottom w:w="90" w:type="dxa"/>
              <w:end w:w="90" w:type="dxa"/>
            </w:tcMar>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tcPr>
          <w:p>
            <w:pPr>
              <w:spacing w:after="0"/>
              <w:jc w:val="center"/>
            </w:pPr>
            <w:r/>
            <w:r>
              <w:rPr>
                <w:rFonts w:ascii="Arial" w:hAnsi="Arial"/>
                <w:b w:val="0"/>
                <w:color w:val="404040"/>
                <w:sz w:val="15"/>
              </w:rPr>
              <w:t>0-30 days</w:t>
            </w:r>
          </w:p>
        </w:tc>
      </w:tr>
      <w:tr>
        <w:trPr>
          <w:cantSplit/>
        </w:trPr>
        <w:tc>
          <w:tcPr>
            <w:tcW w:type="dxa" w:w="576"/>
            <w:vAlign w:val="center"/>
            <w:tcMar>
              <w:top w:w="90" w:type="dxa"/>
              <w:start w:w="90" w:type="dxa"/>
              <w:bottom w:w="90" w:type="dxa"/>
              <w:end w:w="90" w:type="dxa"/>
            </w:tcMar>
            <w:shd w:fill="F7FAFC"/>
          </w:tcPr>
          <w:p>
            <w:pPr>
              <w:spacing w:after="0"/>
              <w:jc w:val="center"/>
            </w:pPr>
            <w:r/>
            <w:r>
              <w:rPr>
                <w:rFonts w:ascii="Arial" w:hAnsi="Arial"/>
                <w:b/>
                <w:color w:val="404040"/>
                <w:sz w:val="15"/>
              </w:rPr>
              <w:t>A4</w:t>
            </w:r>
          </w:p>
        </w:tc>
        <w:tc>
          <w:tcPr>
            <w:tcW w:type="dxa" w:w="4824"/>
            <w:vAlign w:val="center"/>
            <w:tcMar>
              <w:top w:w="90" w:type="dxa"/>
              <w:start w:w="90" w:type="dxa"/>
              <w:bottom w:w="90" w:type="dxa"/>
              <w:end w:w="90" w:type="dxa"/>
            </w:tcMar>
            <w:shd w:fill="F7FAFC"/>
          </w:tcPr>
          <w:p>
            <w:pPr>
              <w:spacing w:after="0"/>
              <w:jc w:val="left"/>
            </w:pPr>
            <w:r/>
            <w:r>
              <w:rPr>
                <w:rFonts w:ascii="Arial" w:hAnsi="Arial"/>
                <w:b w:val="0"/>
                <w:color w:val="404040"/>
                <w:sz w:val="15"/>
              </w:rPr>
              <w:t>Update the Incident Response Plan with incident thresholds, Mark's declaration authority, emergency decision group, delegation, broad-shutdown criteria, and return-to-service authority.</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5"/>
              </w:rPr>
              <w:t>Mark / Trevor / Leadership</w:t>
            </w:r>
          </w:p>
        </w:tc>
        <w:tc>
          <w:tcPr>
            <w:tcW w:type="dxa" w:w="1007"/>
            <w:vAlign w:val="center"/>
            <w:tcMar>
              <w:top w:w="90" w:type="dxa"/>
              <w:start w:w="90" w:type="dxa"/>
              <w:bottom w:w="90" w:type="dxa"/>
              <w:end w:w="90" w:type="dxa"/>
            </w:tcMar>
            <w:shd w:fill="F7FAFC"/>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shd w:fill="F7FAFC"/>
          </w:tcPr>
          <w:p>
            <w:pPr>
              <w:spacing w:after="0"/>
              <w:jc w:val="center"/>
            </w:pPr>
            <w:r/>
            <w:r>
              <w:rPr>
                <w:rFonts w:ascii="Arial" w:hAnsi="Arial"/>
                <w:b w:val="0"/>
                <w:color w:val="404040"/>
                <w:sz w:val="15"/>
              </w:rPr>
              <w:t>0-30 days</w:t>
            </w:r>
          </w:p>
        </w:tc>
      </w:tr>
      <w:tr>
        <w:trPr>
          <w:cantSplit/>
        </w:trPr>
        <w:tc>
          <w:tcPr>
            <w:tcW w:type="dxa" w:w="576"/>
            <w:vAlign w:val="center"/>
            <w:tcMar>
              <w:top w:w="90" w:type="dxa"/>
              <w:start w:w="90" w:type="dxa"/>
              <w:bottom w:w="90" w:type="dxa"/>
              <w:end w:w="90" w:type="dxa"/>
            </w:tcMar>
          </w:tcPr>
          <w:p>
            <w:pPr>
              <w:spacing w:after="0"/>
              <w:jc w:val="center"/>
            </w:pPr>
            <w:r/>
            <w:r>
              <w:rPr>
                <w:rFonts w:ascii="Arial" w:hAnsi="Arial"/>
                <w:b/>
                <w:color w:val="404040"/>
                <w:sz w:val="15"/>
              </w:rPr>
              <w:t>A5</w:t>
            </w:r>
          </w:p>
        </w:tc>
        <w:tc>
          <w:tcPr>
            <w:tcW w:type="dxa" w:w="4824"/>
            <w:vAlign w:val="center"/>
            <w:tcMar>
              <w:top w:w="90" w:type="dxa"/>
              <w:start w:w="90" w:type="dxa"/>
              <w:bottom w:w="90" w:type="dxa"/>
              <w:end w:w="90" w:type="dxa"/>
            </w:tcMar>
          </w:tcPr>
          <w:p>
            <w:pPr>
              <w:spacing w:after="0"/>
              <w:jc w:val="left"/>
            </w:pPr>
            <w:r/>
            <w:r>
              <w:rPr>
                <w:rFonts w:ascii="Arial" w:hAnsi="Arial"/>
                <w:b w:val="0"/>
                <w:color w:val="404040"/>
                <w:sz w:val="15"/>
              </w:rPr>
              <w:t>Document and test network containment procedures for VPN termination, tunnel shutdown, Conditional Access restriction, VLAN isolation, and full disconnection.</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5"/>
              </w:rPr>
              <w:t>I&amp;O / Network / Identity</w:t>
            </w:r>
          </w:p>
        </w:tc>
        <w:tc>
          <w:tcPr>
            <w:tcW w:type="dxa" w:w="1007"/>
            <w:vAlign w:val="center"/>
            <w:tcMar>
              <w:top w:w="90" w:type="dxa"/>
              <w:start w:w="90" w:type="dxa"/>
              <w:bottom w:w="90" w:type="dxa"/>
              <w:end w:w="90" w:type="dxa"/>
            </w:tcMar>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tcPr>
          <w:p>
            <w:pPr>
              <w:spacing w:after="0"/>
              <w:jc w:val="center"/>
            </w:pPr>
            <w:r/>
            <w:r>
              <w:rPr>
                <w:rFonts w:ascii="Arial" w:hAnsi="Arial"/>
                <w:b w:val="0"/>
                <w:color w:val="404040"/>
                <w:sz w:val="15"/>
              </w:rPr>
              <w:t>0-30 days</w:t>
            </w:r>
          </w:p>
        </w:tc>
      </w:tr>
      <w:tr>
        <w:trPr>
          <w:cantSplit/>
        </w:trPr>
        <w:tc>
          <w:tcPr>
            <w:tcW w:type="dxa" w:w="576"/>
            <w:vAlign w:val="center"/>
            <w:tcMar>
              <w:top w:w="90" w:type="dxa"/>
              <w:start w:w="90" w:type="dxa"/>
              <w:bottom w:w="90" w:type="dxa"/>
              <w:end w:w="90" w:type="dxa"/>
            </w:tcMar>
            <w:shd w:fill="F7FAFC"/>
          </w:tcPr>
          <w:p>
            <w:pPr>
              <w:spacing w:after="0"/>
              <w:jc w:val="center"/>
            </w:pPr>
            <w:r/>
            <w:r>
              <w:rPr>
                <w:rFonts w:ascii="Arial" w:hAnsi="Arial"/>
                <w:b/>
                <w:color w:val="404040"/>
                <w:sz w:val="15"/>
              </w:rPr>
              <w:t>A6</w:t>
            </w:r>
          </w:p>
        </w:tc>
        <w:tc>
          <w:tcPr>
            <w:tcW w:type="dxa" w:w="4824"/>
            <w:vAlign w:val="center"/>
            <w:tcMar>
              <w:top w:w="90" w:type="dxa"/>
              <w:start w:w="90" w:type="dxa"/>
              <w:bottom w:w="90" w:type="dxa"/>
              <w:end w:w="90" w:type="dxa"/>
            </w:tcMar>
            <w:shd w:fill="F7FAFC"/>
          </w:tcPr>
          <w:p>
            <w:pPr>
              <w:spacing w:after="0"/>
              <w:jc w:val="left"/>
            </w:pPr>
            <w:r/>
            <w:r>
              <w:rPr>
                <w:rFonts w:ascii="Arial" w:hAnsi="Arial"/>
                <w:b w:val="0"/>
                <w:color w:val="404040"/>
                <w:sz w:val="15"/>
              </w:rPr>
              <w:t>Identify, train, and test a backup for Kevin's network-level isolation responsibilities.</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5"/>
              </w:rPr>
              <w:t>I&amp;O leadership / Network</w:t>
            </w:r>
          </w:p>
        </w:tc>
        <w:tc>
          <w:tcPr>
            <w:tcW w:type="dxa" w:w="1007"/>
            <w:vAlign w:val="center"/>
            <w:tcMar>
              <w:top w:w="90" w:type="dxa"/>
              <w:start w:w="90" w:type="dxa"/>
              <w:bottom w:w="90" w:type="dxa"/>
              <w:end w:w="90" w:type="dxa"/>
            </w:tcMar>
            <w:shd w:fill="F7FAFC"/>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shd w:fill="F7FAFC"/>
          </w:tcPr>
          <w:p>
            <w:pPr>
              <w:spacing w:after="0"/>
              <w:jc w:val="center"/>
            </w:pPr>
            <w:r/>
            <w:r>
              <w:rPr>
                <w:rFonts w:ascii="Arial" w:hAnsi="Arial"/>
                <w:b w:val="0"/>
                <w:color w:val="404040"/>
                <w:sz w:val="15"/>
              </w:rPr>
              <w:t>0-30 days</w:t>
            </w:r>
          </w:p>
        </w:tc>
      </w:tr>
      <w:tr>
        <w:trPr>
          <w:cantSplit/>
        </w:trPr>
        <w:tc>
          <w:tcPr>
            <w:tcW w:type="dxa" w:w="576"/>
            <w:vAlign w:val="center"/>
            <w:tcMar>
              <w:top w:w="90" w:type="dxa"/>
              <w:start w:w="90" w:type="dxa"/>
              <w:bottom w:w="90" w:type="dxa"/>
              <w:end w:w="90" w:type="dxa"/>
            </w:tcMar>
          </w:tcPr>
          <w:p>
            <w:pPr>
              <w:spacing w:after="0"/>
              <w:jc w:val="center"/>
            </w:pPr>
            <w:r/>
            <w:r>
              <w:rPr>
                <w:rFonts w:ascii="Arial" w:hAnsi="Arial"/>
                <w:b/>
                <w:color w:val="404040"/>
                <w:sz w:val="15"/>
              </w:rPr>
              <w:t>A7</w:t>
            </w:r>
          </w:p>
        </w:tc>
        <w:tc>
          <w:tcPr>
            <w:tcW w:type="dxa" w:w="4824"/>
            <w:vAlign w:val="center"/>
            <w:tcMar>
              <w:top w:w="90" w:type="dxa"/>
              <w:start w:w="90" w:type="dxa"/>
              <w:bottom w:w="90" w:type="dxa"/>
              <w:end w:w="90" w:type="dxa"/>
            </w:tcMar>
          </w:tcPr>
          <w:p>
            <w:pPr>
              <w:spacing w:after="0"/>
              <w:jc w:val="left"/>
            </w:pPr>
            <w:r/>
            <w:r>
              <w:rPr>
                <w:rFonts w:ascii="Arial" w:hAnsi="Arial"/>
                <w:b w:val="0"/>
                <w:color w:val="404040"/>
                <w:sz w:val="15"/>
              </w:rPr>
              <w:t>Define monitoring, alert forwarding, escalation, and boundary-control responsibilities for Harmony and other Community Connect clinic environments.</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5"/>
              </w:rPr>
              <w:t>Raghav / Blessing / Geno / Infrastructure</w:t>
            </w:r>
          </w:p>
        </w:tc>
        <w:tc>
          <w:tcPr>
            <w:tcW w:type="dxa" w:w="1007"/>
            <w:vAlign w:val="center"/>
            <w:tcMar>
              <w:top w:w="90" w:type="dxa"/>
              <w:start w:w="90" w:type="dxa"/>
              <w:bottom w:w="90" w:type="dxa"/>
              <w:end w:w="90" w:type="dxa"/>
            </w:tcMar>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tcPr>
          <w:p>
            <w:pPr>
              <w:spacing w:after="0"/>
              <w:jc w:val="center"/>
            </w:pPr>
            <w:r/>
            <w:r>
              <w:rPr>
                <w:rFonts w:ascii="Arial" w:hAnsi="Arial"/>
                <w:b w:val="0"/>
                <w:color w:val="404040"/>
                <w:sz w:val="15"/>
              </w:rPr>
              <w:t>31-60 days</w:t>
            </w:r>
          </w:p>
        </w:tc>
      </w:tr>
      <w:tr>
        <w:trPr>
          <w:cantSplit/>
        </w:trPr>
        <w:tc>
          <w:tcPr>
            <w:tcW w:type="dxa" w:w="576"/>
            <w:vAlign w:val="center"/>
            <w:tcMar>
              <w:top w:w="90" w:type="dxa"/>
              <w:start w:w="90" w:type="dxa"/>
              <w:bottom w:w="90" w:type="dxa"/>
              <w:end w:w="90" w:type="dxa"/>
            </w:tcMar>
            <w:shd w:fill="F7FAFC"/>
          </w:tcPr>
          <w:p>
            <w:pPr>
              <w:spacing w:after="0"/>
              <w:jc w:val="center"/>
            </w:pPr>
            <w:r/>
            <w:r>
              <w:rPr>
                <w:rFonts w:ascii="Arial" w:hAnsi="Arial"/>
                <w:b/>
                <w:color w:val="404040"/>
                <w:sz w:val="15"/>
              </w:rPr>
              <w:t>A8</w:t>
            </w:r>
          </w:p>
        </w:tc>
        <w:tc>
          <w:tcPr>
            <w:tcW w:type="dxa" w:w="4824"/>
            <w:vAlign w:val="center"/>
            <w:tcMar>
              <w:top w:w="90" w:type="dxa"/>
              <w:start w:w="90" w:type="dxa"/>
              <w:bottom w:w="90" w:type="dxa"/>
              <w:end w:w="90" w:type="dxa"/>
            </w:tcMar>
            <w:shd w:fill="F7FAFC"/>
          </w:tcPr>
          <w:p>
            <w:pPr>
              <w:spacing w:after="0"/>
              <w:jc w:val="left"/>
            </w:pPr>
            <w:r/>
            <w:r>
              <w:rPr>
                <w:rFonts w:ascii="Arial" w:hAnsi="Arial"/>
                <w:b w:val="0"/>
                <w:color w:val="404040"/>
                <w:sz w:val="15"/>
              </w:rPr>
              <w:t>Validate patient-data backup isolation, last successful restore, recovery-time expectations, restoration approval, and application recovery sequence.</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5"/>
              </w:rPr>
              <w:t>Infrastructure / Application owners</w:t>
            </w:r>
          </w:p>
        </w:tc>
        <w:tc>
          <w:tcPr>
            <w:tcW w:type="dxa" w:w="1007"/>
            <w:vAlign w:val="center"/>
            <w:tcMar>
              <w:top w:w="90" w:type="dxa"/>
              <w:start w:w="90" w:type="dxa"/>
              <w:bottom w:w="90" w:type="dxa"/>
              <w:end w:w="90" w:type="dxa"/>
            </w:tcMar>
            <w:shd w:fill="F7FAFC"/>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shd w:fill="F7FAFC"/>
          </w:tcPr>
          <w:p>
            <w:pPr>
              <w:spacing w:after="0"/>
              <w:jc w:val="center"/>
            </w:pPr>
            <w:r/>
            <w:r>
              <w:rPr>
                <w:rFonts w:ascii="Arial" w:hAnsi="Arial"/>
                <w:b w:val="0"/>
                <w:color w:val="404040"/>
                <w:sz w:val="15"/>
              </w:rPr>
              <w:t>31-60 days</w:t>
            </w:r>
          </w:p>
        </w:tc>
      </w:tr>
      <w:tr>
        <w:trPr>
          <w:cantSplit/>
        </w:trPr>
        <w:tc>
          <w:tcPr>
            <w:tcW w:type="dxa" w:w="576"/>
            <w:vAlign w:val="center"/>
            <w:tcMar>
              <w:top w:w="90" w:type="dxa"/>
              <w:start w:w="90" w:type="dxa"/>
              <w:bottom w:w="90" w:type="dxa"/>
              <w:end w:w="90" w:type="dxa"/>
            </w:tcMar>
          </w:tcPr>
          <w:p>
            <w:pPr>
              <w:spacing w:after="0"/>
              <w:jc w:val="center"/>
            </w:pPr>
            <w:r/>
            <w:r>
              <w:rPr>
                <w:rFonts w:ascii="Arial" w:hAnsi="Arial"/>
                <w:b/>
                <w:color w:val="404040"/>
                <w:sz w:val="15"/>
              </w:rPr>
              <w:t>A9</w:t>
            </w:r>
          </w:p>
        </w:tc>
        <w:tc>
          <w:tcPr>
            <w:tcW w:type="dxa" w:w="4824"/>
            <w:vAlign w:val="center"/>
            <w:tcMar>
              <w:top w:w="90" w:type="dxa"/>
              <w:start w:w="90" w:type="dxa"/>
              <w:bottom w:w="90" w:type="dxa"/>
              <w:end w:w="90" w:type="dxa"/>
            </w:tcMar>
          </w:tcPr>
          <w:p>
            <w:pPr>
              <w:spacing w:after="0"/>
              <w:jc w:val="left"/>
            </w:pPr>
            <w:r/>
            <w:r>
              <w:rPr>
                <w:rFonts w:ascii="Arial" w:hAnsi="Arial"/>
                <w:b w:val="0"/>
                <w:color w:val="404040"/>
                <w:sz w:val="15"/>
              </w:rPr>
              <w:t>Test mini-PACS operation during tunnel loss, local image caching, later synchronization, ransomware isolation, and clinic instructions.</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5"/>
              </w:rPr>
              <w:t>Imaging support / Dean / Raghav</w:t>
            </w:r>
          </w:p>
        </w:tc>
        <w:tc>
          <w:tcPr>
            <w:tcW w:type="dxa" w:w="1007"/>
            <w:vAlign w:val="center"/>
            <w:tcMar>
              <w:top w:w="90" w:type="dxa"/>
              <w:start w:w="90" w:type="dxa"/>
              <w:bottom w:w="90" w:type="dxa"/>
              <w:end w:w="90" w:type="dxa"/>
            </w:tcMar>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tcPr>
          <w:p>
            <w:pPr>
              <w:spacing w:after="0"/>
              <w:jc w:val="center"/>
            </w:pPr>
            <w:r/>
            <w:r>
              <w:rPr>
                <w:rFonts w:ascii="Arial" w:hAnsi="Arial"/>
                <w:b w:val="0"/>
                <w:color w:val="404040"/>
                <w:sz w:val="15"/>
              </w:rPr>
              <w:t>31-60 days</w:t>
            </w:r>
          </w:p>
        </w:tc>
      </w:tr>
      <w:tr>
        <w:trPr>
          <w:cantSplit/>
        </w:trPr>
        <w:tc>
          <w:tcPr>
            <w:tcW w:type="dxa" w:w="576"/>
            <w:vAlign w:val="center"/>
            <w:tcMar>
              <w:top w:w="90" w:type="dxa"/>
              <w:start w:w="90" w:type="dxa"/>
              <w:bottom w:w="90" w:type="dxa"/>
              <w:end w:w="90" w:type="dxa"/>
            </w:tcMar>
            <w:shd w:fill="F7FAFC"/>
          </w:tcPr>
          <w:p>
            <w:pPr>
              <w:spacing w:after="0"/>
              <w:jc w:val="center"/>
            </w:pPr>
            <w:r/>
            <w:r>
              <w:rPr>
                <w:rFonts w:ascii="Arial" w:hAnsi="Arial"/>
                <w:b/>
                <w:color w:val="404040"/>
                <w:sz w:val="15"/>
              </w:rPr>
              <w:t>A10</w:t>
            </w:r>
          </w:p>
        </w:tc>
        <w:tc>
          <w:tcPr>
            <w:tcW w:type="dxa" w:w="4824"/>
            <w:vAlign w:val="center"/>
            <w:tcMar>
              <w:top w:w="90" w:type="dxa"/>
              <w:start w:w="90" w:type="dxa"/>
              <w:bottom w:w="90" w:type="dxa"/>
              <w:end w:w="90" w:type="dxa"/>
            </w:tcMar>
            <w:shd w:fill="F7FAFC"/>
          </w:tcPr>
          <w:p>
            <w:pPr>
              <w:spacing w:after="0"/>
              <w:jc w:val="left"/>
            </w:pPr>
            <w:r/>
            <w:r>
              <w:rPr>
                <w:rFonts w:ascii="Arial" w:hAnsi="Arial"/>
                <w:b w:val="0"/>
                <w:color w:val="404040"/>
                <w:sz w:val="15"/>
              </w:rPr>
              <w:t>Test and document the availability and limits of Haiku, Canto, PAG, and replacement workstation paths during a widespread outage.</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5"/>
              </w:rPr>
              <w:t>Epic / Application / BCP teams</w:t>
            </w:r>
          </w:p>
        </w:tc>
        <w:tc>
          <w:tcPr>
            <w:tcW w:type="dxa" w:w="1007"/>
            <w:vAlign w:val="center"/>
            <w:tcMar>
              <w:top w:w="90" w:type="dxa"/>
              <w:start w:w="90" w:type="dxa"/>
              <w:bottom w:w="90" w:type="dxa"/>
              <w:end w:w="90" w:type="dxa"/>
            </w:tcMar>
            <w:shd w:fill="F7FAFC"/>
          </w:tcPr>
          <w:p>
            <w:pPr>
              <w:spacing w:after="0"/>
              <w:jc w:val="center"/>
            </w:pPr>
            <w:r/>
            <w:r>
              <w:rPr>
                <w:rFonts w:ascii="Arial" w:hAnsi="Arial"/>
                <w:b w:val="0"/>
                <w:color w:val="404040"/>
                <w:sz w:val="15"/>
              </w:rPr>
              <w:t>Medium</w:t>
            </w:r>
          </w:p>
        </w:tc>
        <w:tc>
          <w:tcPr>
            <w:tcW w:type="dxa" w:w="1296"/>
            <w:vAlign w:val="center"/>
            <w:tcMar>
              <w:top w:w="90" w:type="dxa"/>
              <w:start w:w="90" w:type="dxa"/>
              <w:bottom w:w="90" w:type="dxa"/>
              <w:end w:w="90" w:type="dxa"/>
            </w:tcMar>
            <w:shd w:fill="F7FAFC"/>
          </w:tcPr>
          <w:p>
            <w:pPr>
              <w:spacing w:after="0"/>
              <w:jc w:val="center"/>
            </w:pPr>
            <w:r/>
            <w:r>
              <w:rPr>
                <w:rFonts w:ascii="Arial" w:hAnsi="Arial"/>
                <w:b w:val="0"/>
                <w:color w:val="404040"/>
                <w:sz w:val="15"/>
              </w:rPr>
              <w:t>31-60 days</w:t>
            </w:r>
          </w:p>
        </w:tc>
      </w:tr>
      <w:tr>
        <w:trPr>
          <w:cantSplit/>
        </w:trPr>
        <w:tc>
          <w:tcPr>
            <w:tcW w:type="dxa" w:w="576"/>
            <w:vAlign w:val="center"/>
            <w:tcMar>
              <w:top w:w="90" w:type="dxa"/>
              <w:start w:w="90" w:type="dxa"/>
              <w:bottom w:w="90" w:type="dxa"/>
              <w:end w:w="90" w:type="dxa"/>
            </w:tcMar>
          </w:tcPr>
          <w:p>
            <w:pPr>
              <w:spacing w:after="0"/>
              <w:jc w:val="center"/>
            </w:pPr>
            <w:r/>
            <w:r>
              <w:rPr>
                <w:rFonts w:ascii="Arial" w:hAnsi="Arial"/>
                <w:b/>
                <w:color w:val="404040"/>
                <w:sz w:val="15"/>
              </w:rPr>
              <w:t>A11</w:t>
            </w:r>
          </w:p>
        </w:tc>
        <w:tc>
          <w:tcPr>
            <w:tcW w:type="dxa" w:w="4824"/>
            <w:vAlign w:val="center"/>
            <w:tcMar>
              <w:top w:w="90" w:type="dxa"/>
              <w:start w:w="90" w:type="dxa"/>
              <w:bottom w:w="90" w:type="dxa"/>
              <w:end w:w="90" w:type="dxa"/>
            </w:tcMar>
          </w:tcPr>
          <w:p>
            <w:pPr>
              <w:spacing w:after="0"/>
              <w:jc w:val="left"/>
            </w:pPr>
            <w:r/>
            <w:r>
              <w:rPr>
                <w:rFonts w:ascii="Arial" w:hAnsi="Arial"/>
                <w:b w:val="0"/>
                <w:color w:val="404040"/>
                <w:sz w:val="15"/>
              </w:rPr>
              <w:t>Standardize clinic downtime declaration, staff and patient communication, conference-bridge activation, alternate channels, and return-to-service validation.</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5"/>
              </w:rPr>
              <w:t>BCP / Clinical Operations / Office managers</w:t>
            </w:r>
          </w:p>
        </w:tc>
        <w:tc>
          <w:tcPr>
            <w:tcW w:type="dxa" w:w="1007"/>
            <w:vAlign w:val="center"/>
            <w:tcMar>
              <w:top w:w="90" w:type="dxa"/>
              <w:start w:w="90" w:type="dxa"/>
              <w:bottom w:w="90" w:type="dxa"/>
              <w:end w:w="90" w:type="dxa"/>
            </w:tcMar>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tcPr>
          <w:p>
            <w:pPr>
              <w:spacing w:after="0"/>
              <w:jc w:val="center"/>
            </w:pPr>
            <w:r/>
            <w:r>
              <w:rPr>
                <w:rFonts w:ascii="Arial" w:hAnsi="Arial"/>
                <w:b w:val="0"/>
                <w:color w:val="404040"/>
                <w:sz w:val="15"/>
              </w:rPr>
              <w:t>31-60 days</w:t>
            </w:r>
          </w:p>
        </w:tc>
      </w:tr>
      <w:tr>
        <w:trPr>
          <w:cantSplit/>
        </w:trPr>
        <w:tc>
          <w:tcPr>
            <w:tcW w:type="dxa" w:w="576"/>
            <w:vAlign w:val="center"/>
            <w:tcMar>
              <w:top w:w="90" w:type="dxa"/>
              <w:start w:w="90" w:type="dxa"/>
              <w:bottom w:w="90" w:type="dxa"/>
              <w:end w:w="90" w:type="dxa"/>
            </w:tcMar>
            <w:shd w:fill="F7FAFC"/>
          </w:tcPr>
          <w:p>
            <w:pPr>
              <w:spacing w:after="0"/>
              <w:jc w:val="center"/>
            </w:pPr>
            <w:r/>
            <w:r>
              <w:rPr>
                <w:rFonts w:ascii="Arial" w:hAnsi="Arial"/>
                <w:b/>
                <w:color w:val="404040"/>
                <w:sz w:val="15"/>
              </w:rPr>
              <w:t>A12</w:t>
            </w:r>
          </w:p>
        </w:tc>
        <w:tc>
          <w:tcPr>
            <w:tcW w:type="dxa" w:w="4824"/>
            <w:vAlign w:val="center"/>
            <w:tcMar>
              <w:top w:w="90" w:type="dxa"/>
              <w:start w:w="90" w:type="dxa"/>
              <w:bottom w:w="90" w:type="dxa"/>
              <w:end w:w="90" w:type="dxa"/>
            </w:tcMar>
            <w:shd w:fill="F7FAFC"/>
          </w:tcPr>
          <w:p>
            <w:pPr>
              <w:spacing w:after="0"/>
              <w:jc w:val="left"/>
            </w:pPr>
            <w:r/>
            <w:r>
              <w:rPr>
                <w:rFonts w:ascii="Arial" w:hAnsi="Arial"/>
                <w:b w:val="0"/>
                <w:color w:val="404040"/>
                <w:sz w:val="15"/>
              </w:rPr>
              <w:t>Document and exercise the clinical backfill and RCM process, including charge capture, prioritization, reconciliation, staffing, and claim-deadline monitoring.</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5"/>
              </w:rPr>
              <w:t>Clinical Operations / Epic / RCM / Casey</w:t>
            </w:r>
          </w:p>
        </w:tc>
        <w:tc>
          <w:tcPr>
            <w:tcW w:type="dxa" w:w="1007"/>
            <w:vAlign w:val="center"/>
            <w:tcMar>
              <w:top w:w="90" w:type="dxa"/>
              <w:start w:w="90" w:type="dxa"/>
              <w:bottom w:w="90" w:type="dxa"/>
              <w:end w:w="90" w:type="dxa"/>
            </w:tcMar>
            <w:shd w:fill="F7FAFC"/>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shd w:fill="F7FAFC"/>
          </w:tcPr>
          <w:p>
            <w:pPr>
              <w:spacing w:after="0"/>
              <w:jc w:val="center"/>
            </w:pPr>
            <w:r/>
            <w:r>
              <w:rPr>
                <w:rFonts w:ascii="Arial" w:hAnsi="Arial"/>
                <w:b w:val="0"/>
                <w:color w:val="404040"/>
                <w:sz w:val="15"/>
              </w:rPr>
              <w:t>61-90 days</w:t>
            </w:r>
          </w:p>
        </w:tc>
      </w:tr>
      <w:tr>
        <w:trPr>
          <w:cantSplit/>
        </w:trPr>
        <w:tc>
          <w:tcPr>
            <w:tcW w:type="dxa" w:w="576"/>
            <w:vAlign w:val="center"/>
            <w:tcMar>
              <w:top w:w="90" w:type="dxa"/>
              <w:start w:w="90" w:type="dxa"/>
              <w:bottom w:w="90" w:type="dxa"/>
              <w:end w:w="90" w:type="dxa"/>
            </w:tcMar>
          </w:tcPr>
          <w:p>
            <w:pPr>
              <w:spacing w:after="0"/>
              <w:jc w:val="center"/>
            </w:pPr>
            <w:r/>
            <w:r>
              <w:rPr>
                <w:rFonts w:ascii="Arial" w:hAnsi="Arial"/>
                <w:b/>
                <w:color w:val="404040"/>
                <w:sz w:val="15"/>
              </w:rPr>
              <w:t>A13</w:t>
            </w:r>
          </w:p>
        </w:tc>
        <w:tc>
          <w:tcPr>
            <w:tcW w:type="dxa" w:w="4824"/>
            <w:vAlign w:val="center"/>
            <w:tcMar>
              <w:top w:w="90" w:type="dxa"/>
              <w:start w:w="90" w:type="dxa"/>
              <w:bottom w:w="90" w:type="dxa"/>
              <w:end w:w="90" w:type="dxa"/>
            </w:tcMar>
          </w:tcPr>
          <w:p>
            <w:pPr>
              <w:spacing w:after="0"/>
              <w:jc w:val="left"/>
            </w:pPr>
            <w:r/>
            <w:r>
              <w:rPr>
                <w:rFonts w:ascii="Arial" w:hAnsi="Arial"/>
                <w:b w:val="0"/>
                <w:color w:val="404040"/>
                <w:sz w:val="15"/>
              </w:rPr>
              <w:t>Define the realistic maximum sustainable paper-downtime period and the operational thresholds for reducing or rescheduling services.</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5"/>
              </w:rPr>
              <w:t>Clinical leadership / BCP / RCM</w:t>
            </w:r>
          </w:p>
        </w:tc>
        <w:tc>
          <w:tcPr>
            <w:tcW w:type="dxa" w:w="1007"/>
            <w:vAlign w:val="center"/>
            <w:tcMar>
              <w:top w:w="90" w:type="dxa"/>
              <w:start w:w="90" w:type="dxa"/>
              <w:bottom w:w="90" w:type="dxa"/>
              <w:end w:w="90" w:type="dxa"/>
            </w:tcMar>
          </w:tcPr>
          <w:p>
            <w:pPr>
              <w:spacing w:after="0"/>
              <w:jc w:val="center"/>
            </w:pPr>
            <w:r/>
            <w:r>
              <w:rPr>
                <w:rFonts w:ascii="Arial" w:hAnsi="Arial"/>
                <w:b w:val="0"/>
                <w:color w:val="404040"/>
                <w:sz w:val="15"/>
              </w:rPr>
              <w:t>Medium</w:t>
            </w:r>
          </w:p>
        </w:tc>
        <w:tc>
          <w:tcPr>
            <w:tcW w:type="dxa" w:w="1296"/>
            <w:vAlign w:val="center"/>
            <w:tcMar>
              <w:top w:w="90" w:type="dxa"/>
              <w:start w:w="90" w:type="dxa"/>
              <w:bottom w:w="90" w:type="dxa"/>
              <w:end w:w="90" w:type="dxa"/>
            </w:tcMar>
          </w:tcPr>
          <w:p>
            <w:pPr>
              <w:spacing w:after="0"/>
              <w:jc w:val="center"/>
            </w:pPr>
            <w:r/>
            <w:r>
              <w:rPr>
                <w:rFonts w:ascii="Arial" w:hAnsi="Arial"/>
                <w:b w:val="0"/>
                <w:color w:val="404040"/>
                <w:sz w:val="15"/>
              </w:rPr>
              <w:t>61-90 days</w:t>
            </w:r>
          </w:p>
        </w:tc>
      </w:tr>
      <w:tr>
        <w:trPr>
          <w:cantSplit/>
        </w:trPr>
        <w:tc>
          <w:tcPr>
            <w:tcW w:type="dxa" w:w="576"/>
            <w:vAlign w:val="center"/>
            <w:tcMar>
              <w:top w:w="90" w:type="dxa"/>
              <w:start w:w="90" w:type="dxa"/>
              <w:bottom w:w="90" w:type="dxa"/>
              <w:end w:w="90" w:type="dxa"/>
            </w:tcMar>
            <w:shd w:fill="F7FAFC"/>
          </w:tcPr>
          <w:p>
            <w:pPr>
              <w:spacing w:after="0"/>
              <w:jc w:val="center"/>
            </w:pPr>
            <w:r/>
            <w:r>
              <w:rPr>
                <w:rFonts w:ascii="Arial" w:hAnsi="Arial"/>
                <w:b/>
                <w:color w:val="404040"/>
                <w:sz w:val="15"/>
              </w:rPr>
              <w:t>A14</w:t>
            </w:r>
          </w:p>
        </w:tc>
        <w:tc>
          <w:tcPr>
            <w:tcW w:type="dxa" w:w="4824"/>
            <w:vAlign w:val="center"/>
            <w:tcMar>
              <w:top w:w="90" w:type="dxa"/>
              <w:start w:w="90" w:type="dxa"/>
              <w:bottom w:w="90" w:type="dxa"/>
              <w:end w:w="90" w:type="dxa"/>
            </w:tcMar>
            <w:shd w:fill="F7FAFC"/>
          </w:tcPr>
          <w:p>
            <w:pPr>
              <w:spacing w:after="0"/>
              <w:jc w:val="left"/>
            </w:pPr>
            <w:r/>
            <w:r>
              <w:rPr>
                <w:rFonts w:ascii="Arial" w:hAnsi="Arial"/>
                <w:b w:val="0"/>
                <w:color w:val="404040"/>
                <w:sz w:val="15"/>
              </w:rPr>
              <w:t>Create and maintain a dependency map covering clinics, Azure, identity, VPN/tunnels, Epic, MiPACS/mini-PACS, shared files, and recovery dependencies.</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5"/>
              </w:rPr>
              <w:t>Architecture / Infrastructure / Epic</w:t>
            </w:r>
          </w:p>
        </w:tc>
        <w:tc>
          <w:tcPr>
            <w:tcW w:type="dxa" w:w="1007"/>
            <w:vAlign w:val="center"/>
            <w:tcMar>
              <w:top w:w="90" w:type="dxa"/>
              <w:start w:w="90" w:type="dxa"/>
              <w:bottom w:w="90" w:type="dxa"/>
              <w:end w:w="90" w:type="dxa"/>
            </w:tcMar>
            <w:shd w:fill="F7FAFC"/>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shd w:fill="F7FAFC"/>
          </w:tcPr>
          <w:p>
            <w:pPr>
              <w:spacing w:after="0"/>
              <w:jc w:val="center"/>
            </w:pPr>
            <w:r/>
            <w:r>
              <w:rPr>
                <w:rFonts w:ascii="Arial" w:hAnsi="Arial"/>
                <w:b w:val="0"/>
                <w:color w:val="404040"/>
                <w:sz w:val="15"/>
              </w:rPr>
              <w:t>61-90 days</w:t>
            </w:r>
          </w:p>
        </w:tc>
      </w:tr>
      <w:tr>
        <w:trPr>
          <w:cantSplit/>
        </w:trPr>
        <w:tc>
          <w:tcPr>
            <w:tcW w:type="dxa" w:w="576"/>
            <w:vAlign w:val="center"/>
            <w:tcMar>
              <w:top w:w="90" w:type="dxa"/>
              <w:start w:w="90" w:type="dxa"/>
              <w:bottom w:w="90" w:type="dxa"/>
              <w:end w:w="90" w:type="dxa"/>
            </w:tcMar>
          </w:tcPr>
          <w:p>
            <w:pPr>
              <w:spacing w:after="0"/>
              <w:jc w:val="center"/>
            </w:pPr>
            <w:r/>
            <w:r>
              <w:rPr>
                <w:rFonts w:ascii="Arial" w:hAnsi="Arial"/>
                <w:b/>
                <w:color w:val="404040"/>
                <w:sz w:val="15"/>
              </w:rPr>
              <w:t>A15</w:t>
            </w:r>
          </w:p>
        </w:tc>
        <w:tc>
          <w:tcPr>
            <w:tcW w:type="dxa" w:w="4824"/>
            <w:vAlign w:val="center"/>
            <w:tcMar>
              <w:top w:w="90" w:type="dxa"/>
              <w:start w:w="90" w:type="dxa"/>
              <w:bottom w:w="90" w:type="dxa"/>
              <w:end w:w="90" w:type="dxa"/>
            </w:tcMar>
          </w:tcPr>
          <w:p>
            <w:pPr>
              <w:spacing w:after="0"/>
              <w:jc w:val="left"/>
            </w:pPr>
            <w:r/>
            <w:r>
              <w:rPr>
                <w:rFonts w:ascii="Arial" w:hAnsi="Arial"/>
                <w:b w:val="0"/>
                <w:color w:val="404040"/>
                <w:sz w:val="15"/>
              </w:rPr>
              <w:t>Maintain an offline emergency contact and escalation list and document activation of Privacy, Legal, Epic, and the incident-response retainer.</w:t>
            </w:r>
          </w:p>
        </w:tc>
        <w:tc>
          <w:tcPr>
            <w:tcW w:type="dxa" w:w="2376"/>
            <w:vAlign w:val="center"/>
            <w:tcMar>
              <w:top w:w="90" w:type="dxa"/>
              <w:start w:w="90" w:type="dxa"/>
              <w:bottom w:w="90" w:type="dxa"/>
              <w:end w:w="90" w:type="dxa"/>
            </w:tcMar>
          </w:tcPr>
          <w:p>
            <w:pPr>
              <w:spacing w:after="0"/>
              <w:jc w:val="left"/>
            </w:pPr>
            <w:r/>
            <w:r>
              <w:rPr>
                <w:rFonts w:ascii="Arial" w:hAnsi="Arial"/>
                <w:b w:val="0"/>
                <w:color w:val="404040"/>
                <w:sz w:val="15"/>
              </w:rPr>
              <w:t>Mark / Trevor / BCP</w:t>
            </w:r>
          </w:p>
        </w:tc>
        <w:tc>
          <w:tcPr>
            <w:tcW w:type="dxa" w:w="1007"/>
            <w:vAlign w:val="center"/>
            <w:tcMar>
              <w:top w:w="90" w:type="dxa"/>
              <w:start w:w="90" w:type="dxa"/>
              <w:bottom w:w="90" w:type="dxa"/>
              <w:end w:w="90" w:type="dxa"/>
            </w:tcMar>
          </w:tcPr>
          <w:p>
            <w:pPr>
              <w:spacing w:after="0"/>
              <w:jc w:val="center"/>
            </w:pPr>
            <w:r/>
            <w:r>
              <w:rPr>
                <w:rFonts w:ascii="Arial" w:hAnsi="Arial"/>
                <w:b w:val="0"/>
                <w:color w:val="404040"/>
                <w:sz w:val="15"/>
              </w:rPr>
              <w:t>High</w:t>
            </w:r>
          </w:p>
        </w:tc>
        <w:tc>
          <w:tcPr>
            <w:tcW w:type="dxa" w:w="1296"/>
            <w:vAlign w:val="center"/>
            <w:tcMar>
              <w:top w:w="90" w:type="dxa"/>
              <w:start w:w="90" w:type="dxa"/>
              <w:bottom w:w="90" w:type="dxa"/>
              <w:end w:w="90" w:type="dxa"/>
            </w:tcMar>
          </w:tcPr>
          <w:p>
            <w:pPr>
              <w:spacing w:after="0"/>
              <w:jc w:val="center"/>
            </w:pPr>
            <w:r/>
            <w:r>
              <w:rPr>
                <w:rFonts w:ascii="Arial" w:hAnsi="Arial"/>
                <w:b w:val="0"/>
                <w:color w:val="404040"/>
                <w:sz w:val="15"/>
              </w:rPr>
              <w:t>0-30 days</w:t>
            </w:r>
          </w:p>
        </w:tc>
      </w:tr>
      <w:tr>
        <w:trPr>
          <w:cantSplit/>
        </w:trPr>
        <w:tc>
          <w:tcPr>
            <w:tcW w:type="dxa" w:w="576"/>
            <w:vAlign w:val="center"/>
            <w:tcMar>
              <w:top w:w="90" w:type="dxa"/>
              <w:start w:w="90" w:type="dxa"/>
              <w:bottom w:w="90" w:type="dxa"/>
              <w:end w:w="90" w:type="dxa"/>
            </w:tcMar>
            <w:shd w:fill="F7FAFC"/>
          </w:tcPr>
          <w:p>
            <w:pPr>
              <w:spacing w:after="0"/>
              <w:jc w:val="center"/>
            </w:pPr>
            <w:r/>
            <w:r>
              <w:rPr>
                <w:rFonts w:ascii="Arial" w:hAnsi="Arial"/>
                <w:b/>
                <w:color w:val="404040"/>
                <w:sz w:val="15"/>
              </w:rPr>
              <w:t>A16</w:t>
            </w:r>
          </w:p>
        </w:tc>
        <w:tc>
          <w:tcPr>
            <w:tcW w:type="dxa" w:w="4824"/>
            <w:vAlign w:val="center"/>
            <w:tcMar>
              <w:top w:w="90" w:type="dxa"/>
              <w:start w:w="90" w:type="dxa"/>
              <w:bottom w:w="90" w:type="dxa"/>
              <w:end w:w="90" w:type="dxa"/>
            </w:tcMar>
            <w:shd w:fill="F7FAFC"/>
          </w:tcPr>
          <w:p>
            <w:pPr>
              <w:spacing w:after="0"/>
              <w:jc w:val="left"/>
            </w:pPr>
            <w:r/>
            <w:r>
              <w:rPr>
                <w:rFonts w:ascii="Arial" w:hAnsi="Arial"/>
                <w:b w:val="0"/>
                <w:color w:val="404040"/>
                <w:sz w:val="15"/>
              </w:rPr>
              <w:t>Formalize third-party risk and incident-response expectations for critical vendors, including notification, evidence, recovery, and validation responsibilities.</w:t>
            </w:r>
          </w:p>
        </w:tc>
        <w:tc>
          <w:tcPr>
            <w:tcW w:type="dxa" w:w="2376"/>
            <w:vAlign w:val="center"/>
            <w:tcMar>
              <w:top w:w="90" w:type="dxa"/>
              <w:start w:w="90" w:type="dxa"/>
              <w:bottom w:w="90" w:type="dxa"/>
              <w:end w:w="90" w:type="dxa"/>
            </w:tcMar>
            <w:shd w:fill="F7FAFC"/>
          </w:tcPr>
          <w:p>
            <w:pPr>
              <w:spacing w:after="0"/>
              <w:jc w:val="left"/>
            </w:pPr>
            <w:r/>
            <w:r>
              <w:rPr>
                <w:rFonts w:ascii="Arial" w:hAnsi="Arial"/>
                <w:b w:val="0"/>
                <w:color w:val="404040"/>
                <w:sz w:val="15"/>
              </w:rPr>
              <w:t>Risk / Legal / Procurement / Security</w:t>
            </w:r>
          </w:p>
        </w:tc>
        <w:tc>
          <w:tcPr>
            <w:tcW w:type="dxa" w:w="1007"/>
            <w:vAlign w:val="center"/>
            <w:tcMar>
              <w:top w:w="90" w:type="dxa"/>
              <w:start w:w="90" w:type="dxa"/>
              <w:bottom w:w="90" w:type="dxa"/>
              <w:end w:w="90" w:type="dxa"/>
            </w:tcMar>
            <w:shd w:fill="F7FAFC"/>
          </w:tcPr>
          <w:p>
            <w:pPr>
              <w:spacing w:after="0"/>
              <w:jc w:val="center"/>
            </w:pPr>
            <w:r/>
            <w:r>
              <w:rPr>
                <w:rFonts w:ascii="Arial" w:hAnsi="Arial"/>
                <w:b w:val="0"/>
                <w:color w:val="404040"/>
                <w:sz w:val="15"/>
              </w:rPr>
              <w:t>Medium</w:t>
            </w:r>
          </w:p>
        </w:tc>
        <w:tc>
          <w:tcPr>
            <w:tcW w:type="dxa" w:w="1296"/>
            <w:vAlign w:val="center"/>
            <w:tcMar>
              <w:top w:w="90" w:type="dxa"/>
              <w:start w:w="90" w:type="dxa"/>
              <w:bottom w:w="90" w:type="dxa"/>
              <w:end w:w="90" w:type="dxa"/>
            </w:tcMar>
            <w:shd w:fill="F7FAFC"/>
          </w:tcPr>
          <w:p>
            <w:pPr>
              <w:spacing w:after="0"/>
              <w:jc w:val="center"/>
            </w:pPr>
            <w:r/>
            <w:r>
              <w:rPr>
                <w:rFonts w:ascii="Arial" w:hAnsi="Arial"/>
                <w:b w:val="0"/>
                <w:color w:val="404040"/>
                <w:sz w:val="15"/>
              </w:rPr>
              <w:t>61-90 days</w:t>
            </w:r>
          </w:p>
        </w:tc>
      </w:tr>
    </w:tbl>
    <w:p>
      <w:pPr>
        <w:pStyle w:val="Heading1"/>
        <w:keepNext/>
        <w:spacing w:before="200" w:after="80"/>
      </w:pPr>
      <w:r>
        <w:rPr>
          <w:rFonts w:ascii="Arial" w:hAnsi="Arial"/>
        </w:rPr>
        <w:t>8. Epic BCP Checklist Alignment</w:t>
      </w:r>
    </w:p>
    <w:tbl>
      <w:tblPr>
        <w:tblW w:type="auto" w:w="0"/>
        <w:jc w:val="center"/>
        <w:tblLayout w:type="fixed"/>
        <w:tblLook w:firstColumn="1" w:firstRow="1" w:lastColumn="0" w:lastRow="0" w:noHBand="0" w:noVBand="1" w:val="04A0"/>
        <w:tblBorders>
          <w:top w:val="single" w:sz="4" w:space="0" w:color="A9C7C8"/>
          <w:left w:val="single" w:sz="4" w:space="0" w:color="A9C7C8"/>
          <w:bottom w:val="single" w:sz="4" w:space="0" w:color="A9C7C8"/>
          <w:right w:val="single" w:sz="4" w:space="0" w:color="A9C7C8"/>
          <w:insideH w:val="single" w:sz="4" w:space="0" w:color="A9C7C8"/>
          <w:insideV w:val="single" w:sz="4" w:space="0" w:color="A9C7C8"/>
        </w:tblBorders>
      </w:tblPr>
      <w:tblGrid>
        <w:gridCol w:w="1007"/>
        <w:gridCol w:w="2448"/>
        <w:gridCol w:w="4031"/>
        <w:gridCol w:w="2592"/>
      </w:tblGrid>
      <w:tr>
        <w:trPr>
          <w:tblHeader w:val="true"/>
          <w:cantSplit/>
        </w:trPr>
        <w:tc>
          <w:tcPr>
            <w:tcW w:type="dxa" w:w="1007"/>
            <w:vAlign w:val="center"/>
            <w:tcMar>
              <w:top w:w="90" w:type="dxa"/>
              <w:start w:w="90" w:type="dxa"/>
              <w:bottom w:w="90" w:type="dxa"/>
              <w:end w:w="90" w:type="dxa"/>
            </w:tcMar>
            <w:shd w:fill="1F6D70"/>
          </w:tcPr>
          <w:p>
            <w:pPr>
              <w:spacing w:after="0"/>
              <w:jc w:val="center"/>
            </w:pPr>
            <w:r/>
            <w:r>
              <w:rPr>
                <w:rFonts w:ascii="Arial" w:hAnsi="Arial"/>
                <w:b/>
                <w:color w:val="FFFFFF"/>
                <w:sz w:val="17"/>
              </w:rPr>
              <w:t>Epic item</w:t>
            </w:r>
          </w:p>
        </w:tc>
        <w:tc>
          <w:tcPr>
            <w:tcW w:type="dxa" w:w="2448"/>
            <w:vAlign w:val="center"/>
            <w:tcMar>
              <w:top w:w="90" w:type="dxa"/>
              <w:start w:w="90" w:type="dxa"/>
              <w:bottom w:w="90" w:type="dxa"/>
              <w:end w:w="90" w:type="dxa"/>
            </w:tcMar>
            <w:shd w:fill="1F6D70"/>
          </w:tcPr>
          <w:p>
            <w:pPr>
              <w:spacing w:after="0"/>
              <w:jc w:val="center"/>
            </w:pPr>
            <w:r/>
            <w:r>
              <w:rPr>
                <w:rFonts w:ascii="Arial" w:hAnsi="Arial"/>
                <w:b/>
                <w:color w:val="FFFFFF"/>
                <w:sz w:val="17"/>
              </w:rPr>
              <w:t>Requirement area</w:t>
            </w:r>
          </w:p>
        </w:tc>
        <w:tc>
          <w:tcPr>
            <w:tcW w:type="dxa" w:w="4031"/>
            <w:vAlign w:val="center"/>
            <w:tcMar>
              <w:top w:w="90" w:type="dxa"/>
              <w:start w:w="90" w:type="dxa"/>
              <w:bottom w:w="90" w:type="dxa"/>
              <w:end w:w="90" w:type="dxa"/>
            </w:tcMar>
            <w:shd w:fill="1F6D70"/>
          </w:tcPr>
          <w:p>
            <w:pPr>
              <w:spacing w:after="0"/>
              <w:jc w:val="center"/>
            </w:pPr>
            <w:r/>
            <w:r>
              <w:rPr>
                <w:rFonts w:ascii="Arial" w:hAnsi="Arial"/>
                <w:b/>
                <w:color w:val="FFFFFF"/>
                <w:sz w:val="17"/>
              </w:rPr>
              <w:t>Exercise evidence</w:t>
            </w:r>
          </w:p>
        </w:tc>
        <w:tc>
          <w:tcPr>
            <w:tcW w:type="dxa" w:w="2592"/>
            <w:vAlign w:val="center"/>
            <w:tcMar>
              <w:top w:w="90" w:type="dxa"/>
              <w:start w:w="90" w:type="dxa"/>
              <w:bottom w:w="90" w:type="dxa"/>
              <w:end w:w="90" w:type="dxa"/>
            </w:tcMar>
            <w:shd w:fill="1F6D70"/>
          </w:tcPr>
          <w:p>
            <w:pPr>
              <w:spacing w:after="0"/>
              <w:jc w:val="center"/>
            </w:pPr>
            <w:r/>
            <w:r>
              <w:rPr>
                <w:rFonts w:ascii="Arial" w:hAnsi="Arial"/>
                <w:b/>
                <w:color w:val="FFFFFF"/>
                <w:sz w:val="17"/>
              </w:rPr>
              <w:t>Post-exercise evidence / follow-up</w:t>
            </w:r>
          </w:p>
        </w:tc>
      </w:tr>
      <w:tr>
        <w:trPr>
          <w:cantSplit/>
        </w:trPr>
        <w:tc>
          <w:tcPr>
            <w:tcW w:type="dxa" w:w="1007"/>
            <w:vAlign w:val="center"/>
            <w:tcMar>
              <w:top w:w="90" w:type="dxa"/>
              <w:start w:w="90" w:type="dxa"/>
              <w:bottom w:w="90" w:type="dxa"/>
              <w:end w:w="90" w:type="dxa"/>
            </w:tcMar>
          </w:tcPr>
          <w:p>
            <w:pPr>
              <w:spacing w:after="0"/>
              <w:jc w:val="center"/>
            </w:pPr>
            <w:r/>
            <w:r>
              <w:rPr>
                <w:rFonts w:ascii="Arial" w:hAnsi="Arial"/>
                <w:b/>
                <w:color w:val="404040"/>
                <w:sz w:val="16"/>
              </w:rPr>
              <w:t>15.1</w:t>
            </w:r>
          </w:p>
        </w:tc>
        <w:tc>
          <w:tcPr>
            <w:tcW w:type="dxa" w:w="2448"/>
            <w:vAlign w:val="center"/>
            <w:tcMar>
              <w:top w:w="90" w:type="dxa"/>
              <w:start w:w="90" w:type="dxa"/>
              <w:bottom w:w="90" w:type="dxa"/>
              <w:end w:w="90" w:type="dxa"/>
            </w:tcMar>
          </w:tcPr>
          <w:p>
            <w:pPr>
              <w:spacing w:after="0"/>
              <w:jc w:val="left"/>
            </w:pPr>
            <w:r/>
            <w:r>
              <w:rPr>
                <w:rFonts w:ascii="Arial" w:hAnsi="Arial"/>
                <w:b w:val="0"/>
                <w:color w:val="404040"/>
                <w:sz w:val="16"/>
              </w:rPr>
              <w:t>Date of the last tabletop exercise</w:t>
            </w:r>
          </w:p>
        </w:tc>
        <w:tc>
          <w:tcPr>
            <w:tcW w:type="dxa" w:w="4031"/>
            <w:vAlign w:val="center"/>
            <w:tcMar>
              <w:top w:w="90" w:type="dxa"/>
              <w:start w:w="90" w:type="dxa"/>
              <w:bottom w:w="90" w:type="dxa"/>
              <w:end w:w="90" w:type="dxa"/>
            </w:tcMar>
          </w:tcPr>
          <w:p>
            <w:pPr>
              <w:spacing w:after="0"/>
              <w:jc w:val="left"/>
            </w:pPr>
            <w:r/>
            <w:r>
              <w:rPr>
                <w:rFonts w:ascii="Arial" w:hAnsi="Arial"/>
                <w:b w:val="0"/>
                <w:color w:val="404040"/>
                <w:sz w:val="16"/>
              </w:rPr>
              <w:t>Annual ransomware tabletop completed in July 2026 across three facilitated sessions.</w:t>
            </w:r>
          </w:p>
        </w:tc>
        <w:tc>
          <w:tcPr>
            <w:tcW w:type="dxa" w:w="2592"/>
            <w:vAlign w:val="center"/>
            <w:tcMar>
              <w:top w:w="90" w:type="dxa"/>
              <w:start w:w="90" w:type="dxa"/>
              <w:bottom w:w="90" w:type="dxa"/>
              <w:end w:w="90" w:type="dxa"/>
            </w:tcMar>
          </w:tcPr>
          <w:p>
            <w:pPr>
              <w:spacing w:after="0"/>
              <w:jc w:val="left"/>
            </w:pPr>
            <w:r/>
            <w:r>
              <w:rPr>
                <w:rFonts w:ascii="Arial" w:hAnsi="Arial"/>
                <w:b w:val="0"/>
                <w:color w:val="404040"/>
                <w:sz w:val="16"/>
              </w:rPr>
              <w:t>Retain the invitation, attendance roster, scenario material, and this after-action report as evidence.</w:t>
            </w:r>
          </w:p>
        </w:tc>
      </w:tr>
      <w:tr>
        <w:trPr>
          <w:cantSplit/>
        </w:trPr>
        <w:tc>
          <w:tcPr>
            <w:tcW w:type="dxa" w:w="1007"/>
            <w:vAlign w:val="center"/>
            <w:tcMar>
              <w:top w:w="90" w:type="dxa"/>
              <w:start w:w="90" w:type="dxa"/>
              <w:bottom w:w="90" w:type="dxa"/>
              <w:end w:w="90" w:type="dxa"/>
            </w:tcMar>
            <w:shd w:fill="F7FAFC"/>
          </w:tcPr>
          <w:p>
            <w:pPr>
              <w:spacing w:after="0"/>
              <w:jc w:val="center"/>
            </w:pPr>
            <w:r/>
            <w:r>
              <w:rPr>
                <w:rFonts w:ascii="Arial" w:hAnsi="Arial"/>
                <w:b/>
                <w:color w:val="404040"/>
                <w:sz w:val="16"/>
              </w:rPr>
              <w:t>15.2</w:t>
            </w:r>
          </w:p>
        </w:tc>
        <w:tc>
          <w:tcPr>
            <w:tcW w:type="dxa" w:w="2448"/>
            <w:vAlign w:val="center"/>
            <w:tcMar>
              <w:top w:w="90" w:type="dxa"/>
              <w:start w:w="90" w:type="dxa"/>
              <w:bottom w:w="90" w:type="dxa"/>
              <w:end w:w="90" w:type="dxa"/>
            </w:tcMar>
            <w:shd w:fill="F7FAFC"/>
          </w:tcPr>
          <w:p>
            <w:pPr>
              <w:spacing w:after="0"/>
              <w:jc w:val="left"/>
            </w:pPr>
            <w:r/>
            <w:r>
              <w:rPr>
                <w:rFonts w:ascii="Arial" w:hAnsi="Arial"/>
                <w:b w:val="0"/>
                <w:color w:val="404040"/>
                <w:sz w:val="16"/>
              </w:rPr>
              <w:t>Critical clinical data recovery operational stakeholders</w:t>
            </w:r>
          </w:p>
        </w:tc>
        <w:tc>
          <w:tcPr>
            <w:tcW w:type="dxa" w:w="4031"/>
            <w:vAlign w:val="center"/>
            <w:tcMar>
              <w:top w:w="90" w:type="dxa"/>
              <w:start w:w="90" w:type="dxa"/>
              <w:bottom w:w="90" w:type="dxa"/>
              <w:end w:w="90" w:type="dxa"/>
            </w:tcMar>
            <w:shd w:fill="F7FAFC"/>
          </w:tcPr>
          <w:p>
            <w:pPr>
              <w:spacing w:after="0"/>
              <w:jc w:val="left"/>
            </w:pPr>
            <w:r/>
            <w:r>
              <w:rPr>
                <w:rFonts w:ascii="Arial" w:hAnsi="Arial"/>
                <w:b w:val="0"/>
                <w:color w:val="404040"/>
                <w:sz w:val="16"/>
              </w:rPr>
              <w:t>The exercise addressed clinical downtime, access to patient history, imaging continuity, PAG, paper documentation, patient-data backups, backfill, RCM, clinic management, Epic involvement, Privacy, Legal, and leadership decision-making.</w:t>
            </w:r>
          </w:p>
        </w:tc>
        <w:tc>
          <w:tcPr>
            <w:tcW w:type="dxa" w:w="2592"/>
            <w:vAlign w:val="center"/>
            <w:tcMar>
              <w:top w:w="90" w:type="dxa"/>
              <w:start w:w="90" w:type="dxa"/>
              <w:bottom w:w="90" w:type="dxa"/>
              <w:end w:w="90" w:type="dxa"/>
            </w:tcMar>
            <w:shd w:fill="F7FAFC"/>
          </w:tcPr>
          <w:p>
            <w:pPr>
              <w:spacing w:after="0"/>
              <w:jc w:val="left"/>
            </w:pPr>
            <w:r/>
            <w:r>
              <w:rPr>
                <w:rFonts w:ascii="Arial" w:hAnsi="Arial"/>
                <w:b w:val="0"/>
                <w:color w:val="404040"/>
                <w:sz w:val="16"/>
              </w:rPr>
              <w:t>Attach the final attendee roster and identify the clinical operations/medical stakeholder required by Epic.</w:t>
            </w:r>
          </w:p>
        </w:tc>
      </w:tr>
      <w:tr>
        <w:trPr>
          <w:cantSplit/>
        </w:trPr>
        <w:tc>
          <w:tcPr>
            <w:tcW w:type="dxa" w:w="1007"/>
            <w:vAlign w:val="center"/>
            <w:tcMar>
              <w:top w:w="90" w:type="dxa"/>
              <w:start w:w="90" w:type="dxa"/>
              <w:bottom w:w="90" w:type="dxa"/>
              <w:end w:w="90" w:type="dxa"/>
            </w:tcMar>
          </w:tcPr>
          <w:p>
            <w:pPr>
              <w:spacing w:after="0"/>
              <w:jc w:val="center"/>
            </w:pPr>
            <w:r/>
            <w:r>
              <w:rPr>
                <w:rFonts w:ascii="Arial" w:hAnsi="Arial"/>
                <w:b/>
                <w:color w:val="404040"/>
                <w:sz w:val="16"/>
              </w:rPr>
              <w:t>15.3</w:t>
            </w:r>
          </w:p>
        </w:tc>
        <w:tc>
          <w:tcPr>
            <w:tcW w:type="dxa" w:w="2448"/>
            <w:vAlign w:val="center"/>
            <w:tcMar>
              <w:top w:w="90" w:type="dxa"/>
              <w:start w:w="90" w:type="dxa"/>
              <w:bottom w:w="90" w:type="dxa"/>
              <w:end w:w="90" w:type="dxa"/>
            </w:tcMar>
          </w:tcPr>
          <w:p>
            <w:pPr>
              <w:spacing w:after="0"/>
              <w:jc w:val="left"/>
            </w:pPr>
            <w:r/>
            <w:r>
              <w:rPr>
                <w:rFonts w:ascii="Arial" w:hAnsi="Arial"/>
                <w:b w:val="0"/>
                <w:color w:val="404040"/>
                <w:sz w:val="16"/>
              </w:rPr>
              <w:t>Procedures updated after the tabletop</w:t>
            </w:r>
          </w:p>
        </w:tc>
        <w:tc>
          <w:tcPr>
            <w:tcW w:type="dxa" w:w="4031"/>
            <w:vAlign w:val="center"/>
            <w:tcMar>
              <w:top w:w="90" w:type="dxa"/>
              <w:start w:w="90" w:type="dxa"/>
              <w:bottom w:w="90" w:type="dxa"/>
              <w:end w:w="90" w:type="dxa"/>
            </w:tcMar>
          </w:tcPr>
          <w:p>
            <w:pPr>
              <w:spacing w:after="0"/>
              <w:jc w:val="left"/>
            </w:pPr>
            <w:r/>
            <w:r>
              <w:rPr>
                <w:rFonts w:ascii="Arial" w:hAnsi="Arial"/>
                <w:b w:val="0"/>
                <w:color w:val="404040"/>
                <w:sz w:val="16"/>
              </w:rPr>
              <w:t>The exercise produced a consolidated corrective action plan covering incident response, downtime activation, network containment, clinical backfill, communications, recovery, and dependency mapping.</w:t>
            </w:r>
          </w:p>
        </w:tc>
        <w:tc>
          <w:tcPr>
            <w:tcW w:type="dxa" w:w="2592"/>
            <w:vAlign w:val="center"/>
            <w:tcMar>
              <w:top w:w="90" w:type="dxa"/>
              <w:start w:w="90" w:type="dxa"/>
              <w:bottom w:w="90" w:type="dxa"/>
              <w:end w:w="90" w:type="dxa"/>
            </w:tcMar>
          </w:tcPr>
          <w:p>
            <w:pPr>
              <w:spacing w:after="0"/>
              <w:jc w:val="left"/>
            </w:pPr>
            <w:r/>
            <w:r>
              <w:rPr>
                <w:rFonts w:ascii="Arial" w:hAnsi="Arial"/>
                <w:b w:val="0"/>
                <w:color w:val="404040"/>
                <w:sz w:val="16"/>
              </w:rPr>
              <w:t>Record completion evidence for each action and approve updated procedures following the August retrospective.</w:t>
            </w:r>
          </w:p>
        </w:tc>
      </w:tr>
    </w:tbl>
    <w:tbl>
      <w:tblPr>
        <w:tblW w:type="auto" w:w="0"/>
        <w:jc w:val="center"/>
        <w:tblLook w:firstColumn="1" w:firstRow="1" w:lastColumn="0" w:lastRow="0" w:noHBand="0" w:noVBand="1" w:val="04A0"/>
        <w:tblBorders>
          <w:top w:val="single" w:sz="6" w:space="0" w:color="BF9000"/>
          <w:left w:val="single" w:sz="6" w:space="0" w:color="BF9000"/>
          <w:bottom w:val="single" w:sz="6" w:space="0" w:color="BF9000"/>
          <w:right w:val="single" w:sz="6" w:space="0" w:color="BF9000"/>
          <w:insideH w:val="single" w:sz="6" w:space="0" w:color="BF9000"/>
          <w:insideV w:val="single" w:sz="6" w:space="0" w:color="BF9000"/>
        </w:tblBorders>
      </w:tblPr>
      <w:tblGrid>
        <w:gridCol w:w="10080"/>
      </w:tblGrid>
      <w:tr>
        <w:tc>
          <w:tcPr>
            <w:tcW w:type="dxa" w:w="10080"/>
            <w:shd w:fill="FFF2CC"/>
            <w:tcMar>
              <w:top w:w="120" w:type="dxa"/>
              <w:start w:w="140" w:type="dxa"/>
              <w:bottom w:w="120" w:type="dxa"/>
              <w:end w:w="140" w:type="dxa"/>
            </w:tcMar>
          </w:tcPr>
          <w:p>
            <w:pPr>
              <w:spacing w:after="40"/>
            </w:pPr>
            <w:r>
              <w:rPr>
                <w:rFonts w:ascii="Arial" w:hAnsi="Arial"/>
                <w:b/>
                <w:color w:val="17365D"/>
                <w:sz w:val="20"/>
              </w:rPr>
              <w:t>Evidence note for Epic</w:t>
            </w:r>
          </w:p>
          <w:p>
            <w:pPr>
              <w:spacing w:after="0"/>
            </w:pPr>
            <w:r>
              <w:rPr>
                <w:rFonts w:ascii="Arial" w:hAnsi="Arial"/>
                <w:color w:val="404040"/>
                <w:sz w:val="19"/>
              </w:rPr>
              <w:t>Before final submission, attach or retain the calendar invitation, attendance roster, facilitator scenario/questions, and approved action-item tracker. The attendee roster should clearly identify the clinical operations participant and medical credential required by the Epic checklist.</w:t>
            </w:r>
          </w:p>
        </w:tc>
      </w:tr>
    </w:tbl>
    <w:p>
      <w:pPr>
        <w:spacing w:after="0"/>
      </w:pPr>
    </w:p>
    <w:p>
      <w:pPr>
        <w:pStyle w:val="Heading1"/>
        <w:keepNext/>
        <w:spacing w:before="200" w:after="80"/>
      </w:pPr>
      <w:r>
        <w:rPr>
          <w:rFonts w:ascii="Arial" w:hAnsi="Arial"/>
        </w:rPr>
        <w:t>9. Conclusion and Next Steps</w:t>
      </w:r>
    </w:p>
    <w:p>
      <w:pPr>
        <w:pStyle w:val="BodyText"/>
        <w:spacing w:after="100" w:line="259" w:lineRule="auto"/>
      </w:pPr>
      <w:r>
        <w:rPr>
          <w:rFonts w:ascii="Arial" w:hAnsi="Arial"/>
        </w:rPr>
        <w:t>The tabletop successfully tested the progression from a suspicious email to a widespread ransomware and cloud-service outage. Emerge demonstrated a shared understanding of the need for immediate containment, escalation, clinical downtime activation, and protection of patient care. The team also identified meaningful continuity capabilities, including PAG, paper workflows, local image caching, backups, network isolation, and cross-functional escalation.</w:t>
      </w:r>
    </w:p>
    <w:p>
      <w:pPr>
        <w:pStyle w:val="BodyText"/>
        <w:spacing w:after="100" w:line="259" w:lineRule="auto"/>
      </w:pPr>
      <w:r>
        <w:rPr>
          <w:rFonts w:ascii="Arial" w:hAnsi="Arial"/>
        </w:rPr>
        <w:t>Trevor Lawrence will schedule a retrospective or lessons-learned meeting, expected in August 2026. Participants were asked to provide three to five takeaways covering what went well and what should improve. During the retrospective, the team should validate the action owners and due dates, approve the updates required for the Incident Response Plan and BCP procedures, and determine which technical and clinical tests must be completed before the next annual exercise.</w:t>
      </w:r>
    </w:p>
    <w:p>
      <w:pPr>
        <w:pStyle w:val="Heading1"/>
        <w:keepNext/>
        <w:spacing w:before="200" w:after="80"/>
      </w:pPr>
      <w:r>
        <w:rPr>
          <w:rFonts w:ascii="Arial" w:hAnsi="Arial"/>
        </w:rPr>
        <w:t>Appendix A - Key Roles Identified During the Exercise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736"/>
        <w:gridCol w:w="2592"/>
        <w:gridCol w:w="4752"/>
      </w:tblGrid>
      <w:tr>
        <w:trPr>
          <w:tblHeader w:val="true"/>
          <w:cantSplit/>
        </w:trPr>
        <w:tc>
          <w:tcPr>
            <w:tcW w:type="dxa" w:w="2736"/>
            <w:vAlign w:val="center"/>
            <w:tcMar>
              <w:top w:w="90" w:type="dxa"/>
              <w:start w:w="90" w:type="dxa"/>
              <w:bottom w:w="90" w:type="dxa"/>
              <w:end w:w="90" w:type="dxa"/>
            </w:tcMar>
            <w:shd w:fill="17365D"/>
          </w:tcPr>
          <w:p>
            <w:pPr>
              <w:spacing w:after="0"/>
              <w:jc w:val="center"/>
            </w:pPr>
            <w:r/>
            <w:r>
              <w:rPr>
                <w:rFonts w:ascii="Arial" w:hAnsi="Arial"/>
                <w:b/>
                <w:color w:val="FFFFFF"/>
                <w:sz w:val="17"/>
              </w:rPr>
              <w:t>Role / function</w:t>
            </w:r>
          </w:p>
        </w:tc>
        <w:tc>
          <w:tcPr>
            <w:tcW w:type="dxa" w:w="2592"/>
            <w:vAlign w:val="center"/>
            <w:tcMar>
              <w:top w:w="90" w:type="dxa"/>
              <w:start w:w="90" w:type="dxa"/>
              <w:bottom w:w="90" w:type="dxa"/>
              <w:end w:w="90" w:type="dxa"/>
            </w:tcMar>
            <w:shd w:fill="17365D"/>
          </w:tcPr>
          <w:p>
            <w:pPr>
              <w:spacing w:after="0"/>
              <w:jc w:val="center"/>
            </w:pPr>
            <w:r/>
            <w:r>
              <w:rPr>
                <w:rFonts w:ascii="Arial" w:hAnsi="Arial"/>
                <w:b/>
                <w:color w:val="FFFFFF"/>
                <w:sz w:val="17"/>
              </w:rPr>
              <w:t>Person or team identified</w:t>
            </w:r>
          </w:p>
        </w:tc>
        <w:tc>
          <w:tcPr>
            <w:tcW w:type="dxa" w:w="4752"/>
            <w:vAlign w:val="center"/>
            <w:tcMar>
              <w:top w:w="90" w:type="dxa"/>
              <w:start w:w="90" w:type="dxa"/>
              <w:bottom w:w="90" w:type="dxa"/>
              <w:end w:w="90" w:type="dxa"/>
            </w:tcMar>
            <w:shd w:fill="17365D"/>
          </w:tcPr>
          <w:p>
            <w:pPr>
              <w:spacing w:after="0"/>
              <w:jc w:val="center"/>
            </w:pPr>
            <w:r/>
            <w:r>
              <w:rPr>
                <w:rFonts w:ascii="Arial" w:hAnsi="Arial"/>
                <w:b/>
                <w:color w:val="FFFFFF"/>
                <w:sz w:val="17"/>
              </w:rPr>
              <w:t>Exercise responsibility</w:t>
            </w:r>
          </w:p>
        </w:tc>
      </w:tr>
      <w:tr>
        <w:trPr>
          <w:cantSplit/>
        </w:trPr>
        <w:tc>
          <w:tcPr>
            <w:tcW w:type="dxa" w:w="2736"/>
            <w:vAlign w:val="center"/>
            <w:tcMar>
              <w:top w:w="90" w:type="dxa"/>
              <w:start w:w="90" w:type="dxa"/>
              <w:bottom w:w="90" w:type="dxa"/>
              <w:end w:w="90" w:type="dxa"/>
            </w:tcMar>
          </w:tcPr>
          <w:p>
            <w:pPr>
              <w:spacing w:after="0"/>
              <w:jc w:val="left"/>
            </w:pPr>
            <w:r/>
            <w:r>
              <w:rPr>
                <w:rFonts w:ascii="Arial" w:hAnsi="Arial"/>
                <w:b w:val="0"/>
                <w:color w:val="404040"/>
                <w:sz w:val="16"/>
              </w:rPr>
              <w:t>Incident declaration</w:t>
            </w:r>
          </w:p>
        </w:tc>
        <w:tc>
          <w:tcPr>
            <w:tcW w:type="dxa" w:w="2592"/>
            <w:vAlign w:val="center"/>
            <w:tcMar>
              <w:top w:w="90" w:type="dxa"/>
              <w:start w:w="90" w:type="dxa"/>
              <w:bottom w:w="90" w:type="dxa"/>
              <w:end w:w="90" w:type="dxa"/>
            </w:tcMar>
          </w:tcPr>
          <w:p>
            <w:pPr>
              <w:spacing w:after="0"/>
              <w:jc w:val="left"/>
            </w:pPr>
            <w:r/>
            <w:r>
              <w:rPr>
                <w:rFonts w:ascii="Arial" w:hAnsi="Arial"/>
                <w:b w:val="0"/>
                <w:color w:val="404040"/>
                <w:sz w:val="16"/>
              </w:rPr>
              <w:t>Mark Thacker</w:t>
            </w:r>
          </w:p>
        </w:tc>
        <w:tc>
          <w:tcPr>
            <w:tcW w:type="dxa" w:w="4752"/>
            <w:vAlign w:val="center"/>
            <w:tcMar>
              <w:top w:w="90" w:type="dxa"/>
              <w:start w:w="90" w:type="dxa"/>
              <w:bottom w:w="90" w:type="dxa"/>
              <w:end w:w="90" w:type="dxa"/>
            </w:tcMar>
          </w:tcPr>
          <w:p>
            <w:pPr>
              <w:spacing w:after="0"/>
              <w:jc w:val="left"/>
            </w:pPr>
            <w:r/>
            <w:r>
              <w:rPr>
                <w:rFonts w:ascii="Arial" w:hAnsi="Arial"/>
                <w:b w:val="0"/>
                <w:color w:val="404040"/>
                <w:sz w:val="16"/>
              </w:rPr>
              <w:t>Formally declares the incident and initiates leadership escalation.</w:t>
            </w:r>
          </w:p>
        </w:tc>
      </w:tr>
      <w:tr>
        <w:trPr>
          <w:cantSplit/>
        </w:trPr>
        <w:tc>
          <w:tcPr>
            <w:tcW w:type="dxa" w:w="2736"/>
            <w:vAlign w:val="center"/>
            <w:tcMar>
              <w:top w:w="90" w:type="dxa"/>
              <w:start w:w="90" w:type="dxa"/>
              <w:bottom w:w="90" w:type="dxa"/>
              <w:end w:w="90" w:type="dxa"/>
            </w:tcMar>
            <w:shd w:fill="F7FAFC"/>
          </w:tcPr>
          <w:p>
            <w:pPr>
              <w:spacing w:after="0"/>
              <w:jc w:val="left"/>
            </w:pPr>
            <w:r/>
            <w:r>
              <w:rPr>
                <w:rFonts w:ascii="Arial" w:hAnsi="Arial"/>
                <w:b w:val="0"/>
                <w:color w:val="404040"/>
                <w:sz w:val="16"/>
              </w:rPr>
              <w:t>Incident response / security coordination</w:t>
            </w:r>
          </w:p>
        </w:tc>
        <w:tc>
          <w:tcPr>
            <w:tcW w:type="dxa" w:w="2592"/>
            <w:vAlign w:val="center"/>
            <w:tcMar>
              <w:top w:w="90" w:type="dxa"/>
              <w:start w:w="90" w:type="dxa"/>
              <w:bottom w:w="90" w:type="dxa"/>
              <w:end w:w="90" w:type="dxa"/>
            </w:tcMar>
            <w:shd w:fill="F7FAFC"/>
          </w:tcPr>
          <w:p>
            <w:pPr>
              <w:spacing w:after="0"/>
              <w:jc w:val="left"/>
            </w:pPr>
            <w:r/>
            <w:r>
              <w:rPr>
                <w:rFonts w:ascii="Arial" w:hAnsi="Arial"/>
                <w:b w:val="0"/>
                <w:color w:val="404040"/>
                <w:sz w:val="16"/>
              </w:rPr>
              <w:t>Trevor Lawrence</w:t>
            </w:r>
          </w:p>
        </w:tc>
        <w:tc>
          <w:tcPr>
            <w:tcW w:type="dxa" w:w="4752"/>
            <w:vAlign w:val="center"/>
            <w:tcMar>
              <w:top w:w="90" w:type="dxa"/>
              <w:start w:w="90" w:type="dxa"/>
              <w:bottom w:w="90" w:type="dxa"/>
              <w:end w:w="90" w:type="dxa"/>
            </w:tcMar>
            <w:shd w:fill="F7FAFC"/>
          </w:tcPr>
          <w:p>
            <w:pPr>
              <w:spacing w:after="0"/>
              <w:jc w:val="left"/>
            </w:pPr>
            <w:r/>
            <w:r>
              <w:rPr>
                <w:rFonts w:ascii="Arial" w:hAnsi="Arial"/>
                <w:b w:val="0"/>
                <w:color w:val="404040"/>
                <w:sz w:val="16"/>
              </w:rPr>
              <w:t>Supports classification, response planning, full IR plan activation, and retrospective coordination.</w:t>
            </w:r>
          </w:p>
        </w:tc>
      </w:tr>
      <w:tr>
        <w:trPr>
          <w:cantSplit/>
        </w:trPr>
        <w:tc>
          <w:tcPr>
            <w:tcW w:type="dxa" w:w="2736"/>
            <w:vAlign w:val="center"/>
            <w:tcMar>
              <w:top w:w="90" w:type="dxa"/>
              <w:start w:w="90" w:type="dxa"/>
              <w:bottom w:w="90" w:type="dxa"/>
              <w:end w:w="90" w:type="dxa"/>
            </w:tcMar>
          </w:tcPr>
          <w:p>
            <w:pPr>
              <w:spacing w:after="0"/>
              <w:jc w:val="left"/>
            </w:pPr>
            <w:r/>
            <w:r>
              <w:rPr>
                <w:rFonts w:ascii="Arial" w:hAnsi="Arial"/>
                <w:b w:val="0"/>
                <w:color w:val="404040"/>
                <w:sz w:val="16"/>
              </w:rPr>
              <w:t>Endpoint triage</w:t>
            </w:r>
          </w:p>
        </w:tc>
        <w:tc>
          <w:tcPr>
            <w:tcW w:type="dxa" w:w="2592"/>
            <w:vAlign w:val="center"/>
            <w:tcMar>
              <w:top w:w="90" w:type="dxa"/>
              <w:start w:w="90" w:type="dxa"/>
              <w:bottom w:w="90" w:type="dxa"/>
              <w:end w:w="90" w:type="dxa"/>
            </w:tcMar>
          </w:tcPr>
          <w:p>
            <w:pPr>
              <w:spacing w:after="0"/>
              <w:jc w:val="left"/>
            </w:pPr>
            <w:r/>
            <w:r>
              <w:rPr>
                <w:rFonts w:ascii="Arial" w:hAnsi="Arial"/>
                <w:b w:val="0"/>
                <w:color w:val="404040"/>
                <w:sz w:val="16"/>
              </w:rPr>
              <w:t>David Pye with Trevor as needed</w:t>
            </w:r>
          </w:p>
        </w:tc>
        <w:tc>
          <w:tcPr>
            <w:tcW w:type="dxa" w:w="4752"/>
            <w:vAlign w:val="center"/>
            <w:tcMar>
              <w:top w:w="90" w:type="dxa"/>
              <w:start w:w="90" w:type="dxa"/>
              <w:bottom w:w="90" w:type="dxa"/>
              <w:end w:w="90" w:type="dxa"/>
            </w:tcMar>
          </w:tcPr>
          <w:p>
            <w:pPr>
              <w:spacing w:after="0"/>
              <w:jc w:val="left"/>
            </w:pPr>
            <w:r/>
            <w:r>
              <w:rPr>
                <w:rFonts w:ascii="Arial" w:hAnsi="Arial"/>
                <w:b w:val="0"/>
                <w:color w:val="404040"/>
                <w:sz w:val="16"/>
              </w:rPr>
              <w:t>Reviews the affected workstation, telemetry, Defender events, and immediate containment or rebuild needs.</w:t>
            </w:r>
          </w:p>
        </w:tc>
      </w:tr>
      <w:tr>
        <w:trPr>
          <w:cantSplit/>
        </w:trPr>
        <w:tc>
          <w:tcPr>
            <w:tcW w:type="dxa" w:w="2736"/>
            <w:vAlign w:val="center"/>
            <w:tcMar>
              <w:top w:w="90" w:type="dxa"/>
              <w:start w:w="90" w:type="dxa"/>
              <w:bottom w:w="90" w:type="dxa"/>
              <w:end w:w="90" w:type="dxa"/>
            </w:tcMar>
            <w:shd w:fill="F7FAFC"/>
          </w:tcPr>
          <w:p>
            <w:pPr>
              <w:spacing w:after="0"/>
              <w:jc w:val="left"/>
            </w:pPr>
            <w:r/>
            <w:r>
              <w:rPr>
                <w:rFonts w:ascii="Arial" w:hAnsi="Arial"/>
                <w:b w:val="0"/>
                <w:color w:val="404040"/>
                <w:sz w:val="16"/>
              </w:rPr>
              <w:t>Major containment decision group</w:t>
            </w:r>
          </w:p>
        </w:tc>
        <w:tc>
          <w:tcPr>
            <w:tcW w:type="dxa" w:w="2592"/>
            <w:vAlign w:val="center"/>
            <w:tcMar>
              <w:top w:w="90" w:type="dxa"/>
              <w:start w:w="90" w:type="dxa"/>
              <w:bottom w:w="90" w:type="dxa"/>
              <w:end w:w="90" w:type="dxa"/>
            </w:tcMar>
            <w:shd w:fill="F7FAFC"/>
          </w:tcPr>
          <w:p>
            <w:pPr>
              <w:spacing w:after="0"/>
              <w:jc w:val="left"/>
            </w:pPr>
            <w:r/>
            <w:r>
              <w:rPr>
                <w:rFonts w:ascii="Arial" w:hAnsi="Arial"/>
                <w:b w:val="0"/>
                <w:color w:val="404040"/>
                <w:sz w:val="16"/>
              </w:rPr>
              <w:t>Mark, Dean, Ankur, and Sridhar</w:t>
            </w:r>
          </w:p>
        </w:tc>
        <w:tc>
          <w:tcPr>
            <w:tcW w:type="dxa" w:w="4752"/>
            <w:vAlign w:val="center"/>
            <w:tcMar>
              <w:top w:w="90" w:type="dxa"/>
              <w:start w:w="90" w:type="dxa"/>
              <w:bottom w:w="90" w:type="dxa"/>
              <w:end w:w="90" w:type="dxa"/>
            </w:tcMar>
            <w:shd w:fill="F7FAFC"/>
          </w:tcPr>
          <w:p>
            <w:pPr>
              <w:spacing w:after="0"/>
              <w:jc w:val="left"/>
            </w:pPr>
            <w:r/>
            <w:r>
              <w:rPr>
                <w:rFonts w:ascii="Arial" w:hAnsi="Arial"/>
                <w:b w:val="0"/>
                <w:color w:val="404040"/>
                <w:sz w:val="16"/>
              </w:rPr>
              <w:t>Makes broad shutdown or isolation decisions; an available subset may act when the threat is imminent.</w:t>
            </w:r>
          </w:p>
        </w:tc>
      </w:tr>
      <w:tr>
        <w:trPr>
          <w:cantSplit/>
        </w:trPr>
        <w:tc>
          <w:tcPr>
            <w:tcW w:type="dxa" w:w="2736"/>
            <w:vAlign w:val="center"/>
            <w:tcMar>
              <w:top w:w="90" w:type="dxa"/>
              <w:start w:w="90" w:type="dxa"/>
              <w:bottom w:w="90" w:type="dxa"/>
              <w:end w:w="90" w:type="dxa"/>
            </w:tcMar>
          </w:tcPr>
          <w:p>
            <w:pPr>
              <w:spacing w:after="0"/>
              <w:jc w:val="left"/>
            </w:pPr>
            <w:r/>
            <w:r>
              <w:rPr>
                <w:rFonts w:ascii="Arial" w:hAnsi="Arial"/>
                <w:b w:val="0"/>
                <w:color w:val="404040"/>
                <w:sz w:val="16"/>
              </w:rPr>
              <w:t>Network-level isolation</w:t>
            </w:r>
          </w:p>
        </w:tc>
        <w:tc>
          <w:tcPr>
            <w:tcW w:type="dxa" w:w="2592"/>
            <w:vAlign w:val="center"/>
            <w:tcMar>
              <w:top w:w="90" w:type="dxa"/>
              <w:start w:w="90" w:type="dxa"/>
              <w:bottom w:w="90" w:type="dxa"/>
              <w:end w:w="90" w:type="dxa"/>
            </w:tcMar>
          </w:tcPr>
          <w:p>
            <w:pPr>
              <w:spacing w:after="0"/>
              <w:jc w:val="left"/>
            </w:pPr>
            <w:r/>
            <w:r>
              <w:rPr>
                <w:rFonts w:ascii="Arial" w:hAnsi="Arial"/>
                <w:b w:val="0"/>
                <w:color w:val="404040"/>
                <w:sz w:val="16"/>
              </w:rPr>
              <w:t>Kevin / I&amp;O / Network</w:t>
            </w:r>
          </w:p>
        </w:tc>
        <w:tc>
          <w:tcPr>
            <w:tcW w:type="dxa" w:w="4752"/>
            <w:vAlign w:val="center"/>
            <w:tcMar>
              <w:top w:w="90" w:type="dxa"/>
              <w:start w:w="90" w:type="dxa"/>
              <w:bottom w:w="90" w:type="dxa"/>
              <w:end w:w="90" w:type="dxa"/>
            </w:tcMar>
          </w:tcPr>
          <w:p>
            <w:pPr>
              <w:spacing w:after="0"/>
              <w:jc w:val="left"/>
            </w:pPr>
            <w:r/>
            <w:r>
              <w:rPr>
                <w:rFonts w:ascii="Arial" w:hAnsi="Arial"/>
                <w:b w:val="0"/>
                <w:color w:val="404040"/>
                <w:sz w:val="16"/>
              </w:rPr>
              <w:t>Terminates connectivity and isolates tunnels or VLANs; backup resource to be assigned.</w:t>
            </w:r>
          </w:p>
        </w:tc>
      </w:tr>
      <w:tr>
        <w:trPr>
          <w:cantSplit/>
        </w:trPr>
        <w:tc>
          <w:tcPr>
            <w:tcW w:type="dxa" w:w="2736"/>
            <w:vAlign w:val="center"/>
            <w:tcMar>
              <w:top w:w="90" w:type="dxa"/>
              <w:start w:w="90" w:type="dxa"/>
              <w:bottom w:w="90" w:type="dxa"/>
              <w:end w:w="90" w:type="dxa"/>
            </w:tcMar>
            <w:shd w:fill="F7FAFC"/>
          </w:tcPr>
          <w:p>
            <w:pPr>
              <w:spacing w:after="0"/>
              <w:jc w:val="left"/>
            </w:pPr>
            <w:r/>
            <w:r>
              <w:rPr>
                <w:rFonts w:ascii="Arial" w:hAnsi="Arial"/>
                <w:b w:val="0"/>
                <w:color w:val="404040"/>
                <w:sz w:val="16"/>
              </w:rPr>
              <w:t>Identity, cloud, and clinic boundary review</w:t>
            </w:r>
          </w:p>
        </w:tc>
        <w:tc>
          <w:tcPr>
            <w:tcW w:type="dxa" w:w="2592"/>
            <w:vAlign w:val="center"/>
            <w:tcMar>
              <w:top w:w="90" w:type="dxa"/>
              <w:start w:w="90" w:type="dxa"/>
              <w:bottom w:w="90" w:type="dxa"/>
              <w:end w:w="90" w:type="dxa"/>
            </w:tcMar>
            <w:shd w:fill="F7FAFC"/>
          </w:tcPr>
          <w:p>
            <w:pPr>
              <w:spacing w:after="0"/>
              <w:jc w:val="left"/>
            </w:pPr>
            <w:r/>
            <w:r>
              <w:rPr>
                <w:rFonts w:ascii="Arial" w:hAnsi="Arial"/>
                <w:b w:val="0"/>
                <w:color w:val="404040"/>
                <w:sz w:val="16"/>
              </w:rPr>
              <w:t>Raghav, Blessing, Geno, Infrastructure</w:t>
            </w:r>
          </w:p>
        </w:tc>
        <w:tc>
          <w:tcPr>
            <w:tcW w:type="dxa" w:w="4752"/>
            <w:vAlign w:val="center"/>
            <w:tcMar>
              <w:top w:w="90" w:type="dxa"/>
              <w:start w:w="90" w:type="dxa"/>
              <w:bottom w:w="90" w:type="dxa"/>
              <w:end w:w="90" w:type="dxa"/>
            </w:tcMar>
            <w:shd w:fill="F7FAFC"/>
          </w:tcPr>
          <w:p>
            <w:pPr>
              <w:spacing w:after="0"/>
              <w:jc w:val="left"/>
            </w:pPr>
            <w:r/>
            <w:r>
              <w:rPr>
                <w:rFonts w:ascii="Arial" w:hAnsi="Arial"/>
                <w:b w:val="0"/>
                <w:color w:val="404040"/>
                <w:sz w:val="16"/>
              </w:rPr>
              <w:t>Clarifies monitoring, segmentation, Conditional Access, VPN, NAT, shared-cloud dependencies, and clinic alerting.</w:t>
            </w:r>
          </w:p>
        </w:tc>
      </w:tr>
      <w:tr>
        <w:trPr>
          <w:cantSplit/>
        </w:trPr>
        <w:tc>
          <w:tcPr>
            <w:tcW w:type="dxa" w:w="2736"/>
            <w:vAlign w:val="center"/>
            <w:tcMar>
              <w:top w:w="90" w:type="dxa"/>
              <w:start w:w="90" w:type="dxa"/>
              <w:bottom w:w="90" w:type="dxa"/>
              <w:end w:w="90" w:type="dxa"/>
            </w:tcMar>
          </w:tcPr>
          <w:p>
            <w:pPr>
              <w:spacing w:after="0"/>
              <w:jc w:val="left"/>
            </w:pPr>
            <w:r/>
            <w:r>
              <w:rPr>
                <w:rFonts w:ascii="Arial" w:hAnsi="Arial"/>
                <w:b w:val="0"/>
                <w:color w:val="404040"/>
                <w:sz w:val="16"/>
              </w:rPr>
              <w:t>Clinic downtime coordination</w:t>
            </w:r>
          </w:p>
        </w:tc>
        <w:tc>
          <w:tcPr>
            <w:tcW w:type="dxa" w:w="2592"/>
            <w:vAlign w:val="center"/>
            <w:tcMar>
              <w:top w:w="90" w:type="dxa"/>
              <w:start w:w="90" w:type="dxa"/>
              <w:bottom w:w="90" w:type="dxa"/>
              <w:end w:w="90" w:type="dxa"/>
            </w:tcMar>
          </w:tcPr>
          <w:p>
            <w:pPr>
              <w:spacing w:after="0"/>
              <w:jc w:val="left"/>
            </w:pPr>
            <w:r/>
            <w:r>
              <w:rPr>
                <w:rFonts w:ascii="Arial" w:hAnsi="Arial"/>
                <w:b w:val="0"/>
                <w:color w:val="404040"/>
                <w:sz w:val="16"/>
              </w:rPr>
              <w:t>Office manager / downtime escalation coordinator</w:t>
            </w:r>
          </w:p>
        </w:tc>
        <w:tc>
          <w:tcPr>
            <w:tcW w:type="dxa" w:w="4752"/>
            <w:vAlign w:val="center"/>
            <w:tcMar>
              <w:top w:w="90" w:type="dxa"/>
              <w:start w:w="90" w:type="dxa"/>
              <w:bottom w:w="90" w:type="dxa"/>
              <w:end w:w="90" w:type="dxa"/>
            </w:tcMar>
          </w:tcPr>
          <w:p>
            <w:pPr>
              <w:spacing w:after="0"/>
              <w:jc w:val="left"/>
            </w:pPr>
            <w:r/>
            <w:r>
              <w:rPr>
                <w:rFonts w:ascii="Arial" w:hAnsi="Arial"/>
                <w:b w:val="0"/>
                <w:color w:val="404040"/>
                <w:sz w:val="16"/>
              </w:rPr>
              <w:t>Activates clinic downtime procedures and communicates with clinic staff.</w:t>
            </w:r>
          </w:p>
        </w:tc>
      </w:tr>
      <w:tr>
        <w:trPr>
          <w:cantSplit/>
        </w:trPr>
        <w:tc>
          <w:tcPr>
            <w:tcW w:type="dxa" w:w="2736"/>
            <w:vAlign w:val="center"/>
            <w:tcMar>
              <w:top w:w="90" w:type="dxa"/>
              <w:start w:w="90" w:type="dxa"/>
              <w:bottom w:w="90" w:type="dxa"/>
              <w:end w:w="90" w:type="dxa"/>
            </w:tcMar>
            <w:shd w:fill="F7FAFC"/>
          </w:tcPr>
          <w:p>
            <w:pPr>
              <w:spacing w:after="0"/>
              <w:jc w:val="left"/>
            </w:pPr>
            <w:r/>
            <w:r>
              <w:rPr>
                <w:rFonts w:ascii="Arial" w:hAnsi="Arial"/>
                <w:b w:val="0"/>
                <w:color w:val="404040"/>
                <w:sz w:val="16"/>
              </w:rPr>
              <w:t>Clinical and application continuity</w:t>
            </w:r>
          </w:p>
        </w:tc>
        <w:tc>
          <w:tcPr>
            <w:tcW w:type="dxa" w:w="2592"/>
            <w:vAlign w:val="center"/>
            <w:tcMar>
              <w:top w:w="90" w:type="dxa"/>
              <w:start w:w="90" w:type="dxa"/>
              <w:bottom w:w="90" w:type="dxa"/>
              <w:end w:w="90" w:type="dxa"/>
            </w:tcMar>
            <w:shd w:fill="F7FAFC"/>
          </w:tcPr>
          <w:p>
            <w:pPr>
              <w:spacing w:after="0"/>
              <w:jc w:val="left"/>
            </w:pPr>
            <w:r/>
            <w:r>
              <w:rPr>
                <w:rFonts w:ascii="Arial" w:hAnsi="Arial"/>
                <w:b w:val="0"/>
                <w:color w:val="404040"/>
                <w:sz w:val="16"/>
              </w:rPr>
              <w:t>Epic, application teams, clinical operations, imaging support, RCM</w:t>
            </w:r>
          </w:p>
        </w:tc>
        <w:tc>
          <w:tcPr>
            <w:tcW w:type="dxa" w:w="4752"/>
            <w:vAlign w:val="center"/>
            <w:tcMar>
              <w:top w:w="90" w:type="dxa"/>
              <w:start w:w="90" w:type="dxa"/>
              <w:bottom w:w="90" w:type="dxa"/>
              <w:end w:w="90" w:type="dxa"/>
            </w:tcMar>
            <w:shd w:fill="F7FAFC"/>
          </w:tcPr>
          <w:p>
            <w:pPr>
              <w:spacing w:after="0"/>
              <w:jc w:val="left"/>
            </w:pPr>
            <w:r/>
            <w:r>
              <w:rPr>
                <w:rFonts w:ascii="Arial" w:hAnsi="Arial"/>
                <w:b w:val="0"/>
                <w:color w:val="404040"/>
                <w:sz w:val="16"/>
              </w:rPr>
              <w:t>Supports PAG, mini-PACS, paper capture, clinical backfill, claims, and application recovery.</w:t>
            </w:r>
          </w:p>
        </w:tc>
      </w:tr>
      <w:tr>
        <w:trPr>
          <w:cantSplit/>
        </w:trPr>
        <w:tc>
          <w:tcPr>
            <w:tcW w:type="dxa" w:w="2736"/>
            <w:vAlign w:val="center"/>
            <w:tcMar>
              <w:top w:w="90" w:type="dxa"/>
              <w:start w:w="90" w:type="dxa"/>
              <w:bottom w:w="90" w:type="dxa"/>
              <w:end w:w="90" w:type="dxa"/>
            </w:tcMar>
          </w:tcPr>
          <w:p>
            <w:pPr>
              <w:spacing w:after="0"/>
              <w:jc w:val="left"/>
            </w:pPr>
            <w:r/>
            <w:r>
              <w:rPr>
                <w:rFonts w:ascii="Arial" w:hAnsi="Arial"/>
                <w:b w:val="0"/>
                <w:color w:val="404040"/>
                <w:sz w:val="16"/>
              </w:rPr>
              <w:t>Legal and external response</w:t>
            </w:r>
          </w:p>
        </w:tc>
        <w:tc>
          <w:tcPr>
            <w:tcW w:type="dxa" w:w="2592"/>
            <w:vAlign w:val="center"/>
            <w:tcMar>
              <w:top w:w="90" w:type="dxa"/>
              <w:start w:w="90" w:type="dxa"/>
              <w:bottom w:w="90" w:type="dxa"/>
              <w:end w:w="90" w:type="dxa"/>
            </w:tcMar>
          </w:tcPr>
          <w:p>
            <w:pPr>
              <w:spacing w:after="0"/>
              <w:jc w:val="left"/>
            </w:pPr>
            <w:r/>
            <w:r>
              <w:rPr>
                <w:rFonts w:ascii="Arial" w:hAnsi="Arial"/>
                <w:b w:val="0"/>
                <w:color w:val="404040"/>
                <w:sz w:val="16"/>
              </w:rPr>
              <w:t>Privacy, Legal, incident-response retainer</w:t>
            </w:r>
          </w:p>
        </w:tc>
        <w:tc>
          <w:tcPr>
            <w:tcW w:type="dxa" w:w="4752"/>
            <w:vAlign w:val="center"/>
            <w:tcMar>
              <w:top w:w="90" w:type="dxa"/>
              <w:start w:w="90" w:type="dxa"/>
              <w:bottom w:w="90" w:type="dxa"/>
              <w:end w:w="90" w:type="dxa"/>
            </w:tcMar>
          </w:tcPr>
          <w:p>
            <w:pPr>
              <w:spacing w:after="0"/>
              <w:jc w:val="left"/>
            </w:pPr>
            <w:r/>
            <w:r>
              <w:rPr>
                <w:rFonts w:ascii="Arial" w:hAnsi="Arial"/>
                <w:b w:val="0"/>
                <w:color w:val="404040"/>
                <w:sz w:val="16"/>
              </w:rPr>
              <w:t>Supports breach assessment, legal response, forensic assistance, and external coordination.</w:t>
            </w:r>
          </w:p>
        </w:tc>
      </w:tr>
      <w:tr>
        <w:trPr>
          <w:cantSplit/>
        </w:trPr>
        <w:tc>
          <w:tcPr>
            <w:tcW w:type="dxa" w:w="2736"/>
            <w:vAlign w:val="center"/>
            <w:tcMar>
              <w:top w:w="90" w:type="dxa"/>
              <w:start w:w="90" w:type="dxa"/>
              <w:bottom w:w="90" w:type="dxa"/>
              <w:end w:w="90" w:type="dxa"/>
            </w:tcMar>
            <w:shd w:fill="F7FAFC"/>
          </w:tcPr>
          <w:p>
            <w:pPr>
              <w:spacing w:after="0"/>
              <w:jc w:val="left"/>
            </w:pPr>
            <w:r/>
            <w:r>
              <w:rPr>
                <w:rFonts w:ascii="Arial" w:hAnsi="Arial"/>
                <w:b w:val="0"/>
                <w:color w:val="404040"/>
                <w:sz w:val="16"/>
              </w:rPr>
              <w:t>Exercise facilitation and documentation</w:t>
            </w:r>
          </w:p>
        </w:tc>
        <w:tc>
          <w:tcPr>
            <w:tcW w:type="dxa" w:w="2592"/>
            <w:vAlign w:val="center"/>
            <w:tcMar>
              <w:top w:w="90" w:type="dxa"/>
              <w:start w:w="90" w:type="dxa"/>
              <w:bottom w:w="90" w:type="dxa"/>
              <w:end w:w="90" w:type="dxa"/>
            </w:tcMar>
            <w:shd w:fill="F7FAFC"/>
          </w:tcPr>
          <w:p>
            <w:pPr>
              <w:spacing w:after="0"/>
              <w:jc w:val="left"/>
            </w:pPr>
            <w:r/>
            <w:r>
              <w:rPr>
                <w:rFonts w:ascii="Arial" w:hAnsi="Arial"/>
                <w:b w:val="0"/>
                <w:color w:val="404040"/>
                <w:sz w:val="16"/>
              </w:rPr>
              <w:t>Don Udhus / Emerge scribe</w:t>
            </w:r>
          </w:p>
        </w:tc>
        <w:tc>
          <w:tcPr>
            <w:tcW w:type="dxa" w:w="4752"/>
            <w:vAlign w:val="center"/>
            <w:tcMar>
              <w:top w:w="90" w:type="dxa"/>
              <w:start w:w="90" w:type="dxa"/>
              <w:bottom w:w="90" w:type="dxa"/>
              <w:end w:w="90" w:type="dxa"/>
            </w:tcMar>
            <w:shd w:fill="F7FAFC"/>
          </w:tcPr>
          <w:p>
            <w:pPr>
              <w:spacing w:after="0"/>
              <w:jc w:val="left"/>
            </w:pPr>
            <w:r/>
            <w:r>
              <w:rPr>
                <w:rFonts w:ascii="Arial" w:hAnsi="Arial"/>
                <w:b w:val="0"/>
                <w:color w:val="404040"/>
                <w:sz w:val="16"/>
              </w:rPr>
              <w:t>Facilitates scenario discussion and maintains the official exercise record.</w:t>
            </w:r>
          </w:p>
        </w:tc>
      </w:tr>
    </w:tbl>
    <w:p>
      <w:pPr>
        <w:pStyle w:val="Heading1"/>
        <w:keepNext/>
        <w:spacing w:before="200" w:after="80"/>
      </w:pPr>
      <w:r>
        <w:rPr>
          <w:rFonts w:ascii="Arial" w:hAnsi="Arial"/>
        </w:rPr>
        <w:t>Appendix B - Recommended Evidence Package</w:t>
      </w:r>
    </w:p>
    <w:p>
      <w:pPr>
        <w:pStyle w:val="ListBullet"/>
        <w:spacing w:after="50" w:line="245" w:lineRule="auto"/>
        <w:ind w:left="288" w:hanging="259"/>
      </w:pPr>
      <w:r>
        <w:rPr>
          <w:rFonts w:ascii="Arial" w:hAnsi="Arial"/>
        </w:rPr>
        <w:t>Calendar invitation and exercise date(s).</w:t>
      </w:r>
    </w:p>
    <w:p>
      <w:pPr>
        <w:pStyle w:val="ListBullet"/>
        <w:spacing w:after="50" w:line="245" w:lineRule="auto"/>
        <w:ind w:left="288" w:hanging="259"/>
      </w:pPr>
      <w:r>
        <w:rPr>
          <w:rFonts w:ascii="Arial" w:hAnsi="Arial"/>
        </w:rPr>
        <w:t>Final attendance roster, including clinical operations and the medically credentialed stakeholder required by Epic.</w:t>
      </w:r>
    </w:p>
    <w:p>
      <w:pPr>
        <w:pStyle w:val="ListBullet"/>
        <w:spacing w:after="50" w:line="245" w:lineRule="auto"/>
        <w:ind w:left="288" w:hanging="259"/>
      </w:pPr>
      <w:r>
        <w:rPr>
          <w:rFonts w:ascii="Arial" w:hAnsi="Arial"/>
        </w:rPr>
        <w:t>Facilitator scenario narrative and discussion questions.</w:t>
      </w:r>
    </w:p>
    <w:p>
      <w:pPr>
        <w:pStyle w:val="ListBullet"/>
        <w:spacing w:after="50" w:line="245" w:lineRule="auto"/>
        <w:ind w:left="288" w:hanging="259"/>
      </w:pPr>
      <w:r>
        <w:rPr>
          <w:rFonts w:ascii="Arial" w:hAnsi="Arial"/>
        </w:rPr>
        <w:t>This combined after-action report.</w:t>
      </w:r>
    </w:p>
    <w:p>
      <w:pPr>
        <w:pStyle w:val="ListBullet"/>
        <w:spacing w:after="50" w:line="245" w:lineRule="auto"/>
        <w:ind w:left="288" w:hanging="259"/>
      </w:pPr>
      <w:r>
        <w:rPr>
          <w:rFonts w:ascii="Arial" w:hAnsi="Arial"/>
        </w:rPr>
        <w:t>Corrective action tracker with approved owners and due dates.</w:t>
      </w:r>
    </w:p>
    <w:p>
      <w:pPr>
        <w:pStyle w:val="ListBullet"/>
        <w:spacing w:after="50" w:line="245" w:lineRule="auto"/>
        <w:ind w:left="288" w:hanging="259"/>
      </w:pPr>
      <w:r>
        <w:rPr>
          <w:rFonts w:ascii="Arial" w:hAnsi="Arial"/>
        </w:rPr>
        <w:t>Updated Incident Response Plan, clinic downtime procedures, communication plan, and clinical backfill procedure.</w:t>
      </w:r>
    </w:p>
    <w:p>
      <w:pPr>
        <w:pStyle w:val="ListBullet"/>
        <w:spacing w:after="50" w:line="245" w:lineRule="auto"/>
        <w:ind w:left="288" w:hanging="259"/>
      </w:pPr>
      <w:r>
        <w:rPr>
          <w:rFonts w:ascii="Arial" w:hAnsi="Arial"/>
        </w:rPr>
        <w:t>Technical test evidence for network isolation, backups/restoration, PAG, mini-PACS, Haiku/Canto, and clinic segmentation.</w:t>
      </w:r>
    </w:p>
    <w:p>
      <w:pPr>
        <w:pStyle w:val="ListBullet"/>
        <w:spacing w:after="50" w:line="245" w:lineRule="auto"/>
        <w:ind w:left="288" w:hanging="259"/>
      </w:pPr>
      <w:r>
        <w:rPr>
          <w:rFonts w:ascii="Arial" w:hAnsi="Arial"/>
        </w:rPr>
        <w:t>August 2026 retrospective notes and closure evidence for completed actions.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352"/>
      <w:gridCol w:w="1728"/>
    </w:tblGrid>
    <w:tr>
      <w:tc>
        <w:tcPr>
          <w:tcW w:type="dxa" w:w="8352"/>
          <w:vAlign w:val="center"/>
          <w:tcMar>
            <w:top w:w="90" w:type="dxa"/>
            <w:start w:w="90" w:type="dxa"/>
            <w:bottom w:w="90" w:type="dxa"/>
            <w:end w:w="90" w:type="dxa"/>
          </w:tcMar>
        </w:tcPr>
        <w:p>
          <w:pPr>
            <w:spacing w:after="0"/>
            <w:jc w:val="left"/>
          </w:pPr>
          <w:r/>
          <w:r>
            <w:rPr>
              <w:rFonts w:ascii="Arial" w:hAnsi="Arial"/>
              <w:b w:val="0"/>
              <w:color w:val="666666"/>
              <w:sz w:val="15"/>
            </w:rPr>
            <w:t>Emerge Ransomware Tabletop AAR | July 2026</w:t>
          </w:r>
        </w:p>
      </w:tc>
      <w:tc>
        <w:tcPr>
          <w:tcW w:type="dxa" w:w="1728"/>
        </w:tcPr>
        <w:p>
          <w:pPr>
            <w:jc w:val="right"/>
          </w:pPr>
          <w:r>
            <w:rPr>
              <w:rFonts w:ascii="Arial" w:hAnsi="Arial"/>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F6D70"/>
        <w:sz w:val="15"/>
      </w:rPr>
      <w:t>CONFIDENTIAL - BUSINESS CONTINUITY /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04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D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40404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rial" w:hAnsi="Arial"/>
      <w:b/>
      <w:color w:val="1F6D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 Ransomware Tabletop Exercise - After-Action Report</dc:title>
  <dc:subject>Epic Business Continuity Review</dc:subject>
  <dc:creator>Emerge</dc:creator>
  <cp:keywords>Ransomware, Tabletop, Business Continuity, Incident Response, Epic, Clinical Downtime</cp:keywords>
  <dc:description>Combined summary of three ransomware tabletop sessions conducted in July 2026.</dc:description>
  <cp:lastModifiedBy/>
  <cp:revision>1</cp:revision>
  <dcterms:created xsi:type="dcterms:W3CDTF">2013-12-23T23:15:00Z</dcterms:created>
  <dcterms:modified xsi:type="dcterms:W3CDTF">2013-12-23T23:15:00Z</dcterms:modified>
  <cp:category/>
</cp:coreProperties>
</file>