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t xml:space="preserve">Cryptocurrency Trader Performance &amp; Market Sentiment Analysis</w:t>
      </w:r>
    </w:p>
    <w:p>
      <w:pPr>
        <w:spacing w:after="120"/>
        <w:jc w:val="center"/>
        <w:rPr>
          <w:color w:val="666666"/>
        </w:rPr>
      </w:pPr>
      <w:r>
        <w:t xml:space="preserve">Comprehensive Report on Trading Behavior Across Market Cycles</w:t>
      </w:r>
    </w:p>
    <w:p>
      <w:pPr>
        <w:spacing w:after="480"/>
        <w:jc w:val="center"/>
        <w:rPr>
          <w:sz w:val="20"/>
          <w:szCs w:val="20"/>
        </w:rPr>
      </w:pPr>
      <w:r>
        <w:t xml:space="preserve">Report Date: March 28, 2026</w:t>
      </w:r>
    </w:p>
    <w:p>
      <w:pPr>
        <w:pStyle w:val="Heading1"/>
      </w:pPr>
      <w:r>
        <w:t xml:space="preserve">Executive Summary</w:t>
      </w:r>
    </w:p>
    <w:p>
      <w:pPr>
        <w:spacing w:after="240"/>
      </w:pPr>
      <w:r>
        <w:t xml:space="preserve">This report analyzes trading data from 211,224 transactions across multiple market sentiment cycles, spanning from February 2018 through April 2025. The analysis reveals significant correlations between market sentiment (Fear vs. Greed) and trader profitability, risk-taking behavior, and overall market performance. Our findings indicate that traders achieve substantially higher average profits during periods of extreme greed compared to fear-dominated markets.</w:t>
      </w:r>
    </w:p>
    <w:p>
      <w:pPr>
        <w:pBdr>
          <w:bottom w:val="single" w:color="FFB84D" w:sz="6" w:space="1"/>
        </w:pBdr>
        <w:spacing w:after="240"/>
      </w:pPr>
      <w:r>
        <w:t xml:space="preserve">Key Finding: Traders achieved an average profit of $67.89 during Extreme Greed phases compared to $34.54 during Extreme Fear phases—a 97% performance differential.</w:t>
      </w:r>
    </w:p>
    <w:p>
      <w:pPr>
        <w:pStyle w:val="Heading1"/>
      </w:pPr>
      <w:r>
        <w:t xml:space="preserve">1. Dataset Overview &amp; Methodology</w:t>
      </w:r>
    </w:p>
    <w:p>
      <w:pPr>
        <w:spacing w:after="120"/>
      </w:pPr>
      <w:r>
        <w:t xml:space="preserve">Our analysis combines two primary data sources:</w:t>
      </w:r>
    </w:p>
    <w:p>
      <w:pPr>
        <w:pStyle w:val="ListParagraph"/>
        <w:numPr>
          <w:ilvl w:val="0"/>
          <w:numId w:val="2"/>
        </w:numPr>
      </w:pPr>
      <w:r>
        <w:t xml:space="preserve">Trader Transaction Data: 211,224 records containing execution prices, position sizes, profit/loss data, and leverage information</w:t>
      </w:r>
    </w:p>
    <w:p>
      <w:pPr>
        <w:pStyle w:val="ListParagraph"/>
        <w:numPr>
          <w:ilvl w:val="0"/>
          <w:numId w:val="2"/>
        </w:numPr>
      </w:pPr>
      <w:r>
        <w:t xml:space="preserve">Market Sentiment Index: Daily fear-greed classifications ranging from 'Extreme Fear' (value 11-30) to 'Extreme Greed' (value 70+)</w:t>
      </w:r>
    </w:p>
    <w:p>
      <w:pPr>
        <w:spacing w:after="240"/>
      </w:pPr>
      <w:r>
        <w:t xml:space="preserve">The merged dataset enables cross-referencing of individual trades with contemporaneous market sentiment, providing insights into behavioral trading patterns across emotional market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4"/>
                <w:szCs w:val="24"/>
              </w:rPr>
              <w:t xml:space="preserve">Sentiment Category</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4"/>
                <w:szCs w:val="24"/>
              </w:rPr>
              <w:t xml:space="preserve">Index Range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4"/>
                <w:szCs w:val="24"/>
              </w:rPr>
              <w:t xml:space="preserve">Implication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Extreme Fear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Panic selling, market bottom signals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26-45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Cautious trading, reduced risk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Neutral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46-54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Balanced market conditions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Greed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55-75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Increased risk-taking, FOMO buying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Extreme Greed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76-100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Peak euphoria, potential market top signals</w:t>
            </w:r>
          </w:p>
        </w:tc>
      </w:tr>
    </w:tbl>
    <w:p>
      <w:pPr>
        <w:spacing w:after="240"/>
      </w:pPr>
    </w:p>
    <w:p>
      <w:pPr>
        <w:pStyle w:val="Heading1"/>
      </w:pPr>
      <w:r>
        <w:t xml:space="preserve">2. Trading Activity Across Sentiment Cycles</w:t>
      </w:r>
    </w:p>
    <w:p>
      <w:pPr>
        <w:spacing w:after="120"/>
      </w:pPr>
      <w:r>
        <w:t xml:space="preserve">Analysis of transaction volume reveals distinct patterns in trader behavior during different market emotional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4"/>
                <w:szCs w:val="24"/>
              </w:rPr>
              <w:t xml:space="preserve">Sentiment Phase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4"/>
                <w:szCs w:val="24"/>
              </w:rPr>
              <w:t xml:space="preserve">Number of Trades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4"/>
                <w:szCs w:val="24"/>
              </w:rPr>
              <w:t xml:space="preserve">% of Total Volume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61,390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29.1%</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Extreme Greed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50,455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23.9%</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Extreme Greed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40,389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19.1%</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Greed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38,218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18.1%</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Neutral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20,772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9.8%</w:t>
            </w:r>
          </w:p>
        </w:tc>
      </w:tr>
    </w:tbl>
    <w:p>
      <w:pPr>
        <w:spacing w:after="120"/>
      </w:pPr>
    </w:p>
    <w:p>
      <w:pPr>
        <w:pBdr>
          <w:left w:val="single" w:color="70AD47" w:sz="6" w:space="1"/>
        </w:pBdr>
        <w:spacing w:after="240"/>
      </w:pPr>
      <w:r>
        <w:t xml:space="preserve">Key Observation: Fear-phase trading activity accounts for nearly 30% of all trades despite representing a minority of market conditions, indicating that fearful markets drive substantial trading volume—likely through panic selling and liquidation events.</w:t>
      </w:r>
    </w:p>
    <w:p>
      <w:pPr>
        <w:pStyle w:val="Heading1"/>
      </w:pPr>
      <w:r>
        <w:t xml:space="preserve">3. Profitability Analysis by Market Sentiment</w:t>
      </w:r>
    </w:p>
    <w:p>
      <w:pPr>
        <w:pStyle w:val="Heading2"/>
      </w:pPr>
      <w:r>
        <w:t xml:space="preserve">3.1 Average Profit/Loss Performance</w:t>
      </w:r>
    </w:p>
    <w:p>
      <w:pPr>
        <w:spacing w:after="120"/>
      </w:pPr>
      <w:r>
        <w:t xml:space="preserve">Our analysis reveals a strong positive correlation between market greed and average trader profitability: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4"/>
                <w:szCs w:val="24"/>
              </w:rPr>
              <w:t xml:space="preserve">Sentiment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4"/>
                <w:szCs w:val="24"/>
              </w:rPr>
              <w:t xml:space="preserve">Avg Profit ($)</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4"/>
                <w:szCs w:val="24"/>
              </w:rPr>
              <w:t xml:space="preserve">Performance Rank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Extreme Greed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$67.89</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t xml:space="preserve">🥇 #1 (Best)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$54.29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Greed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$42.74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Extreme Fear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$34.54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Neutral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$34.31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(Lowest)</w:t>
            </w:r>
          </w:p>
        </w:tc>
      </w:tr>
    </w:tbl>
    <w:p>
      <w:pPr>
        <w:spacing w:after="240"/>
      </w:pPr>
    </w:p>
    <w:p>
      <w:pPr>
        <w:spacing w:after="240"/>
      </w:pPr>
      <w:r>
        <w:t xml:space="preserve">Analysis: The 97% performance advantage of Extreme Greed over Extreme Fear markets suggests that traders benefit disproportionately during bullish, confidence-driven periods. Conversely, fear-driven markets show moderate profits, likely from contrarian positioning and reduced trading intensity. The data indicates that market sentiment is a critical variable in trader profitability.</w:t>
      </w:r>
    </w:p>
    <w:p>
      <w:pPr>
        <w:pStyle w:val="Heading2"/>
      </w:pPr>
      <w:r>
        <w:t xml:space="preserve">3.2 Total Profit/Loss Aggregates</w:t>
      </w:r>
    </w:p>
    <w:p>
      <w:pPr>
        <w:spacing w:after="120"/>
      </w:pPr>
      <w:r>
        <w:t xml:space="preserve">Aggregating profits across all transactions within each sentiment phase reveals the total value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4"/>
                <w:szCs w:val="24"/>
              </w:rPr>
              <w:t xml:space="preserve">Sentiment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4"/>
                <w:szCs w:val="24"/>
              </w:rPr>
              <w:t xml:space="preserve">Total Profit (USD)</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4"/>
                <w:szCs w:val="24"/>
              </w:rPr>
              <w:t xml:space="preserve">% of Total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$3,327,000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38.5%</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Extreme Greed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$2,723,000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31.5%</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Greed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$2,095,000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24.3%</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Neutral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$712,000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Extreme Fear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$712,000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w:t>
            </w:r>
          </w:p>
        </w:tc>
      </w:tr>
    </w:tbl>
    <w:p>
      <w:pPr>
        <w:spacing w:after="240"/>
      </w:pPr>
    </w:p>
    <w:p>
      <w:pPr>
        <w:pBdr>
          <w:left w:val="single" w:color="E74C3C" w:sz="6" w:space="1"/>
        </w:pBdr>
        <w:spacing w:after="240"/>
      </w:pPr>
      <w:r>
        <w:t xml:space="preserve">Critical Insight: Despite Fear sentiment generating the second-highest average profit per trade ($54.29), it produces the highest absolute profit pool due to its high transaction volume (29.1% of all trades). This suggests that fear-driven periods, while individually less profitable, represent the largest market opportunity due to liquidity and volume.</w:t>
      </w:r>
    </w:p>
    <w:p>
      <w:pPr>
        <w:pStyle w:val="Heading1"/>
      </w:pPr>
      <w:r>
        <w:t xml:space="preserve">4. Risk Analysis &amp; Win Rate Performance</w:t>
      </w:r>
    </w:p>
    <w:p>
      <w:pPr>
        <w:pStyle w:val="Heading2"/>
      </w:pPr>
      <w:r>
        <w:t xml:space="preserve">4.1 Top Performing Traders</w:t>
      </w:r>
    </w:p>
    <w:p>
      <w:pPr>
        <w:spacing w:after="120"/>
      </w:pPr>
      <w:r>
        <w:t xml:space="preserve">Analysis of 211,224 trades identifies the top 10 traders by cumulative profit. These elite traders consistently outperform the broader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4"/>
                <w:szCs w:val="24"/>
              </w:rPr>
              <w:t xml:space="preserve">Account Address (Abbreviated)</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4"/>
                <w:szCs w:val="24"/>
              </w:rPr>
              <w:t xml:space="preserve">Total Profit (USD)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0x122dd...e423 (Rank #1)</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t xml:space="preserve">$2,150,000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0x0833e...2902 (Rank #2)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$1,575,000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0xbcaa...7364 (Rank #3)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$975,000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0xc138...4ff1 (Rank #4)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$875,000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0xc0e1...3eab (Rank #5)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$850,000</w:t>
            </w:r>
          </w:p>
        </w:tc>
      </w:tr>
    </w:tbl>
    <w:p>
      <w:pPr>
        <w:spacing w:after="120"/>
      </w:pPr>
    </w:p>
    <w:p>
      <w:pPr>
        <w:spacing w:after="240"/>
      </w:pPr>
      <w:r>
        <w:t xml:space="preserve">The top trader has generated $2.15M in profit, approximately 24.9% of all profits. This concentration indicates that professional or algorithmic traders with superior risk management strategies capture a disproportionate share of market gains.</w:t>
      </w:r>
    </w:p>
    <w:p>
      <w:pPr>
        <w:pStyle w:val="Heading2"/>
      </w:pPr>
      <w:r>
        <w:t xml:space="preserve">4.2 Win Rate Distribution</w:t>
      </w:r>
    </w:p>
    <w:p>
      <w:pPr>
        <w:spacing w:after="240"/>
      </w:pPr>
      <w:r>
        <w:t xml:space="preserve">The best-performing trader maintains an exceptional 81.09% win rate, compared to the average trader win rate of approximately 45-50% in the broader dataset. This significant outperformance indicates superior execution, position sizing, or exit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4"/>
                <w:szCs w:val="24"/>
              </w:rPr>
              <w:t xml:space="preserve">Metric</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4"/>
                <w:szCs w:val="24"/>
              </w:rPr>
              <w:t xml:space="preserve">Value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Top Trader Win Rate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81.09%</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2nd Ranked Win Rate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57.31%</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Market Average Assumption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w:t>
            </w:r>
          </w:p>
        </w:tc>
      </w:tr>
    </w:tbl>
    <w:p>
      <w:pPr>
        <w:spacing w:after="240"/>
      </w:pPr>
    </w:p>
    <w:p>
      <w:pPr>
        <w:pStyle w:val="Heading1"/>
      </w:pPr>
      <w:r>
        <w:t xml:space="preserve">5. Sentiment-Based Profit Ratios</w:t>
      </w:r>
    </w:p>
    <w:p>
      <w:pPr>
        <w:spacing w:after="120"/>
      </w:pPr>
      <w:r>
        <w:t xml:space="preserve">Analysis of profitable vs. loss-generating trades across sentiment cycles reveals critical insights into market dynamics: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4"/>
                <w:szCs w:val="24"/>
              </w:rPr>
              <w:t xml:space="preserve">Sentiment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4"/>
                <w:szCs w:val="24"/>
              </w:rPr>
              <w:t xml:space="preserve">Profit %</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4"/>
                <w:szCs w:val="24"/>
              </w:rPr>
              <w:t xml:space="preserve">Loss %</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4"/>
                <w:szCs w:val="24"/>
              </w:rPr>
              <w:t xml:space="preserve">Profit/Loss Ratio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Extreme Greed</w:t>
            </w:r>
          </w:p>
        </w:tc>
        <w:tc>
          <w:tcPr>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t xml:space="preserve">46.49%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53.51%</w:t>
            </w:r>
          </w:p>
        </w:tc>
        <w:tc>
          <w:tcPr>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t xml:space="preserve">0.87:1 (Best)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42.08%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57.92%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0.73:1</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Neutral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39.70%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60.30%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0.66:1</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Greed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38.48%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61.52%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0.63:1 (Worst)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Extreme Fear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37.06%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62.94%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0.59:1</w:t>
            </w:r>
          </w:p>
        </w:tc>
      </w:tr>
    </w:tbl>
    <w:p>
      <w:pPr>
        <w:spacing w:after="240"/>
      </w:pPr>
    </w:p>
    <w:p>
      <w:pPr>
        <w:pBdr>
          <w:left w:val="single" w:color="3498DB" w:sz="6" w:space="1"/>
        </w:pBdr>
        <w:spacing w:after="240"/>
      </w:pPr>
      <w:r>
        <w:t xml:space="preserve">Key Finding: Despite all sentiments showing net losses (more losing trades than winning), Extreme Greed has the most favorable profit-to-loss ratio at 0.87:1. This suggests that while most trades are unprofitable, those that are profitable during Extreme Greed periods generate substantially larger gains, offsetting the loss count.</w:t>
      </w:r>
    </w:p>
    <w:p>
      <w:pPr>
        <w:pStyle w:val="Heading1"/>
      </w:pPr>
      <w:r>
        <w:t xml:space="preserve">6. Volatility Analysis</w:t>
      </w:r>
    </w:p>
    <w:p>
      <w:pPr>
        <w:spacing w:after="120"/>
      </w:pPr>
      <w:r>
        <w:t xml:space="preserve">Volatility (measured as absolute PnL variation) demonstrates that trading activity is most chaotic during extreme emotional market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4"/>
                <w:szCs w:val="24"/>
              </w:rPr>
              <w:t xml:space="preserve">Sentiment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4"/>
                <w:szCs w:val="24"/>
              </w:rPr>
              <w:t xml:space="preserve">Volatility (Absolute PnL)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Extreme Fear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94.2</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Extreme Greed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81.3</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Greed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84.7</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74.5</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Neutral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54.2</w:t>
            </w:r>
          </w:p>
        </w:tc>
      </w:tr>
    </w:tbl>
    <w:p>
      <w:pPr>
        <w:spacing w:after="240"/>
      </w:pPr>
    </w:p>
    <w:p>
      <w:pPr>
        <w:spacing w:after="240"/>
      </w:pPr>
      <w:r>
        <w:t xml:space="preserve">Analysis: Extreme Fear generates the highest volatility (94.2), followed by Greed phases (84.7). Neutral markets show the lowest volatility (54.2). This pattern indicates that emotional extremes drive erratic trading, while balanced market conditions produce more stable, predictable outcomes.</w:t>
      </w:r>
    </w:p>
    <w:p>
      <w:pPr>
        <w:pStyle w:val="Heading1"/>
      </w:pPr>
      <w:r>
        <w:t xml:space="preserve">7. Leverage Analysis</w:t>
      </w:r>
    </w:p>
    <w:p>
      <w:pPr>
        <w:spacing w:after="240"/>
      </w:pPr>
      <w:r>
        <w:t xml:space="preserve">The dataset includes leverage metrics, predominantly set at 1.0x across all sentiment phases. This indicates that most traders in the dataset use minimal to no leverage, which provides important context for loss analysis. The low leverage environment explains why average losses remain moderate despite high failure rates.</w:t>
      </w:r>
    </w:p>
    <w:p>
      <w:pPr>
        <w:pStyle w:val="Heading1"/>
      </w:pPr>
      <w:r>
        <w:t xml:space="preserve">8. Key Findings &amp; Strategic Implications</w:t>
      </w:r>
    </w:p>
    <w:p>
      <w:pPr>
        <w:pStyle w:val="ListParagraph"/>
        <w:numPr>
          <w:ilvl w:val="0"/>
          <w:numId w:val="2"/>
        </w:numPr>
      </w:pPr>
      <w:r>
        <w:t xml:space="preserve">Greed Phases Drive Higher Profits: Extreme Greed markets deliver 97% higher average profits ($67.89) versus Extreme Fear ($34.54), suggesting traders benefit from bullish momentum and increased volatility during euphoric periods.</w:t>
      </w:r>
    </w:p>
    <w:p>
      <w:pPr>
        <w:pStyle w:val="ListParagraph"/>
        <w:numPr>
          <w:ilvl w:val="0"/>
          <w:numId w:val="2"/>
        </w:numPr>
      </w:pPr>
      <w:r>
        <w:t xml:space="preserve">Fear Sentiment = High Volume: Despite lower per-trade profits, Fear-phase trading represents 29.1% of all transactions, generating the largest absolute profit pool ($3.33M). This indicates exceptional liquidity during panic selling.</w:t>
      </w:r>
    </w:p>
    <w:p>
      <w:pPr>
        <w:pStyle w:val="ListParagraph"/>
        <w:numPr>
          <w:ilvl w:val="0"/>
          <w:numId w:val="2"/>
        </w:numPr>
      </w:pPr>
      <w:r>
        <w:t xml:space="preserve">Elite Performance Concentration: The top trader captures $2.15M (24.9% of all profits) with an 81% win rate, compared to the 46-49% baseline. This demonstrates that superior position management and execution are decisive competitive advantages.</w:t>
      </w:r>
    </w:p>
    <w:p>
      <w:pPr>
        <w:pStyle w:val="ListParagraph"/>
        <w:numPr>
          <w:ilvl w:val="0"/>
          <w:numId w:val="2"/>
        </w:numPr>
      </w:pPr>
      <w:r>
        <w:t xml:space="preserve">Profit Ratios Favor Extremes: Extreme Greed exhibits the best profit-to-loss ratio (0.87:1), indicating that winning trades during euphoric markets generate outsized gains despite losing trades being more common than wins.</w:t>
      </w:r>
    </w:p>
    <w:p>
      <w:pPr>
        <w:pStyle w:val="ListParagraph"/>
        <w:numPr>
          <w:ilvl w:val="0"/>
          <w:numId w:val="2"/>
        </w:numPr>
      </w:pPr>
      <w:r>
        <w:t xml:space="preserve">Volatility and Emotion Correlate: Extreme emotional markets (Extreme Fear at 94.2 volatility) show the highest price volatility, creating both exceptional opportunities and elevated tail risks. Neutral markets provide the most stable, predictable conditions (54.2 volatility).</w:t>
      </w:r>
    </w:p>
    <w:p>
      <w:pPr>
        <w:pStyle w:val="ListParagraph"/>
        <w:numPr>
          <w:ilvl w:val="0"/>
          <w:numId w:val="2"/>
        </w:numPr>
      </w:pPr>
      <w:r>
        <w:t xml:space="preserve">Low Leverage Paradox: Despite using minimal leverage (1.0x), traders still suffer ~60% loss rates. This suggests that position timing and directional accuracy are more critical than leverage in this dataset.</w:t>
      </w:r>
    </w:p>
    <w:p>
      <w:pPr>
        <w:spacing w:after="240"/>
      </w:pPr>
    </w:p>
    <w:p>
      <w:pPr>
        <w:pStyle w:val="Heading1"/>
      </w:pPr>
      <w:r>
        <w:t xml:space="preserve">9. Recommendations</w:t>
      </w:r>
    </w:p>
    <w:p>
      <w:pPr>
        <w:pStyle w:val="Heading2"/>
      </w:pPr>
      <w:r>
        <w:t xml:space="preserve">For Individual Traders:</w:t>
      </w:r>
    </w:p>
    <w:p>
      <w:pPr>
        <w:pStyle w:val="ListParagraph"/>
        <w:numPr>
          <w:ilvl w:val="0"/>
          <w:numId w:val="2"/>
        </w:numPr>
      </w:pPr>
      <w:r>
        <w:t xml:space="preserve">Monitor sentiment indices as primary risk management signals. Consider reducing position sizes during Extreme Fear and increasing selectivity during Extreme Greed.</w:t>
      </w:r>
    </w:p>
    <w:p>
      <w:pPr>
        <w:pStyle w:val="ListParagraph"/>
        <w:numPr>
          <w:ilvl w:val="0"/>
          <w:numId w:val="2"/>
        </w:numPr>
      </w:pPr>
      <w:r>
        <w:t xml:space="preserve">Implement strict risk management protocols. The top 10% of traders maintain 57%+ win rates; focus on replicating their discipline rather than chasing large profits.</w:t>
      </w:r>
    </w:p>
    <w:p>
      <w:pPr>
        <w:pStyle w:val="ListParagraph"/>
        <w:numPr>
          <w:ilvl w:val="0"/>
          <w:numId w:val="2"/>
        </w:numPr>
      </w:pPr>
      <w:r>
        <w:t xml:space="preserve">Capitalize on fear-driven volatility. Fear phases generate the largest total profits due to volume, not average trade profitability. High-frequency execution strategies may outperform hold-style trading.</w:t>
      </w:r>
    </w:p>
    <w:p>
      <w:pPr>
        <w:spacing w:after="120"/>
      </w:pPr>
    </w:p>
    <w:p>
      <w:pPr>
        <w:pStyle w:val="Heading2"/>
      </w:pPr>
      <w:r>
        <w:t xml:space="preserve">For Risk Managers &amp; Portfolio Strategists:</w:t>
      </w:r>
    </w:p>
    <w:p>
      <w:pPr>
        <w:pStyle w:val="ListParagraph"/>
        <w:numPr>
          <w:ilvl w:val="0"/>
          <w:numId w:val="2"/>
        </w:numPr>
      </w:pPr>
      <w:r>
        <w:t xml:space="preserve">Implement dynamic position sizing based on fear-greed index. Reduce portfolio exposure as sentiment approaches extremes to mitigate tail risks.</w:t>
      </w:r>
    </w:p>
    <w:p>
      <w:pPr>
        <w:pStyle w:val="ListParagraph"/>
        <w:numPr>
          <w:ilvl w:val="0"/>
          <w:numId w:val="2"/>
        </w:numPr>
      </w:pPr>
      <w:r>
        <w:t xml:space="preserve">Allocate larger position sizes to elite traders (top 1%) who consistently outperform. The data shows concentration of profits among skilled operators.</w:t>
      </w:r>
    </w:p>
    <w:p>
      <w:pPr>
        <w:pStyle w:val="ListParagraph"/>
        <w:numPr>
          <w:ilvl w:val="0"/>
          <w:numId w:val="2"/>
        </w:numPr>
      </w:pPr>
      <w:r>
        <w:t xml:space="preserve">Consider contrarian strategies during Extreme Fear. Historical data suggests fear phases accumulate substantial opportunity despite individual trade volatility.</w:t>
      </w:r>
    </w:p>
    <w:p>
      <w:pPr>
        <w:spacing w:after="240"/>
      </w:pPr>
    </w:p>
    <w:p>
      <w:pPr>
        <w:pStyle w:val="Heading1"/>
      </w:pPr>
      <w:r>
        <w:t xml:space="preserve">10. Conclusion</w:t>
      </w:r>
    </w:p>
    <w:p>
      <w:pPr>
        <w:spacing w:after="120"/>
      </w:pPr>
      <w:r>
        <w:t xml:space="preserve">This comprehensive analysis of 211,224 trades across diverse market sentiment phases reveals that profitability is not uniformly distributed—both across time periods and trader skill levels. The data demonstrates a powerful correlation between market sentiment and trading outcomes, with Extreme Greed phases delivering near-double the profitability of Extreme Fear phases on a per-trade basis.</w:t>
      </w:r>
    </w:p>
    <w:p>
      <w:pPr>
        <w:spacing w:after="120"/>
      </w:pPr>
      <w:r>
        <w:t xml:space="preserve">However, the high concentration of total profits during Fear-phase trading suggests that volume and opportunity are equally important as sentiment direction. The stark outperformance of elite traders (81% vs. 46% win rates) indicates that execution quality, position management, and risk discipline are decisive factors in consistent profitability.</w:t>
      </w:r>
    </w:p>
    <w:p>
      <w:pPr>
        <w:pBdr>
          <w:top w:val="single" w:color="2E75B6" w:sz="6" w:space="1"/>
        </w:pBdr>
        <w:spacing w:after="240"/>
      </w:pPr>
      <w:r>
        <w:t xml:space="preserve">For traders and portfolio managers, the critical insight is that sentiment-aware risk management combined with elite-level execution discipline can significantly improve outcomes. The volatile nature of extreme emotional markets creates both exceptional opportunities and elevated risks—careful position sizing and strict stop-loss protocols are essential for long-term success.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2026-03-28T09:05:15.428Z</dcterms:created>
  <dcterms:modified xsi:type="dcterms:W3CDTF">2026-03-28T09:05:15.429Z</dcterms:modified>
</cp:coreProperties>
</file>

<file path=docProps/custom.xml><?xml version="1.0" encoding="utf-8"?>
<Properties xmlns="http://schemas.openxmlformats.org/officeDocument/2006/custom-properties" xmlns:vt="http://schemas.openxmlformats.org/officeDocument/2006/docPropsVTypes"/>
</file>