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B2545" w:sz="4"/>
              <w:left w:val="single" w:color="0B2545" w:sz="4"/>
              <w:bottom w:val="single" w:color="F28C28" w:sz="36"/>
              <w:right w:val="single" w:color="0B2545" w:sz="4"/>
            </w:tcBorders>
            <w:shd w:fill="0B2545" w:color="auto" w:val="clear"/>
            <w:tcMar>
              <w:top w:type="dxa" w:w="900"/>
              <w:left w:type="dxa" w:w="600"/>
              <w:bottom w:type="dxa" w:w="900"/>
              <w:right w:type="dxa" w:w="600"/>
            </w:tcMar>
          </w:tcPr>
          <w:p>
            <w:pPr>
              <w:spacing w:after="200"/>
            </w:pPr>
            <w:r>
              <w:rPr>
                <w:rFonts w:ascii="Arial" w:cs="Arial" w:eastAsia="Arial" w:hAnsi="Arial"/>
                <w:b/>
                <w:bCs/>
                <w:color w:val="8FB8DE"/>
                <w:spacing w:val="60"/>
                <w:sz w:val="22"/>
                <w:szCs w:val="22"/>
              </w:rPr>
              <w:t xml:space="preserve">PROJECT REPORT</w:t>
            </w:r>
          </w:p>
          <w:p>
            <w:pPr>
              <w:spacing w:after="240" w:line="720" w:lineRule="exact"/>
            </w:pPr>
            <w:r>
              <w:rPr>
                <w:rFonts w:ascii="Arial" w:cs="Arial" w:eastAsia="Arial" w:hAnsi="Arial"/>
                <w:b/>
                <w:bCs/>
                <w:color w:val="FFFFFF"/>
                <w:sz w:val="58"/>
                <w:szCs w:val="58"/>
              </w:rPr>
              <w:t xml:space="preserve">E-Commerce Sales &amp; Customer Analytics Dashboard</w:t>
            </w:r>
          </w:p>
          <w:p>
            <w:pPr>
              <w:spacing w:after="0" w:line="320"/>
            </w:pPr>
            <w:r>
              <w:rPr>
                <w:rFonts w:ascii="Arial" w:cs="Arial" w:eastAsia="Arial" w:hAnsi="Arial"/>
                <w:color w:val="8FB8DE"/>
                <w:sz w:val="26"/>
                <w:szCs w:val="26"/>
              </w:rPr>
              <w:t xml:space="preserve">An end-to-end analytics project using SQL Server, Excel and Power BI on the Olist Brazilian E-Commerce dataset</w:t>
            </w:r>
          </w:p>
        </w:tc>
      </w:tr>
    </w:tbl>
    <w:p>
      <w:pPr>
        <w:spacing w:after="8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Item</w:t>
            </w:r>
          </w:p>
        </w:tc>
        <w:tc>
          <w:tcPr>
            <w:tcW w:type="dxa" w:w="72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Details</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Prepared by</w:t>
            </w:r>
          </w:p>
        </w:tc>
        <w:tc>
          <w:tcPr>
            <w:tcW w:type="dxa" w:w="7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Syed Ubedullah Basha</w:t>
            </w:r>
          </w:p>
        </w:tc>
      </w:tr>
      <w:tr>
        <w:trPr>
          <w:cantSplit/>
        </w:trPr>
        <w:tc>
          <w:tcPr>
            <w:tcW w:type="dxa" w:w="24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Date</w:t>
            </w:r>
          </w:p>
        </w:tc>
        <w:tc>
          <w:tcPr>
            <w:tcW w:type="dxa" w:w="72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October 2026</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Dataset</w:t>
            </w:r>
          </w:p>
        </w:tc>
        <w:tc>
          <w:tcPr>
            <w:tcW w:type="dxa" w:w="7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Olist Brazilian E-Commerce Public Dataset (Kaggle)</w:t>
            </w:r>
          </w:p>
        </w:tc>
      </w:tr>
      <w:tr>
        <w:trPr>
          <w:cantSplit/>
        </w:trPr>
        <w:tc>
          <w:tcPr>
            <w:tcW w:type="dxa" w:w="24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Analysis period</w:t>
            </w:r>
          </w:p>
        </w:tc>
        <w:tc>
          <w:tcPr>
            <w:tcW w:type="dxa" w:w="72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January 2017 – August 2018</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Tools</w:t>
            </w:r>
          </w:p>
        </w:tc>
        <w:tc>
          <w:tcPr>
            <w:tcW w:type="dxa" w:w="7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SQL Server (SSMS), Microsoft Excel, Power BI Desktop</w:t>
            </w:r>
          </w:p>
        </w:tc>
      </w:tr>
      <w:tr>
        <w:trPr>
          <w:cantSplit/>
        </w:trPr>
        <w:tc>
          <w:tcPr>
            <w:tcW w:type="dxa" w:w="24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Repository</w:t>
            </w:r>
          </w:p>
        </w:tc>
        <w:tc>
          <w:tcPr>
            <w:tcW w:type="dxa" w:w="72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github.com/syed-ubedullah/Olist-Ecommerce-Analytics-Dashboard</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LinkedIn</w:t>
            </w:r>
          </w:p>
        </w:tc>
        <w:tc>
          <w:tcPr>
            <w:tcW w:type="dxa" w:w="7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linkedin.com/in/syed-ubedullah-basha</w:t>
            </w:r>
          </w:p>
        </w:tc>
      </w:tr>
    </w:tbl>
    <w:p>
      <w:pPr>
        <w:pStyle w:val="Heading1"/>
        <w:pageBreakBefore/>
      </w:pPr>
      <w:bookmarkStart w:name="contents" w:id="1"/>
      <w:r>
        <w:rPr>
          <w:rFonts w:ascii="Arial" w:cs="Arial" w:eastAsia="Arial" w:hAnsi="Arial"/>
        </w:rPr>
        <w:t xml:space="preserve">Contents</w:t>
      </w:r>
      <w:bookmarkEnd w:id="1"/>
    </w:p>
    <w:p>
      <w:pPr>
        <w:tabs>
          <w:tab w:val="left" w:pos="700"/>
        </w:tabs>
        <w:spacing w:after="100"/>
        <w:ind w:left="0"/>
      </w:pPr>
      <w:r>
        <w:rPr>
          <w:rFonts w:ascii="Arial" w:cs="Arial" w:eastAsia="Arial" w:hAnsi="Arial"/>
          <w:b/>
          <w:bCs/>
          <w:color w:val="5C6B7A"/>
          <w:sz w:val="21"/>
          <w:szCs w:val="21"/>
        </w:rPr>
        <w:t xml:space="preserve">1</w:t>
      </w:r>
      <w:r>
        <w:rPr>
          <w:rFonts w:ascii="Arial" w:cs="Arial" w:eastAsia="Arial" w:hAnsi="Arial"/>
        </w:rPr>
        <w:tab/>
      </w:r>
      <w:hyperlink w:history="1" w:anchor="s1">
        <w:r>
          <w:rPr>
            <w:rFonts w:ascii="Arial" w:cs="Arial" w:eastAsia="Arial" w:hAnsi="Arial"/>
            <w:b/>
            <w:bCs/>
            <w:color w:val="0B2545"/>
            <w:sz w:val="22"/>
            <w:szCs w:val="22"/>
          </w:rPr>
          <w:t xml:space="preserve">Executive Summary</w:t>
        </w:r>
      </w:hyperlink>
    </w:p>
    <w:p>
      <w:pPr>
        <w:tabs>
          <w:tab w:val="left" w:pos="700"/>
        </w:tabs>
        <w:spacing w:after="100"/>
        <w:ind w:left="0"/>
      </w:pPr>
      <w:r>
        <w:rPr>
          <w:rFonts w:ascii="Arial" w:cs="Arial" w:eastAsia="Arial" w:hAnsi="Arial"/>
          <w:b/>
          <w:bCs/>
          <w:color w:val="5C6B7A"/>
          <w:sz w:val="21"/>
          <w:szCs w:val="21"/>
        </w:rPr>
        <w:t xml:space="preserve">2</w:t>
      </w:r>
      <w:r>
        <w:rPr>
          <w:rFonts w:ascii="Arial" w:cs="Arial" w:eastAsia="Arial" w:hAnsi="Arial"/>
        </w:rPr>
        <w:tab/>
      </w:r>
      <w:hyperlink w:history="1" w:anchor="s2">
        <w:r>
          <w:rPr>
            <w:rFonts w:ascii="Arial" w:cs="Arial" w:eastAsia="Arial" w:hAnsi="Arial"/>
            <w:b/>
            <w:bCs/>
            <w:color w:val="0B2545"/>
            <w:sz w:val="22"/>
            <w:szCs w:val="22"/>
          </w:rPr>
          <w:t xml:space="preserve">Project Objectives and Scope</w:t>
        </w:r>
      </w:hyperlink>
    </w:p>
    <w:p>
      <w:pPr>
        <w:tabs>
          <w:tab w:val="left" w:pos="700"/>
        </w:tabs>
        <w:spacing w:after="100"/>
        <w:ind w:left="0"/>
      </w:pPr>
      <w:r>
        <w:rPr>
          <w:rFonts w:ascii="Arial" w:cs="Arial" w:eastAsia="Arial" w:hAnsi="Arial"/>
          <w:b/>
          <w:bCs/>
          <w:color w:val="5C6B7A"/>
          <w:sz w:val="21"/>
          <w:szCs w:val="21"/>
        </w:rPr>
        <w:t xml:space="preserve">3</w:t>
      </w:r>
      <w:r>
        <w:rPr>
          <w:rFonts w:ascii="Arial" w:cs="Arial" w:eastAsia="Arial" w:hAnsi="Arial"/>
        </w:rPr>
        <w:tab/>
      </w:r>
      <w:hyperlink w:history="1" w:anchor="s3">
        <w:r>
          <w:rPr>
            <w:rFonts w:ascii="Arial" w:cs="Arial" w:eastAsia="Arial" w:hAnsi="Arial"/>
            <w:b/>
            <w:bCs/>
            <w:color w:val="0B2545"/>
            <w:sz w:val="22"/>
            <w:szCs w:val="22"/>
          </w:rPr>
          <w:t xml:space="preserve">Dataset Overview</w:t>
        </w:r>
      </w:hyperlink>
    </w:p>
    <w:p>
      <w:pPr>
        <w:tabs>
          <w:tab w:val="left" w:pos="700"/>
        </w:tabs>
        <w:spacing w:after="100"/>
        <w:ind w:left="0"/>
      </w:pPr>
      <w:r>
        <w:rPr>
          <w:rFonts w:ascii="Arial" w:cs="Arial" w:eastAsia="Arial" w:hAnsi="Arial"/>
          <w:b/>
          <w:bCs/>
          <w:color w:val="5C6B7A"/>
          <w:sz w:val="21"/>
          <w:szCs w:val="21"/>
        </w:rPr>
        <w:t xml:space="preserve">4</w:t>
      </w:r>
      <w:r>
        <w:rPr>
          <w:rFonts w:ascii="Arial" w:cs="Arial" w:eastAsia="Arial" w:hAnsi="Arial"/>
        </w:rPr>
        <w:tab/>
      </w:r>
      <w:hyperlink w:history="1" w:anchor="s4">
        <w:r>
          <w:rPr>
            <w:rFonts w:ascii="Arial" w:cs="Arial" w:eastAsia="Arial" w:hAnsi="Arial"/>
            <w:b/>
            <w:bCs/>
            <w:color w:val="0B2545"/>
            <w:sz w:val="22"/>
            <w:szCs w:val="22"/>
          </w:rPr>
          <w:t xml:space="preserve">Tools and Technologies</w:t>
        </w:r>
      </w:hyperlink>
    </w:p>
    <w:p>
      <w:pPr>
        <w:tabs>
          <w:tab w:val="left" w:pos="700"/>
        </w:tabs>
        <w:spacing w:after="100"/>
        <w:ind w:left="0"/>
      </w:pPr>
      <w:r>
        <w:rPr>
          <w:rFonts w:ascii="Arial" w:cs="Arial" w:eastAsia="Arial" w:hAnsi="Arial"/>
          <w:b/>
          <w:bCs/>
          <w:color w:val="5C6B7A"/>
          <w:sz w:val="21"/>
          <w:szCs w:val="21"/>
        </w:rPr>
        <w:t xml:space="preserve">5</w:t>
      </w:r>
      <w:r>
        <w:rPr>
          <w:rFonts w:ascii="Arial" w:cs="Arial" w:eastAsia="Arial" w:hAnsi="Arial"/>
        </w:rPr>
        <w:tab/>
      </w:r>
      <w:hyperlink w:history="1" w:anchor="s5">
        <w:r>
          <w:rPr>
            <w:rFonts w:ascii="Arial" w:cs="Arial" w:eastAsia="Arial" w:hAnsi="Arial"/>
            <w:b/>
            <w:bCs/>
            <w:color w:val="0B2545"/>
            <w:sz w:val="22"/>
            <w:szCs w:val="22"/>
          </w:rPr>
          <w:t xml:space="preserve">Project Workflow</w:t>
        </w:r>
      </w:hyperlink>
    </w:p>
    <w:p>
      <w:pPr>
        <w:tabs>
          <w:tab w:val="left" w:pos="700"/>
        </w:tabs>
        <w:spacing w:after="100"/>
        <w:ind w:left="0"/>
      </w:pPr>
      <w:r>
        <w:rPr>
          <w:rFonts w:ascii="Arial" w:cs="Arial" w:eastAsia="Arial" w:hAnsi="Arial"/>
          <w:b/>
          <w:bCs/>
          <w:color w:val="5C6B7A"/>
          <w:sz w:val="21"/>
          <w:szCs w:val="21"/>
        </w:rPr>
        <w:t xml:space="preserve">6</w:t>
      </w:r>
      <w:r>
        <w:rPr>
          <w:rFonts w:ascii="Arial" w:cs="Arial" w:eastAsia="Arial" w:hAnsi="Arial"/>
        </w:rPr>
        <w:tab/>
      </w:r>
      <w:hyperlink w:history="1" w:anchor="s6">
        <w:r>
          <w:rPr>
            <w:rFonts w:ascii="Arial" w:cs="Arial" w:eastAsia="Arial" w:hAnsi="Arial"/>
            <w:b/>
            <w:bCs/>
            <w:color w:val="0B2545"/>
            <w:sz w:val="22"/>
            <w:szCs w:val="22"/>
          </w:rPr>
          <w:t xml:space="preserve">Data Engineering in SQL Server</w:t>
        </w:r>
      </w:hyperlink>
    </w:p>
    <w:p>
      <w:pPr>
        <w:tabs>
          <w:tab w:val="left" w:pos="700"/>
        </w:tabs>
        <w:spacing w:after="100"/>
        <w:ind w:left="0"/>
      </w:pPr>
      <w:r>
        <w:rPr>
          <w:rFonts w:ascii="Arial" w:cs="Arial" w:eastAsia="Arial" w:hAnsi="Arial"/>
          <w:b/>
          <w:bCs/>
          <w:color w:val="5C6B7A"/>
          <w:sz w:val="21"/>
          <w:szCs w:val="21"/>
        </w:rPr>
        <w:t xml:space="preserve">7</w:t>
      </w:r>
      <w:r>
        <w:rPr>
          <w:rFonts w:ascii="Arial" w:cs="Arial" w:eastAsia="Arial" w:hAnsi="Arial"/>
        </w:rPr>
        <w:tab/>
      </w:r>
      <w:hyperlink w:history="1" w:anchor="s7">
        <w:r>
          <w:rPr>
            <w:rFonts w:ascii="Arial" w:cs="Arial" w:eastAsia="Arial" w:hAnsi="Arial"/>
            <w:b/>
            <w:bCs/>
            <w:color w:val="0B2545"/>
            <w:sz w:val="22"/>
            <w:szCs w:val="22"/>
          </w:rPr>
          <w:t xml:space="preserve">Data Model</w:t>
        </w:r>
      </w:hyperlink>
    </w:p>
    <w:p>
      <w:pPr>
        <w:tabs>
          <w:tab w:val="left" w:pos="700"/>
        </w:tabs>
        <w:spacing w:after="100"/>
        <w:ind w:left="0"/>
      </w:pPr>
      <w:r>
        <w:rPr>
          <w:rFonts w:ascii="Arial" w:cs="Arial" w:eastAsia="Arial" w:hAnsi="Arial"/>
          <w:b/>
          <w:bCs/>
          <w:color w:val="5C6B7A"/>
          <w:sz w:val="21"/>
          <w:szCs w:val="21"/>
        </w:rPr>
        <w:t xml:space="preserve">8</w:t>
      </w:r>
      <w:r>
        <w:rPr>
          <w:rFonts w:ascii="Arial" w:cs="Arial" w:eastAsia="Arial" w:hAnsi="Arial"/>
        </w:rPr>
        <w:tab/>
      </w:r>
      <w:hyperlink w:history="1" w:anchor="s8">
        <w:r>
          <w:rPr>
            <w:rFonts w:ascii="Arial" w:cs="Arial" w:eastAsia="Arial" w:hAnsi="Arial"/>
            <w:b/>
            <w:bCs/>
            <w:color w:val="0B2545"/>
            <w:sz w:val="22"/>
            <w:szCs w:val="22"/>
          </w:rPr>
          <w:t xml:space="preserve">DAX Measures and Calculated Columns</w:t>
        </w:r>
      </w:hyperlink>
    </w:p>
    <w:p>
      <w:pPr>
        <w:tabs>
          <w:tab w:val="left" w:pos="700"/>
        </w:tabs>
        <w:spacing w:after="100"/>
        <w:ind w:left="0"/>
      </w:pPr>
      <w:r>
        <w:rPr>
          <w:rFonts w:ascii="Arial" w:cs="Arial" w:eastAsia="Arial" w:hAnsi="Arial"/>
          <w:b/>
          <w:bCs/>
          <w:color w:val="5C6B7A"/>
          <w:sz w:val="21"/>
          <w:szCs w:val="21"/>
        </w:rPr>
        <w:t xml:space="preserve">9</w:t>
      </w:r>
      <w:r>
        <w:rPr>
          <w:rFonts w:ascii="Arial" w:cs="Arial" w:eastAsia="Arial" w:hAnsi="Arial"/>
        </w:rPr>
        <w:tab/>
      </w:r>
      <w:hyperlink w:history="1" w:anchor="s9">
        <w:r>
          <w:rPr>
            <w:rFonts w:ascii="Arial" w:cs="Arial" w:eastAsia="Arial" w:hAnsi="Arial"/>
            <w:b/>
            <w:bCs/>
            <w:color w:val="0B2545"/>
            <w:sz w:val="22"/>
            <w:szCs w:val="22"/>
          </w:rPr>
          <w:t xml:space="preserve">Dashboard Design System</w:t>
        </w:r>
      </w:hyperlink>
    </w:p>
    <w:p>
      <w:pPr>
        <w:tabs>
          <w:tab w:val="left" w:pos="700"/>
        </w:tabs>
        <w:spacing w:after="100"/>
        <w:ind w:left="0"/>
      </w:pPr>
      <w:r>
        <w:rPr>
          <w:rFonts w:ascii="Arial" w:cs="Arial" w:eastAsia="Arial" w:hAnsi="Arial"/>
          <w:b/>
          <w:bCs/>
          <w:color w:val="5C6B7A"/>
          <w:sz w:val="21"/>
          <w:szCs w:val="21"/>
        </w:rPr>
        <w:t xml:space="preserve">10</w:t>
      </w:r>
      <w:r>
        <w:rPr>
          <w:rFonts w:ascii="Arial" w:cs="Arial" w:eastAsia="Arial" w:hAnsi="Arial"/>
        </w:rPr>
        <w:tab/>
      </w:r>
      <w:hyperlink w:history="1" w:anchor="s10">
        <w:r>
          <w:rPr>
            <w:rFonts w:ascii="Arial" w:cs="Arial" w:eastAsia="Arial" w:hAnsi="Arial"/>
            <w:b/>
            <w:bCs/>
            <w:color w:val="0B2545"/>
            <w:sz w:val="22"/>
            <w:szCs w:val="22"/>
          </w:rPr>
          <w:t xml:space="preserve">Dashboard Pages</w:t>
        </w:r>
      </w:hyperlink>
    </w:p>
    <w:p>
      <w:pPr>
        <w:tabs>
          <w:tab w:val="left" w:pos="1300"/>
        </w:tabs>
        <w:spacing w:after="60"/>
        <w:ind w:left="700"/>
      </w:pPr>
      <w:r>
        <w:rPr>
          <w:rFonts w:ascii="Arial" w:cs="Arial" w:eastAsia="Arial" w:hAnsi="Arial"/>
          <w:b w:val="false"/>
          <w:bCs w:val="false"/>
          <w:color w:val="5C6B7A"/>
          <w:sz w:val="21"/>
          <w:szCs w:val="21"/>
        </w:rPr>
        <w:t xml:space="preserve">10.1</w:t>
      </w:r>
      <w:r>
        <w:rPr>
          <w:rFonts w:ascii="Arial" w:cs="Arial" w:eastAsia="Arial" w:hAnsi="Arial"/>
        </w:rPr>
        <w:tab/>
      </w:r>
      <w:hyperlink w:history="1" w:anchor="s10_1">
        <w:r>
          <w:rPr>
            <w:rFonts w:ascii="Arial" w:cs="Arial" w:eastAsia="Arial" w:hAnsi="Arial"/>
            <w:b w:val="false"/>
            <w:bCs w:val="false"/>
            <w:color w:val="1D4E89"/>
            <w:sz w:val="20"/>
            <w:szCs w:val="20"/>
          </w:rPr>
          <w:t xml:space="preserve">Executive Overview</w:t>
        </w:r>
      </w:hyperlink>
    </w:p>
    <w:p>
      <w:pPr>
        <w:tabs>
          <w:tab w:val="left" w:pos="1300"/>
        </w:tabs>
        <w:spacing w:after="60"/>
        <w:ind w:left="700"/>
      </w:pPr>
      <w:r>
        <w:rPr>
          <w:rFonts w:ascii="Arial" w:cs="Arial" w:eastAsia="Arial" w:hAnsi="Arial"/>
          <w:b w:val="false"/>
          <w:bCs w:val="false"/>
          <w:color w:val="5C6B7A"/>
          <w:sz w:val="21"/>
          <w:szCs w:val="21"/>
        </w:rPr>
        <w:t xml:space="preserve">10.2</w:t>
      </w:r>
      <w:r>
        <w:rPr>
          <w:rFonts w:ascii="Arial" w:cs="Arial" w:eastAsia="Arial" w:hAnsi="Arial"/>
        </w:rPr>
        <w:tab/>
      </w:r>
      <w:hyperlink w:history="1" w:anchor="s10_2">
        <w:r>
          <w:rPr>
            <w:rFonts w:ascii="Arial" w:cs="Arial" w:eastAsia="Arial" w:hAnsi="Arial"/>
            <w:b w:val="false"/>
            <w:bCs w:val="false"/>
            <w:color w:val="1D4E89"/>
            <w:sz w:val="20"/>
            <w:szCs w:val="20"/>
          </w:rPr>
          <w:t xml:space="preserve">Sales &amp; Product</w:t>
        </w:r>
      </w:hyperlink>
    </w:p>
    <w:p>
      <w:pPr>
        <w:tabs>
          <w:tab w:val="left" w:pos="1300"/>
        </w:tabs>
        <w:spacing w:after="60"/>
        <w:ind w:left="700"/>
      </w:pPr>
      <w:r>
        <w:rPr>
          <w:rFonts w:ascii="Arial" w:cs="Arial" w:eastAsia="Arial" w:hAnsi="Arial"/>
          <w:b w:val="false"/>
          <w:bCs w:val="false"/>
          <w:color w:val="5C6B7A"/>
          <w:sz w:val="21"/>
          <w:szCs w:val="21"/>
        </w:rPr>
        <w:t xml:space="preserve">10.3</w:t>
      </w:r>
      <w:r>
        <w:rPr>
          <w:rFonts w:ascii="Arial" w:cs="Arial" w:eastAsia="Arial" w:hAnsi="Arial"/>
        </w:rPr>
        <w:tab/>
      </w:r>
      <w:hyperlink w:history="1" w:anchor="s10_3">
        <w:r>
          <w:rPr>
            <w:rFonts w:ascii="Arial" w:cs="Arial" w:eastAsia="Arial" w:hAnsi="Arial"/>
            <w:b w:val="false"/>
            <w:bCs w:val="false"/>
            <w:color w:val="1D4E89"/>
            <w:sz w:val="20"/>
            <w:szCs w:val="20"/>
          </w:rPr>
          <w:t xml:space="preserve">Customer Analytics</w:t>
        </w:r>
      </w:hyperlink>
    </w:p>
    <w:p>
      <w:pPr>
        <w:tabs>
          <w:tab w:val="left" w:pos="1300"/>
        </w:tabs>
        <w:spacing w:after="60"/>
        <w:ind w:left="700"/>
      </w:pPr>
      <w:r>
        <w:rPr>
          <w:rFonts w:ascii="Arial" w:cs="Arial" w:eastAsia="Arial" w:hAnsi="Arial"/>
          <w:b w:val="false"/>
          <w:bCs w:val="false"/>
          <w:color w:val="5C6B7A"/>
          <w:sz w:val="21"/>
          <w:szCs w:val="21"/>
        </w:rPr>
        <w:t xml:space="preserve">10.4</w:t>
      </w:r>
      <w:r>
        <w:rPr>
          <w:rFonts w:ascii="Arial" w:cs="Arial" w:eastAsia="Arial" w:hAnsi="Arial"/>
        </w:rPr>
        <w:tab/>
      </w:r>
      <w:hyperlink w:history="1" w:anchor="s10_4">
        <w:r>
          <w:rPr>
            <w:rFonts w:ascii="Arial" w:cs="Arial" w:eastAsia="Arial" w:hAnsi="Arial"/>
            <w:b w:val="false"/>
            <w:bCs w:val="false"/>
            <w:color w:val="1D4E89"/>
            <w:sz w:val="20"/>
            <w:szCs w:val="20"/>
          </w:rPr>
          <w:t xml:space="preserve">Delivery &amp; Satisfaction</w:t>
        </w:r>
      </w:hyperlink>
    </w:p>
    <w:p>
      <w:pPr>
        <w:tabs>
          <w:tab w:val="left" w:pos="1300"/>
        </w:tabs>
        <w:spacing w:after="60"/>
        <w:ind w:left="700"/>
      </w:pPr>
      <w:r>
        <w:rPr>
          <w:rFonts w:ascii="Arial" w:cs="Arial" w:eastAsia="Arial" w:hAnsi="Arial"/>
          <w:b w:val="false"/>
          <w:bCs w:val="false"/>
          <w:color w:val="5C6B7A"/>
          <w:sz w:val="21"/>
          <w:szCs w:val="21"/>
        </w:rPr>
        <w:t xml:space="preserve">10.5</w:t>
      </w:r>
      <w:r>
        <w:rPr>
          <w:rFonts w:ascii="Arial" w:cs="Arial" w:eastAsia="Arial" w:hAnsi="Arial"/>
        </w:rPr>
        <w:tab/>
      </w:r>
      <w:hyperlink w:history="1" w:anchor="s10_5">
        <w:r>
          <w:rPr>
            <w:rFonts w:ascii="Arial" w:cs="Arial" w:eastAsia="Arial" w:hAnsi="Arial"/>
            <w:b w:val="false"/>
            <w:bCs w:val="false"/>
            <w:color w:val="1D4E89"/>
            <w:sz w:val="20"/>
            <w:szCs w:val="20"/>
          </w:rPr>
          <w:t xml:space="preserve">Key Insights</w:t>
        </w:r>
      </w:hyperlink>
    </w:p>
    <w:p>
      <w:pPr>
        <w:tabs>
          <w:tab w:val="left" w:pos="700"/>
        </w:tabs>
        <w:spacing w:after="100"/>
        <w:ind w:left="0"/>
      </w:pPr>
      <w:r>
        <w:rPr>
          <w:rFonts w:ascii="Arial" w:cs="Arial" w:eastAsia="Arial" w:hAnsi="Arial"/>
          <w:b/>
          <w:bCs/>
          <w:color w:val="5C6B7A"/>
          <w:sz w:val="21"/>
          <w:szCs w:val="21"/>
        </w:rPr>
        <w:t xml:space="preserve">11</w:t>
      </w:r>
      <w:r>
        <w:rPr>
          <w:rFonts w:ascii="Arial" w:cs="Arial" w:eastAsia="Arial" w:hAnsi="Arial"/>
        </w:rPr>
        <w:tab/>
      </w:r>
      <w:hyperlink w:history="1" w:anchor="s11">
        <w:r>
          <w:rPr>
            <w:rFonts w:ascii="Arial" w:cs="Arial" w:eastAsia="Arial" w:hAnsi="Arial"/>
            <w:b/>
            <w:bCs/>
            <w:color w:val="0B2545"/>
            <w:sz w:val="22"/>
            <w:szCs w:val="22"/>
          </w:rPr>
          <w:t xml:space="preserve">Key Findings and Recommendations</w:t>
        </w:r>
      </w:hyperlink>
    </w:p>
    <w:p>
      <w:pPr>
        <w:tabs>
          <w:tab w:val="left" w:pos="700"/>
        </w:tabs>
        <w:spacing w:after="100"/>
        <w:ind w:left="0"/>
      </w:pPr>
      <w:r>
        <w:rPr>
          <w:rFonts w:ascii="Arial" w:cs="Arial" w:eastAsia="Arial" w:hAnsi="Arial"/>
          <w:b/>
          <w:bCs/>
          <w:color w:val="5C6B7A"/>
          <w:sz w:val="21"/>
          <w:szCs w:val="21"/>
        </w:rPr>
        <w:t xml:space="preserve">12</w:t>
      </w:r>
      <w:r>
        <w:rPr>
          <w:rFonts w:ascii="Arial" w:cs="Arial" w:eastAsia="Arial" w:hAnsi="Arial"/>
        </w:rPr>
        <w:tab/>
      </w:r>
      <w:hyperlink w:history="1" w:anchor="s12">
        <w:r>
          <w:rPr>
            <w:rFonts w:ascii="Arial" w:cs="Arial" w:eastAsia="Arial" w:hAnsi="Arial"/>
            <w:b/>
            <w:bCs/>
            <w:color w:val="0B2545"/>
            <w:sz w:val="22"/>
            <w:szCs w:val="22"/>
          </w:rPr>
          <w:t xml:space="preserve">Validation and Data Quality</w:t>
        </w:r>
      </w:hyperlink>
    </w:p>
    <w:p>
      <w:pPr>
        <w:tabs>
          <w:tab w:val="left" w:pos="700"/>
        </w:tabs>
        <w:spacing w:after="100"/>
        <w:ind w:left="0"/>
      </w:pPr>
      <w:r>
        <w:rPr>
          <w:rFonts w:ascii="Arial" w:cs="Arial" w:eastAsia="Arial" w:hAnsi="Arial"/>
          <w:b/>
          <w:bCs/>
          <w:color w:val="5C6B7A"/>
          <w:sz w:val="21"/>
          <w:szCs w:val="21"/>
        </w:rPr>
        <w:t xml:space="preserve">13</w:t>
      </w:r>
      <w:r>
        <w:rPr>
          <w:rFonts w:ascii="Arial" w:cs="Arial" w:eastAsia="Arial" w:hAnsi="Arial"/>
        </w:rPr>
        <w:tab/>
      </w:r>
      <w:hyperlink w:history="1" w:anchor="s13">
        <w:r>
          <w:rPr>
            <w:rFonts w:ascii="Arial" w:cs="Arial" w:eastAsia="Arial" w:hAnsi="Arial"/>
            <w:b/>
            <w:bCs/>
            <w:color w:val="0B2545"/>
            <w:sz w:val="22"/>
            <w:szCs w:val="22"/>
          </w:rPr>
          <w:t xml:space="preserve">Challenges and Solutions</w:t>
        </w:r>
      </w:hyperlink>
    </w:p>
    <w:p>
      <w:pPr>
        <w:tabs>
          <w:tab w:val="left" w:pos="700"/>
        </w:tabs>
        <w:spacing w:after="100"/>
        <w:ind w:left="0"/>
      </w:pPr>
      <w:r>
        <w:rPr>
          <w:rFonts w:ascii="Arial" w:cs="Arial" w:eastAsia="Arial" w:hAnsi="Arial"/>
          <w:b/>
          <w:bCs/>
          <w:color w:val="5C6B7A"/>
          <w:sz w:val="21"/>
          <w:szCs w:val="21"/>
        </w:rPr>
        <w:t xml:space="preserve">14</w:t>
      </w:r>
      <w:r>
        <w:rPr>
          <w:rFonts w:ascii="Arial" w:cs="Arial" w:eastAsia="Arial" w:hAnsi="Arial"/>
        </w:rPr>
        <w:tab/>
      </w:r>
      <w:hyperlink w:history="1" w:anchor="s14">
        <w:r>
          <w:rPr>
            <w:rFonts w:ascii="Arial" w:cs="Arial" w:eastAsia="Arial" w:hAnsi="Arial"/>
            <w:b/>
            <w:bCs/>
            <w:color w:val="0B2545"/>
            <w:sz w:val="22"/>
            <w:szCs w:val="22"/>
          </w:rPr>
          <w:t xml:space="preserve">Limitations and Future Work</w:t>
        </w:r>
      </w:hyperlink>
    </w:p>
    <w:p>
      <w:pPr>
        <w:tabs>
          <w:tab w:val="left" w:pos="700"/>
        </w:tabs>
        <w:spacing w:after="100"/>
        <w:ind w:left="0"/>
      </w:pPr>
      <w:r>
        <w:rPr>
          <w:rFonts w:ascii="Arial" w:cs="Arial" w:eastAsia="Arial" w:hAnsi="Arial"/>
          <w:b/>
          <w:bCs/>
          <w:color w:val="5C6B7A"/>
          <w:sz w:val="21"/>
          <w:szCs w:val="21"/>
        </w:rPr>
        <w:t xml:space="preserve">15</w:t>
      </w:r>
      <w:r>
        <w:rPr>
          <w:rFonts w:ascii="Arial" w:cs="Arial" w:eastAsia="Arial" w:hAnsi="Arial"/>
        </w:rPr>
        <w:tab/>
      </w:r>
      <w:hyperlink w:history="1" w:anchor="s15">
        <w:r>
          <w:rPr>
            <w:rFonts w:ascii="Arial" w:cs="Arial" w:eastAsia="Arial" w:hAnsi="Arial"/>
            <w:b/>
            <w:bCs/>
            <w:color w:val="0B2545"/>
            <w:sz w:val="22"/>
            <w:szCs w:val="22"/>
          </w:rPr>
          <w:t xml:space="preserve">Repository Structure and How to Reproduce</w:t>
        </w:r>
      </w:hyperlink>
    </w:p>
    <w:p>
      <w:pPr>
        <w:tabs>
          <w:tab w:val="left" w:pos="700"/>
        </w:tabs>
        <w:spacing w:after="100"/>
        <w:ind w:left="0"/>
      </w:pPr>
      <w:r>
        <w:rPr>
          <w:rFonts w:ascii="Arial" w:cs="Arial" w:eastAsia="Arial" w:hAnsi="Arial"/>
          <w:b/>
          <w:bCs/>
          <w:color w:val="5C6B7A"/>
          <w:sz w:val="21"/>
          <w:szCs w:val="21"/>
        </w:rPr>
        <w:t xml:space="preserve">A</w:t>
      </w:r>
      <w:r>
        <w:rPr>
          <w:rFonts w:ascii="Arial" w:cs="Arial" w:eastAsia="Arial" w:hAnsi="Arial"/>
        </w:rPr>
        <w:tab/>
      </w:r>
      <w:hyperlink w:history="1" w:anchor="sA">
        <w:r>
          <w:rPr>
            <w:rFonts w:ascii="Arial" w:cs="Arial" w:eastAsia="Arial" w:hAnsi="Arial"/>
            <w:b/>
            <w:bCs/>
            <w:color w:val="0B2545"/>
            <w:sz w:val="22"/>
            <w:szCs w:val="22"/>
          </w:rPr>
          <w:t xml:space="preserve">Appendix A: SQL Scripts</w:t>
        </w:r>
      </w:hyperlink>
    </w:p>
    <w:p>
      <w:pPr>
        <w:tabs>
          <w:tab w:val="left" w:pos="700"/>
        </w:tabs>
        <w:spacing w:after="100"/>
        <w:ind w:left="0"/>
      </w:pPr>
      <w:r>
        <w:rPr>
          <w:rFonts w:ascii="Arial" w:cs="Arial" w:eastAsia="Arial" w:hAnsi="Arial"/>
          <w:b/>
          <w:bCs/>
          <w:color w:val="5C6B7A"/>
          <w:sz w:val="21"/>
          <w:szCs w:val="21"/>
        </w:rPr>
        <w:t xml:space="preserve">B</w:t>
      </w:r>
      <w:r>
        <w:rPr>
          <w:rFonts w:ascii="Arial" w:cs="Arial" w:eastAsia="Arial" w:hAnsi="Arial"/>
        </w:rPr>
        <w:tab/>
      </w:r>
      <w:hyperlink w:history="1" w:anchor="sB">
        <w:r>
          <w:rPr>
            <w:rFonts w:ascii="Arial" w:cs="Arial" w:eastAsia="Arial" w:hAnsi="Arial"/>
            <w:b/>
            <w:bCs/>
            <w:color w:val="0B2545"/>
            <w:sz w:val="22"/>
            <w:szCs w:val="22"/>
          </w:rPr>
          <w:t xml:space="preserve">Appendix B: DAX Code</w:t>
        </w:r>
      </w:hyperlink>
    </w:p>
    <w:p>
      <w:pPr>
        <w:pStyle w:val="Heading1"/>
        <w:pageBreakBefore/>
      </w:pPr>
      <w:bookmarkStart w:name="s1" w:id="1"/>
      <w:r>
        <w:rPr>
          <w:rFonts w:ascii="Arial" w:cs="Arial" w:eastAsia="Arial" w:hAnsi="Arial"/>
        </w:rPr>
        <w:t xml:space="preserve">1. Executive Summary</w:t>
      </w:r>
      <w:bookmarkEnd w:id="1"/>
    </w:p>
    <w:p>
      <w:pPr>
        <w:spacing w:after="120" w:before="0" w:line="300"/>
      </w:pPr>
      <w:r>
        <w:rPr>
          <w:rFonts w:ascii="Arial" w:cs="Arial" w:eastAsia="Arial" w:hAnsi="Arial"/>
          <w:color w:val="26323F"/>
          <w:sz w:val="21"/>
          <w:szCs w:val="21"/>
        </w:rPr>
        <w:t xml:space="preserve">This report documents the complete, end-to-end build of an e-commerce analytics solution, from raw CSV files to a five-page interactive Power BI dashboard. The project uses the public Olist Brazilian E-Commerce dataset and covers sales performance, products and sellers, customer retention, and delivery performance and satisfaction for the period January 2017 to August 2018.</w:t>
      </w:r>
    </w:p>
    <w:p>
      <w:pPr>
        <w:spacing w:after="120" w:before="0" w:line="300"/>
      </w:pPr>
      <w:r>
        <w:rPr>
          <w:rFonts w:ascii="Arial" w:cs="Arial" w:eastAsia="Arial" w:hAnsi="Arial"/>
          <w:color w:val="26323F"/>
          <w:sz w:val="21"/>
          <w:szCs w:val="21"/>
        </w:rPr>
        <w:t xml:space="preserve">The raw data was imported into SQL Server, cleaned and reshaped into analytical views, modelled as a star schema in Power BI, visualised across five pages with a consistent design system and page navigation, and finally validated by reconciling the headline numbers across SQL, Excel and Power BI.</w:t>
      </w:r>
    </w:p>
    <w:p>
      <w:pPr>
        <w:pStyle w:val="Heading3"/>
      </w:pPr>
      <w:r>
        <w:rPr>
          <w:rFonts w:ascii="Arial" w:cs="Arial" w:eastAsia="Arial" w:hAnsi="Arial"/>
        </w:rPr>
        <w:t xml:space="preserve">Headline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cantSplit/>
        </w:trPr>
        <w:tc>
          <w:tcPr>
            <w:tcW w:type="dxa" w:w="3213"/>
            <w:tcBorders>
              <w:top w:val="single" w:color="1D4E89" w:sz="18"/>
              <w:left w:val="single" w:color="E1E6EF" w:sz="4"/>
              <w:bottom w:val="single" w:color="E1E6EF" w:sz="4"/>
              <w:right w:val="single" w:color="E1E6EF" w:sz="4"/>
            </w:tcBorders>
            <w:shd w:fill="F4F6FA" w:color="auto" w:val="clear"/>
            <w:tcMar>
              <w:top w:type="dxa" w:w="140"/>
              <w:left w:type="dxa" w:w="120"/>
              <w:bottom w:type="dxa" w:w="140"/>
              <w:right w:type="dxa" w:w="120"/>
            </w:tcMar>
          </w:tcPr>
          <w:p>
            <w:pPr>
              <w:spacing w:after="40"/>
              <w:jc w:val="center"/>
            </w:pPr>
            <w:r>
              <w:rPr>
                <w:rFonts w:ascii="Arial" w:cs="Arial" w:eastAsia="Arial" w:hAnsi="Arial"/>
                <w:b/>
                <w:bCs/>
                <w:color w:val="0B2545"/>
                <w:sz w:val="38"/>
                <w:szCs w:val="38"/>
              </w:rPr>
              <w:t xml:space="preserve">R$ 13.18M</w:t>
            </w:r>
          </w:p>
          <w:p>
            <w:pPr>
              <w:spacing w:after="0"/>
              <w:jc w:val="center"/>
            </w:pPr>
            <w:r>
              <w:rPr>
                <w:rFonts w:ascii="Arial" w:cs="Arial" w:eastAsia="Arial" w:hAnsi="Arial"/>
                <w:color w:val="5C6B7A"/>
                <w:sz w:val="17"/>
                <w:szCs w:val="17"/>
              </w:rPr>
              <w:t xml:space="preserve">Total revenue (delivered orders)</w:t>
            </w:r>
          </w:p>
        </w:tc>
        <w:tc>
          <w:tcPr>
            <w:tcW w:type="dxa" w:w="3213"/>
            <w:tcBorders>
              <w:top w:val="single" w:color="00A6A6" w:sz="18"/>
              <w:left w:val="single" w:color="E1E6EF" w:sz="4"/>
              <w:bottom w:val="single" w:color="E1E6EF" w:sz="4"/>
              <w:right w:val="single" w:color="E1E6EF" w:sz="4"/>
            </w:tcBorders>
            <w:shd w:fill="F4F6FA" w:color="auto" w:val="clear"/>
            <w:tcMar>
              <w:top w:type="dxa" w:w="140"/>
              <w:left w:type="dxa" w:w="120"/>
              <w:bottom w:type="dxa" w:w="140"/>
              <w:right w:type="dxa" w:w="120"/>
            </w:tcMar>
          </w:tcPr>
          <w:p>
            <w:pPr>
              <w:spacing w:after="40"/>
              <w:jc w:val="center"/>
            </w:pPr>
            <w:r>
              <w:rPr>
                <w:rFonts w:ascii="Arial" w:cs="Arial" w:eastAsia="Arial" w:hAnsi="Arial"/>
                <w:b/>
                <w:bCs/>
                <w:color w:val="0B2545"/>
                <w:sz w:val="38"/>
                <w:szCs w:val="38"/>
              </w:rPr>
              <w:t xml:space="preserve">96.2K</w:t>
            </w:r>
          </w:p>
          <w:p>
            <w:pPr>
              <w:spacing w:after="0"/>
              <w:jc w:val="center"/>
            </w:pPr>
            <w:r>
              <w:rPr>
                <w:rFonts w:ascii="Arial" w:cs="Arial" w:eastAsia="Arial" w:hAnsi="Arial"/>
                <w:color w:val="5C6B7A"/>
                <w:sz w:val="17"/>
                <w:szCs w:val="17"/>
              </w:rPr>
              <w:t xml:space="preserve">Delivered orders</w:t>
            </w:r>
          </w:p>
        </w:tc>
        <w:tc>
          <w:tcPr>
            <w:tcW w:type="dxa" w:w="3212"/>
            <w:tcBorders>
              <w:top w:val="single" w:color="1D4E89" w:sz="18"/>
              <w:left w:val="single" w:color="E1E6EF" w:sz="4"/>
              <w:bottom w:val="single" w:color="E1E6EF" w:sz="4"/>
              <w:right w:val="single" w:color="E1E6EF" w:sz="4"/>
            </w:tcBorders>
            <w:shd w:fill="F4F6FA" w:color="auto" w:val="clear"/>
            <w:tcMar>
              <w:top w:type="dxa" w:w="140"/>
              <w:left w:type="dxa" w:w="120"/>
              <w:bottom w:type="dxa" w:w="140"/>
              <w:right w:type="dxa" w:w="120"/>
            </w:tcMar>
          </w:tcPr>
          <w:p>
            <w:pPr>
              <w:spacing w:after="40"/>
              <w:jc w:val="center"/>
            </w:pPr>
            <w:r>
              <w:rPr>
                <w:rFonts w:ascii="Arial" w:cs="Arial" w:eastAsia="Arial" w:hAnsi="Arial"/>
                <w:b/>
                <w:bCs/>
                <w:color w:val="0B2545"/>
                <w:sz w:val="38"/>
                <w:szCs w:val="38"/>
              </w:rPr>
              <w:t xml:space="preserve">93.1K</w:t>
            </w:r>
          </w:p>
          <w:p>
            <w:pPr>
              <w:spacing w:after="0"/>
              <w:jc w:val="center"/>
            </w:pPr>
            <w:r>
              <w:rPr>
                <w:rFonts w:ascii="Arial" w:cs="Arial" w:eastAsia="Arial" w:hAnsi="Arial"/>
                <w:color w:val="5C6B7A"/>
                <w:sz w:val="17"/>
                <w:szCs w:val="17"/>
              </w:rPr>
              <w:t xml:space="preserve">Unique customers</w:t>
            </w:r>
          </w:p>
        </w:tc>
      </w:tr>
      <w:tr>
        <w:trPr>
          <w:cantSplit/>
        </w:trPr>
        <w:tc>
          <w:tcPr>
            <w:tcW w:type="dxa" w:w="3213"/>
            <w:tcBorders>
              <w:top w:val="single" w:color="F28C28" w:sz="18"/>
              <w:left w:val="single" w:color="E1E6EF" w:sz="4"/>
              <w:bottom w:val="single" w:color="E1E6EF" w:sz="4"/>
              <w:right w:val="single" w:color="E1E6EF" w:sz="4"/>
            </w:tcBorders>
            <w:shd w:fill="F4F6FA" w:color="auto" w:val="clear"/>
            <w:tcMar>
              <w:top w:type="dxa" w:w="140"/>
              <w:left w:type="dxa" w:w="120"/>
              <w:bottom w:type="dxa" w:w="140"/>
              <w:right w:type="dxa" w:w="120"/>
            </w:tcMar>
          </w:tcPr>
          <w:p>
            <w:pPr>
              <w:spacing w:after="40"/>
              <w:jc w:val="center"/>
            </w:pPr>
            <w:r>
              <w:rPr>
                <w:rFonts w:ascii="Arial" w:cs="Arial" w:eastAsia="Arial" w:hAnsi="Arial"/>
                <w:b/>
                <w:bCs/>
                <w:color w:val="0B2545"/>
                <w:sz w:val="38"/>
                <w:szCs w:val="38"/>
              </w:rPr>
              <w:t xml:space="preserve">3.0%</w:t>
            </w:r>
          </w:p>
          <w:p>
            <w:pPr>
              <w:spacing w:after="0"/>
              <w:jc w:val="center"/>
            </w:pPr>
            <w:r>
              <w:rPr>
                <w:rFonts w:ascii="Arial" w:cs="Arial" w:eastAsia="Arial" w:hAnsi="Arial"/>
                <w:color w:val="5C6B7A"/>
                <w:sz w:val="17"/>
                <w:szCs w:val="17"/>
              </w:rPr>
              <w:t xml:space="preserve">Repeat customer rate</w:t>
            </w:r>
          </w:p>
        </w:tc>
        <w:tc>
          <w:tcPr>
            <w:tcW w:type="dxa" w:w="3213"/>
            <w:tcBorders>
              <w:top w:val="single" w:color="00A6A6" w:sz="18"/>
              <w:left w:val="single" w:color="E1E6EF" w:sz="4"/>
              <w:bottom w:val="single" w:color="E1E6EF" w:sz="4"/>
              <w:right w:val="single" w:color="E1E6EF" w:sz="4"/>
            </w:tcBorders>
            <w:shd w:fill="F4F6FA" w:color="auto" w:val="clear"/>
            <w:tcMar>
              <w:top w:type="dxa" w:w="140"/>
              <w:left w:type="dxa" w:w="120"/>
              <w:bottom w:type="dxa" w:w="140"/>
              <w:right w:type="dxa" w:w="120"/>
            </w:tcMar>
          </w:tcPr>
          <w:p>
            <w:pPr>
              <w:spacing w:after="40"/>
              <w:jc w:val="center"/>
            </w:pPr>
            <w:r>
              <w:rPr>
                <w:rFonts w:ascii="Arial" w:cs="Arial" w:eastAsia="Arial" w:hAnsi="Arial"/>
                <w:b/>
                <w:bCs/>
                <w:color w:val="0B2545"/>
                <w:sz w:val="38"/>
                <w:szCs w:val="38"/>
              </w:rPr>
              <w:t xml:space="preserve">91.9%</w:t>
            </w:r>
          </w:p>
          <w:p>
            <w:pPr>
              <w:spacing w:after="0"/>
              <w:jc w:val="center"/>
            </w:pPr>
            <w:r>
              <w:rPr>
                <w:rFonts w:ascii="Arial" w:cs="Arial" w:eastAsia="Arial" w:hAnsi="Arial"/>
                <w:color w:val="5C6B7A"/>
                <w:sz w:val="17"/>
                <w:szCs w:val="17"/>
              </w:rPr>
              <w:t xml:space="preserve">On-time delivery rate</w:t>
            </w:r>
          </w:p>
        </w:tc>
        <w:tc>
          <w:tcPr>
            <w:tcW w:type="dxa" w:w="3212"/>
            <w:tcBorders>
              <w:top w:val="single" w:color="1D4E89" w:sz="18"/>
              <w:left w:val="single" w:color="E1E6EF" w:sz="4"/>
              <w:bottom w:val="single" w:color="E1E6EF" w:sz="4"/>
              <w:right w:val="single" w:color="E1E6EF" w:sz="4"/>
            </w:tcBorders>
            <w:shd w:fill="F4F6FA" w:color="auto" w:val="clear"/>
            <w:tcMar>
              <w:top w:type="dxa" w:w="140"/>
              <w:left w:type="dxa" w:w="120"/>
              <w:bottom w:type="dxa" w:w="140"/>
              <w:right w:type="dxa" w:w="120"/>
            </w:tcMar>
          </w:tcPr>
          <w:p>
            <w:pPr>
              <w:spacing w:after="40"/>
              <w:jc w:val="center"/>
            </w:pPr>
            <w:r>
              <w:rPr>
                <w:rFonts w:ascii="Arial" w:cs="Arial" w:eastAsia="Arial" w:hAnsi="Arial"/>
                <w:b/>
                <w:bCs/>
                <w:color w:val="0B2545"/>
                <w:sz w:val="38"/>
                <w:szCs w:val="38"/>
              </w:rPr>
              <w:t xml:space="preserve">4.16</w:t>
            </w:r>
          </w:p>
          <w:p>
            <w:pPr>
              <w:spacing w:after="0"/>
              <w:jc w:val="center"/>
            </w:pPr>
            <w:r>
              <w:rPr>
                <w:rFonts w:ascii="Arial" w:cs="Arial" w:eastAsia="Arial" w:hAnsi="Arial"/>
                <w:color w:val="5C6B7A"/>
                <w:sz w:val="17"/>
                <w:szCs w:val="17"/>
              </w:rPr>
              <w:t xml:space="preserve">Average review score</w:t>
            </w:r>
          </w:p>
        </w:tc>
      </w:tr>
    </w:tbl>
    <w:p>
      <w:pPr>
        <w:spacing w:after="160"/>
      </w:pPr>
    </w:p>
    <w:p>
      <w:pPr>
        <w:pStyle w:val="Heading3"/>
      </w:pPr>
      <w:r>
        <w:rPr>
          <w:rFonts w:ascii="Arial" w:cs="Arial" w:eastAsia="Arial" w:hAnsi="Arial"/>
        </w:rPr>
        <w:t xml:space="preserve">Headline findings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Growth then plateau:</w:t>
      </w:r>
      <w:r>
        <w:rPr>
          <w:rFonts w:ascii="Arial" w:cs="Arial" w:eastAsia="Arial" w:hAnsi="Arial"/>
          <w:color w:val="26323F"/>
          <w:sz w:val="21"/>
          <w:szCs w:val="21"/>
        </w:rPr>
        <w:t xml:space="preserve"> monthly revenue grew about 9x during 2017 (R$ 112K in January to R$ 988K in November) and then stayed around R$ 830K–980K per month through 2018.</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Geographic concentration:</w:t>
      </w:r>
      <w:r>
        <w:rPr>
          <w:rFonts w:ascii="Arial" w:cs="Arial" w:eastAsia="Arial" w:hAnsi="Arial"/>
          <w:color w:val="26323F"/>
          <w:sz w:val="21"/>
          <w:szCs w:val="21"/>
        </w:rPr>
        <w:t xml:space="preserve"> São Paulo generates about 38% of revenue, and São Paulo, Rio de Janeiro and Minas Gerais together contribute about 63%.</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Weak retention:</w:t>
      </w:r>
      <w:r>
        <w:rPr>
          <w:rFonts w:ascii="Arial" w:cs="Arial" w:eastAsia="Arial" w:hAnsi="Arial"/>
          <w:color w:val="26323F"/>
          <w:sz w:val="21"/>
          <w:szCs w:val="21"/>
        </w:rPr>
        <w:t xml:space="preserve"> only 3.0% of customers placed a repeat order, yet repeat customers spend about 1.9x more (R$ 260 versus R$ 138).</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Delivery drives satisfaction:</w:t>
      </w:r>
      <w:r>
        <w:rPr>
          <w:rFonts w:ascii="Arial" w:cs="Arial" w:eastAsia="Arial" w:hAnsi="Arial"/>
          <w:color w:val="26323F"/>
          <w:sz w:val="21"/>
          <w:szCs w:val="21"/>
        </w:rPr>
        <w:t xml:space="preserve"> on-time orders average 4.3 stars, while orders delivered 8 or more days late average 1.7 stars. Late deliveries spiked to 14.3% in November 2017, 16.0% in February 2018 and 21.4% in March 2018.</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Freight matters:</w:t>
      </w:r>
      <w:r>
        <w:rPr>
          <w:rFonts w:ascii="Arial" w:cs="Arial" w:eastAsia="Arial" w:hAnsi="Arial"/>
          <w:color w:val="26323F"/>
          <w:sz w:val="21"/>
          <w:szCs w:val="21"/>
        </w:rPr>
        <w:t xml:space="preserve"> shipping adds about 17% on top of product revenue, ranging from 8.4% (Watches &amp; Gifts) to 23.7% (Furniture Decor).</w:t>
      </w:r>
    </w:p>
    <w:p>
      <w:pPr>
        <w:pStyle w:val="Heading3"/>
      </w:pPr>
      <w:r>
        <w:rPr>
          <w:rFonts w:ascii="Arial" w:cs="Arial" w:eastAsia="Arial" w:hAnsi="Arial"/>
        </w:rPr>
        <w:t xml:space="preserve">What was delivered</w:t>
      </w:r>
    </w:p>
    <w:p>
      <w:pPr>
        <w:pStyle w:val="ListParagraph"/>
        <w:numPr>
          <w:ilvl w:val="0"/>
          <w:numId w:val="2"/>
        </w:numPr>
        <w:spacing w:after="60" w:line="288"/>
      </w:pPr>
      <w:r>
        <w:rPr>
          <w:rFonts w:ascii="Arial" w:cs="Arial" w:eastAsia="Arial" w:hAnsi="Arial"/>
          <w:color w:val="26323F"/>
          <w:sz w:val="21"/>
          <w:szCs w:val="21"/>
        </w:rPr>
        <w:t xml:space="preserve">SQL Server scripts: import fixes, two analytical views, validation queries and analysis queries.</w:t>
      </w:r>
    </w:p>
    <w:p>
      <w:pPr>
        <w:pStyle w:val="ListParagraph"/>
        <w:numPr>
          <w:ilvl w:val="0"/>
          <w:numId w:val="2"/>
        </w:numPr>
        <w:spacing w:after="60" w:line="288"/>
      </w:pPr>
      <w:r>
        <w:rPr>
          <w:rFonts w:ascii="Arial" w:cs="Arial" w:eastAsia="Arial" w:hAnsi="Arial"/>
          <w:color w:val="26323F"/>
          <w:sz w:val="21"/>
          <w:szCs w:val="21"/>
        </w:rPr>
        <w:t xml:space="preserve">A Power BI report (.pbix) with five navigable pages, a star-schema data model and a DAX measure library.</w:t>
      </w:r>
    </w:p>
    <w:p>
      <w:pPr>
        <w:pStyle w:val="ListParagraph"/>
        <w:numPr>
          <w:ilvl w:val="0"/>
          <w:numId w:val="2"/>
        </w:numPr>
        <w:spacing w:after="60" w:line="288"/>
      </w:pPr>
      <w:r>
        <w:rPr>
          <w:rFonts w:ascii="Arial" w:cs="Arial" w:eastAsia="Arial" w:hAnsi="Arial"/>
          <w:color w:val="26323F"/>
          <w:sz w:val="21"/>
          <w:szCs w:val="21"/>
        </w:rPr>
        <w:t xml:space="preserve">An Excel workbook used to cross-validate key numbers and to build pivot summaries.</w:t>
      </w:r>
    </w:p>
    <w:p>
      <w:pPr>
        <w:pStyle w:val="ListParagraph"/>
        <w:numPr>
          <w:ilvl w:val="0"/>
          <w:numId w:val="2"/>
        </w:numPr>
        <w:spacing w:after="60" w:line="288"/>
      </w:pPr>
      <w:r>
        <w:rPr>
          <w:rFonts w:ascii="Arial" w:cs="Arial" w:eastAsia="Arial" w:hAnsi="Arial"/>
          <w:color w:val="26323F"/>
          <w:sz w:val="21"/>
          <w:szCs w:val="21"/>
        </w:rPr>
        <w:t xml:space="preserve">A GitHub repository with README, screenshots and this report in Word and PDF format.</w:t>
      </w:r>
    </w:p>
    <w:p>
      <w:pPr>
        <w:pStyle w:val="Heading1"/>
        <w:pageBreakBefore/>
      </w:pPr>
      <w:bookmarkStart w:name="s2" w:id="1"/>
      <w:r>
        <w:rPr>
          <w:rFonts w:ascii="Arial" w:cs="Arial" w:eastAsia="Arial" w:hAnsi="Arial"/>
        </w:rPr>
        <w:t xml:space="preserve">2. Project Objectives and Scope</w:t>
      </w:r>
      <w:bookmarkEnd w:id="1"/>
    </w:p>
    <w:p>
      <w:pPr>
        <w:spacing w:after="120" w:before="0" w:line="300"/>
      </w:pPr>
      <w:r>
        <w:rPr>
          <w:rFonts w:ascii="Arial" w:cs="Arial" w:eastAsia="Arial" w:hAnsi="Arial"/>
          <w:color w:val="26323F"/>
          <w:sz w:val="21"/>
          <w:szCs w:val="21"/>
        </w:rPr>
        <w:t xml:space="preserve">The goal was to build a professional, decision-oriented dashboard for an online marketplace and to document every step of the process, so that the work is reproducible and the numbers can be trusted.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tblHeader/>
        </w:trPr>
        <w:tc>
          <w:tcPr>
            <w:tcW w:type="dxa" w:w="19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Area</w:t>
            </w:r>
          </w:p>
        </w:tc>
        <w:tc>
          <w:tcPr>
            <w:tcW w:type="dxa" w:w="56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Business question</w:t>
            </w:r>
          </w:p>
        </w:tc>
        <w:tc>
          <w:tcPr>
            <w:tcW w:type="dxa" w:w="21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Dashboard page</w:t>
            </w:r>
          </w:p>
        </w:tc>
      </w:tr>
      <w:tr>
        <w:trPr>
          <w:cantSplit/>
        </w:trPr>
        <w:tc>
          <w:tcPr>
            <w:tcW w:type="dxa" w:w="1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Sales performance</w:t>
            </w:r>
          </w:p>
        </w:tc>
        <w:tc>
          <w:tcPr>
            <w:tcW w:type="dxa" w:w="56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How are revenue and orders trending, and which states and categories drive them?</w:t>
            </w:r>
          </w:p>
        </w:tc>
        <w:tc>
          <w:tcPr>
            <w:tcW w:type="dxa" w:w="2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1</w:t>
            </w:r>
          </w:p>
        </w:tc>
      </w:tr>
      <w:tr>
        <w:trPr>
          <w:cantSplit/>
        </w:trPr>
        <w:tc>
          <w:tcPr>
            <w:tcW w:type="dxa" w:w="1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Products and sellers</w:t>
            </w:r>
          </w:p>
        </w:tc>
        <w:tc>
          <w:tcPr>
            <w:tcW w:type="dxa" w:w="56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Which categories sell best, how heavy is freight, and how concentrated is the seller base?</w:t>
            </w:r>
          </w:p>
        </w:tc>
        <w:tc>
          <w:tcPr>
            <w:tcW w:type="dxa" w:w="2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2</w:t>
            </w:r>
          </w:p>
        </w:tc>
      </w:tr>
      <w:tr>
        <w:trPr>
          <w:cantSplit/>
        </w:trPr>
        <w:tc>
          <w:tcPr>
            <w:tcW w:type="dxa" w:w="1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Customers</w:t>
            </w:r>
          </w:p>
        </w:tc>
        <w:tc>
          <w:tcPr>
            <w:tcW w:type="dxa" w:w="56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How many customers come back, and which customer segments are most valuable?</w:t>
            </w:r>
          </w:p>
        </w:tc>
        <w:tc>
          <w:tcPr>
            <w:tcW w:type="dxa" w:w="2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3</w:t>
            </w:r>
          </w:p>
        </w:tc>
      </w:tr>
      <w:tr>
        <w:trPr>
          <w:cantSplit/>
        </w:trPr>
        <w:tc>
          <w:tcPr>
            <w:tcW w:type="dxa" w:w="1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Delivery and satisfaction</w:t>
            </w:r>
          </w:p>
        </w:tc>
        <w:tc>
          <w:tcPr>
            <w:tcW w:type="dxa" w:w="56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How reliable is delivery, how does lateness affect reviews, and which regions are slowest?</w:t>
            </w:r>
          </w:p>
        </w:tc>
        <w:tc>
          <w:tcPr>
            <w:tcW w:type="dxa" w:w="2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4</w:t>
            </w:r>
          </w:p>
        </w:tc>
      </w:tr>
      <w:tr>
        <w:trPr>
          <w:cantSplit/>
        </w:trPr>
        <w:tc>
          <w:tcPr>
            <w:tcW w:type="dxa" w:w="1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Decision support</w:t>
            </w:r>
          </w:p>
        </w:tc>
        <w:tc>
          <w:tcPr>
            <w:tcW w:type="dxa" w:w="56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What should the business do next, based on the evidence?</w:t>
            </w:r>
          </w:p>
        </w:tc>
        <w:tc>
          <w:tcPr>
            <w:tcW w:type="dxa" w:w="2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5</w:t>
            </w:r>
          </w:p>
        </w:tc>
      </w:tr>
    </w:tbl>
    <w:p>
      <w:pPr>
        <w:spacing w:after="120"/>
      </w:pPr>
    </w:p>
    <w:p>
      <w:pPr>
        <w:pStyle w:val="Heading3"/>
      </w:pPr>
      <w:r>
        <w:rPr>
          <w:rFonts w:ascii="Arial" w:cs="Arial" w:eastAsia="Arial" w:hAnsi="Arial"/>
        </w:rPr>
        <w:t xml:space="preserve">Scope</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In scope:</w:t>
      </w:r>
      <w:r>
        <w:rPr>
          <w:rFonts w:ascii="Arial" w:cs="Arial" w:eastAsia="Arial" w:hAnsi="Arial"/>
          <w:color w:val="26323F"/>
          <w:sz w:val="21"/>
          <w:szCs w:val="21"/>
        </w:rPr>
        <w:t xml:space="preserve"> delivered orders, January 2017 to August 2018, amounts in Brazilian Real (R$), tables for customers, orders, order items, products, sellers, reviews and category translation.</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Out of scope for this version:</w:t>
      </w:r>
      <w:r>
        <w:rPr>
          <w:rFonts w:ascii="Arial" w:cs="Arial" w:eastAsia="Arial" w:hAnsi="Arial"/>
          <w:color w:val="26323F"/>
          <w:sz w:val="21"/>
          <w:szCs w:val="21"/>
        </w:rPr>
        <w:t xml:space="preserve"> payment-method analysis, review text analysis, geolocation mapping and forecasting. These are listed as future work in Section 14.</w:t>
      </w:r>
    </w:p>
    <w:p>
      <w:pPr>
        <w:pStyle w:val="Heading1"/>
      </w:pPr>
      <w:bookmarkStart w:name="s3" w:id="1"/>
      <w:r>
        <w:rPr>
          <w:rFonts w:ascii="Arial" w:cs="Arial" w:eastAsia="Arial" w:hAnsi="Arial"/>
        </w:rPr>
        <w:t xml:space="preserve">3. Dataset Overview</w:t>
      </w:r>
      <w:bookmarkEnd w:id="1"/>
    </w:p>
    <w:p>
      <w:pPr>
        <w:spacing w:after="120" w:before="0" w:line="300"/>
      </w:pPr>
      <w:r>
        <w:rPr>
          <w:rFonts w:ascii="Arial" w:cs="Arial" w:eastAsia="Arial" w:hAnsi="Arial"/>
          <w:color w:val="26323F"/>
          <w:sz w:val="21"/>
          <w:szCs w:val="21"/>
        </w:rPr>
        <w:t xml:space="preserve">The Olist Brazilian E-Commerce Public Dataset, published on Kaggle, contains roughly 100,000 orders placed on the Olist marketplace between 2016 and 2018, spread across several relational CSV files. Eight of these files were imported into SQL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738"/>
      </w:tblGrid>
      <w:tr>
        <w:trPr>
          <w:tblHeader/>
        </w:trPr>
        <w:tc>
          <w:tcPr>
            <w:tcW w:type="dxa" w:w="38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Table</w:t>
            </w:r>
          </w:p>
        </w:tc>
        <w:tc>
          <w:tcPr>
            <w:tcW w:type="dxa" w:w="11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Rows</w:t>
            </w:r>
          </w:p>
        </w:tc>
        <w:tc>
          <w:tcPr>
            <w:tcW w:type="dxa" w:w="47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Used for</w:t>
            </w:r>
          </w:p>
        </w:tc>
      </w:tr>
      <w:tr>
        <w:trPr>
          <w:cantSplit/>
        </w:trPr>
        <w:tc>
          <w:tcPr>
            <w:tcW w:type="dxa" w:w="3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olist_customers_dataset</w:t>
            </w:r>
          </w:p>
        </w:tc>
        <w:tc>
          <w:tcPr>
            <w:tcW w:type="dxa" w:w="1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99,441</w:t>
            </w:r>
          </w:p>
        </w:tc>
        <w:tc>
          <w:tcPr>
            <w:tcW w:type="dxa" w:w="47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Customer IDs, city and state; customer_unique_id identifies repeat buyers</w:t>
            </w:r>
          </w:p>
        </w:tc>
      </w:tr>
      <w:tr>
        <w:trPr>
          <w:cantSplit/>
        </w:trPr>
        <w:tc>
          <w:tcPr>
            <w:tcW w:type="dxa" w:w="38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olist_orders_dataset</w:t>
            </w:r>
          </w:p>
        </w:tc>
        <w:tc>
          <w:tcPr>
            <w:tcW w:type="dxa" w:w="1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99,441</w:t>
            </w:r>
          </w:p>
        </w:tc>
        <w:tc>
          <w:tcPr>
            <w:tcW w:type="dxa" w:w="47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Order status and purchase, approval and delivery timestamps</w:t>
            </w:r>
          </w:p>
        </w:tc>
      </w:tr>
      <w:tr>
        <w:trPr>
          <w:cantSplit/>
        </w:trPr>
        <w:tc>
          <w:tcPr>
            <w:tcW w:type="dxa" w:w="3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olist_order_items_dataset</w:t>
            </w:r>
          </w:p>
        </w:tc>
        <w:tc>
          <w:tcPr>
            <w:tcW w:type="dxa" w:w="1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112,650</w:t>
            </w:r>
          </w:p>
        </w:tc>
        <w:tc>
          <w:tcPr>
            <w:tcW w:type="dxa" w:w="47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Price, freight, product and seller for every item sold</w:t>
            </w:r>
          </w:p>
        </w:tc>
      </w:tr>
      <w:tr>
        <w:trPr>
          <w:cantSplit/>
        </w:trPr>
        <w:tc>
          <w:tcPr>
            <w:tcW w:type="dxa" w:w="38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olist_products_dataset</w:t>
            </w:r>
          </w:p>
        </w:tc>
        <w:tc>
          <w:tcPr>
            <w:tcW w:type="dxa" w:w="1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32,951</w:t>
            </w:r>
          </w:p>
        </w:tc>
        <w:tc>
          <w:tcPr>
            <w:tcW w:type="dxa" w:w="47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Product category</w:t>
            </w:r>
          </w:p>
        </w:tc>
      </w:tr>
      <w:tr>
        <w:trPr>
          <w:cantSplit/>
        </w:trPr>
        <w:tc>
          <w:tcPr>
            <w:tcW w:type="dxa" w:w="3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olist_sellers_dataset</w:t>
            </w:r>
          </w:p>
        </w:tc>
        <w:tc>
          <w:tcPr>
            <w:tcW w:type="dxa" w:w="1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3,095</w:t>
            </w:r>
          </w:p>
        </w:tc>
        <w:tc>
          <w:tcPr>
            <w:tcW w:type="dxa" w:w="47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Seller location</w:t>
            </w:r>
          </w:p>
        </w:tc>
      </w:tr>
      <w:tr>
        <w:trPr>
          <w:cantSplit/>
        </w:trPr>
        <w:tc>
          <w:tcPr>
            <w:tcW w:type="dxa" w:w="38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olist_order_payments_dataset</w:t>
            </w:r>
          </w:p>
        </w:tc>
        <w:tc>
          <w:tcPr>
            <w:tcW w:type="dxa" w:w="1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103,886</w:t>
            </w:r>
          </w:p>
        </w:tc>
        <w:tc>
          <w:tcPr>
            <w:tcW w:type="dxa" w:w="47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Imported for completeness; not used in the current dashboard</w:t>
            </w:r>
          </w:p>
        </w:tc>
      </w:tr>
      <w:tr>
        <w:trPr>
          <w:cantSplit/>
        </w:trPr>
        <w:tc>
          <w:tcPr>
            <w:tcW w:type="dxa" w:w="3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olist_order_reviews_dataset</w:t>
            </w:r>
          </w:p>
        </w:tc>
        <w:tc>
          <w:tcPr>
            <w:tcW w:type="dxa" w:w="1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99,224</w:t>
            </w:r>
          </w:p>
        </w:tc>
        <w:tc>
          <w:tcPr>
            <w:tcW w:type="dxa" w:w="47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Review scores for the satisfaction analysis</w:t>
            </w:r>
          </w:p>
        </w:tc>
      </w:tr>
      <w:tr>
        <w:trPr>
          <w:cantSplit/>
        </w:trPr>
        <w:tc>
          <w:tcPr>
            <w:tcW w:type="dxa" w:w="38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product_category_name_translation</w:t>
            </w:r>
          </w:p>
        </w:tc>
        <w:tc>
          <w:tcPr>
            <w:tcW w:type="dxa" w:w="1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71</w:t>
            </w:r>
          </w:p>
        </w:tc>
        <w:tc>
          <w:tcPr>
            <w:tcW w:type="dxa" w:w="47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English names for product categories</w:t>
            </w:r>
          </w:p>
        </w:tc>
      </w:tr>
    </w:tbl>
    <w:p>
      <w:pPr>
        <w:spacing w:after="120"/>
      </w:pPr>
    </w:p>
    <w:p>
      <w:pPr>
        <w:pStyle w:val="Heading3"/>
      </w:pPr>
      <w:r>
        <w:rPr>
          <w:rFonts w:ascii="Arial" w:cs="Arial" w:eastAsia="Arial" w:hAnsi="Arial"/>
        </w:rPr>
        <w:t xml:space="preserve">Key data decisions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Geolocation file excluded:</w:t>
      </w:r>
      <w:r>
        <w:rPr>
          <w:rFonts w:ascii="Arial" w:cs="Arial" w:eastAsia="Arial" w:hAnsi="Arial"/>
          <w:color w:val="26323F"/>
          <w:sz w:val="21"/>
          <w:szCs w:val="21"/>
        </w:rPr>
        <w:t xml:space="preserve"> it holds about one million rows and state and city columns were sufficient for the analysis.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customer_unique_id instead of customer_id:</w:t>
      </w:r>
      <w:r>
        <w:rPr>
          <w:rFonts w:ascii="Arial" w:cs="Arial" w:eastAsia="Arial" w:hAnsi="Arial"/>
          <w:color w:val="26323F"/>
          <w:sz w:val="21"/>
          <w:szCs w:val="21"/>
        </w:rPr>
        <w:t xml:space="preserve"> customer_id changes with every order, so repeat purchases are only visible through customer_unique_id.</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Analysis window January 2017 to August 2018:</w:t>
      </w:r>
      <w:r>
        <w:rPr>
          <w:rFonts w:ascii="Arial" w:cs="Arial" w:eastAsia="Arial" w:hAnsi="Arial"/>
          <w:color w:val="26323F"/>
          <w:sz w:val="21"/>
          <w:szCs w:val="21"/>
        </w:rPr>
        <w:t xml:space="preserve"> the source data for 2016 and for the end of 2018 is sparse or incomplete, so a Date filter keeps the comparisons fair.</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Delivered orders only:</w:t>
      </w:r>
      <w:r>
        <w:rPr>
          <w:rFonts w:ascii="Arial" w:cs="Arial" w:eastAsia="Arial" w:hAnsi="Arial"/>
          <w:color w:val="26323F"/>
          <w:sz w:val="21"/>
          <w:szCs w:val="21"/>
        </w:rPr>
        <w:t xml:space="preserve"> revenue and delivery metrics are based on orders with status delivered.</w:t>
      </w:r>
    </w:p>
    <w:p>
      <w:pPr>
        <w:pStyle w:val="Heading1"/>
      </w:pPr>
      <w:bookmarkStart w:name="s4" w:id="1"/>
      <w:r>
        <w:rPr>
          <w:rFonts w:ascii="Arial" w:cs="Arial" w:eastAsia="Arial" w:hAnsi="Arial"/>
        </w:rPr>
        <w:t xml:space="preserve">4. Tools and Technologies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Tool</w:t>
            </w:r>
          </w:p>
        </w:tc>
        <w:tc>
          <w:tcPr>
            <w:tcW w:type="dxa" w:w="73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How it was used</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SQL Server and SSMS</w:t>
            </w:r>
          </w:p>
        </w:tc>
        <w:tc>
          <w:tcPr>
            <w:tcW w:type="dxa" w:w="7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Database creation, CSV import, data type and null handling, data quality fixes, analytical views and validation queries</w:t>
            </w:r>
          </w:p>
        </w:tc>
      </w:tr>
      <w:tr>
        <w:trPr>
          <w:cantSplit/>
        </w:trPr>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Microsoft Excel</w:t>
            </w:r>
          </w:p>
        </w:tc>
        <w:tc>
          <w:tcPr>
            <w:tcW w:type="dxa" w:w="7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Cross-validation of revenue, orders and customers using formulas on data loaded from SQL Server; pivot tables and charts for monthly revenue, top categories and top states</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Power BI Desktop</w:t>
            </w:r>
          </w:p>
        </w:tc>
        <w:tc>
          <w:tcPr>
            <w:tcW w:type="dxa" w:w="7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Data model, Power Query steps, DAX measures, five-page report, theme, slicers and page navigation</w:t>
            </w:r>
          </w:p>
        </w:tc>
      </w:tr>
      <w:tr>
        <w:trPr>
          <w:cantSplit/>
        </w:trPr>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DAX</w:t>
            </w:r>
          </w:p>
        </w:tc>
        <w:tc>
          <w:tcPr>
            <w:tcW w:type="dxa" w:w="7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Date table, customer-level table, segmentation columns and the KPI measure library</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Git and GitHub</w:t>
            </w:r>
          </w:p>
        </w:tc>
        <w:tc>
          <w:tcPr>
            <w:tcW w:type="dxa" w:w="7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Version control and project documentation: README, scripts, screenshots and this report</w:t>
            </w:r>
          </w:p>
        </w:tc>
      </w:tr>
    </w:tbl>
    <w:p>
      <w:pPr>
        <w:pStyle w:val="Heading1"/>
      </w:pPr>
      <w:bookmarkStart w:name="s5" w:id="1"/>
      <w:r>
        <w:rPr>
          <w:rFonts w:ascii="Arial" w:cs="Arial" w:eastAsia="Arial" w:hAnsi="Arial"/>
        </w:rPr>
        <w:t xml:space="preserve">5. Project Workflow</w:t>
      </w:r>
      <w:bookmarkEnd w:id="1"/>
    </w:p>
    <w:p>
      <w:pPr>
        <w:spacing w:after="120" w:before="0" w:line="300"/>
      </w:pPr>
      <w:r>
        <w:rPr>
          <w:rFonts w:ascii="Arial" w:cs="Arial" w:eastAsia="Arial" w:hAnsi="Arial"/>
          <w:color w:val="26323F"/>
          <w:sz w:val="21"/>
          <w:szCs w:val="21"/>
        </w:rPr>
        <w:t xml:space="preserve">The project was completed in six phases. Each phase produced a concrete output that the next phase depended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2200"/>
        <w:gridCol w:w="4388"/>
        <w:gridCol w:w="2100"/>
      </w:tblGrid>
      <w:tr>
        <w:trPr>
          <w:tblHeader/>
        </w:trPr>
        <w:tc>
          <w:tcPr>
            <w:tcW w:type="dxa" w:w="95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8"/>
                <w:szCs w:val="18"/>
              </w:rPr>
              <w:t xml:space="preserve">Phase</w:t>
            </w:r>
          </w:p>
        </w:tc>
        <w:tc>
          <w:tcPr>
            <w:tcW w:type="dxa" w:w="22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Name</w:t>
            </w:r>
          </w:p>
        </w:tc>
        <w:tc>
          <w:tcPr>
            <w:tcW w:type="dxa" w:w="438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What was done</w:t>
            </w:r>
          </w:p>
        </w:tc>
        <w:tc>
          <w:tcPr>
            <w:tcW w:type="dxa" w:w="21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Output</w:t>
            </w:r>
          </w:p>
        </w:tc>
      </w:tr>
      <w:tr>
        <w:trPr>
          <w:cantSplit/>
        </w:trPr>
        <w:tc>
          <w:tcPr>
            <w:tcW w:type="dxa" w:w="95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1</w:t>
            </w:r>
          </w:p>
        </w:tc>
        <w:tc>
          <w:tcPr>
            <w:tcW w:type="dxa" w:w="2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Planning and setup</w:t>
            </w:r>
          </w:p>
        </w:tc>
        <w:tc>
          <w:tcPr>
            <w:tcW w:type="dxa" w:w="438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Selected the Olist dataset, defined business questions, created the project folder structure (raw data, SQL, Excel, Power BI, screenshots) and fixed a colour palette and typography.</w:t>
            </w:r>
          </w:p>
        </w:tc>
        <w:tc>
          <w:tcPr>
            <w:tcW w:type="dxa" w:w="2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Folder structure, design rules</w:t>
            </w:r>
          </w:p>
        </w:tc>
      </w:tr>
      <w:tr>
        <w:trPr>
          <w:cantSplit/>
        </w:trPr>
        <w:tc>
          <w:tcPr>
            <w:tcW w:type="dxa" w:w="95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2</w:t>
            </w:r>
          </w:p>
        </w:tc>
        <w:tc>
          <w:tcPr>
            <w:tcW w:type="dxa" w:w="2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SQL data engineering</w:t>
            </w:r>
          </w:p>
        </w:tc>
        <w:tc>
          <w:tcPr>
            <w:tcW w:type="dxa" w:w="438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Created the olist_ecommerce database, imported eight CSV files, set data types and nullability, verified row counts, fixed the category translation header issue and created the vw_order_items view.</w:t>
            </w:r>
          </w:p>
        </w:tc>
        <w:tc>
          <w:tcPr>
            <w:tcW w:type="dxa" w:w="2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Clean tables, view, SQL scripts</w:t>
            </w:r>
          </w:p>
        </w:tc>
      </w:tr>
      <w:tr>
        <w:trPr>
          <w:cantSplit/>
        </w:trPr>
        <w:tc>
          <w:tcPr>
            <w:tcW w:type="dxa" w:w="95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3</w:t>
            </w:r>
          </w:p>
        </w:tc>
        <w:tc>
          <w:tcPr>
            <w:tcW w:type="dxa" w:w="2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Power BI data model</w:t>
            </w:r>
          </w:p>
        </w:tc>
        <w:tc>
          <w:tcPr>
            <w:tcW w:type="dxa" w:w="438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Connected to SQL Server in Import mode, added an Order Date column, built a Date table, related the tables as a star schema and created a measures table and a custom theme.</w:t>
            </w:r>
          </w:p>
        </w:tc>
        <w:tc>
          <w:tcPr>
            <w:tcW w:type="dxa" w:w="2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Data model</w:t>
            </w:r>
          </w:p>
        </w:tc>
      </w:tr>
      <w:tr>
        <w:trPr>
          <w:cantSplit/>
        </w:trPr>
        <w:tc>
          <w:tcPr>
            <w:tcW w:type="dxa" w:w="95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4</w:t>
            </w:r>
          </w:p>
        </w:tc>
        <w:tc>
          <w:tcPr>
            <w:tcW w:type="dxa" w:w="2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Dashboard build</w:t>
            </w:r>
          </w:p>
        </w:tc>
        <w:tc>
          <w:tcPr>
            <w:tcW w:type="dxa" w:w="438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Built four analysis pages. For customer and delivery analysis, added a customer-level table (Dim_Customer) and a second view (vw_orders) with a second fact table (Fact_Orders).</w:t>
            </w:r>
          </w:p>
        </w:tc>
        <w:tc>
          <w:tcPr>
            <w:tcW w:type="dxa" w:w="2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Pages 1 to 4</w:t>
            </w:r>
          </w:p>
        </w:tc>
      </w:tr>
      <w:tr>
        <w:trPr>
          <w:cantSplit/>
        </w:trPr>
        <w:tc>
          <w:tcPr>
            <w:tcW w:type="dxa" w:w="95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5</w:t>
            </w:r>
          </w:p>
        </w:tc>
        <w:tc>
          <w:tcPr>
            <w:tcW w:type="dxa" w:w="2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Validation</w:t>
            </w:r>
          </w:p>
        </w:tc>
        <w:tc>
          <w:tcPr>
            <w:tcW w:type="dxa" w:w="438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Reconciled row counts, total revenue, orders, customers and repeat customers between SQL Server, Excel and Power BI.</w:t>
            </w:r>
          </w:p>
        </w:tc>
        <w:tc>
          <w:tcPr>
            <w:tcW w:type="dxa" w:w="21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Validation workbook and queries</w:t>
            </w:r>
          </w:p>
        </w:tc>
      </w:tr>
      <w:tr>
        <w:trPr>
          <w:cantSplit/>
        </w:trPr>
        <w:tc>
          <w:tcPr>
            <w:tcW w:type="dxa" w:w="95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6</w:t>
            </w:r>
          </w:p>
        </w:tc>
        <w:tc>
          <w:tcPr>
            <w:tcW w:type="dxa" w:w="2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Polish and documentation</w:t>
            </w:r>
          </w:p>
        </w:tc>
        <w:tc>
          <w:tcPr>
            <w:tcW w:type="dxa" w:w="438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Added page navigation, per-page insight boxes, the Key Insights page, a PDF export, screenshots, a README, the GitHub repository and this report.</w:t>
            </w:r>
          </w:p>
        </w:tc>
        <w:tc>
          <w:tcPr>
            <w:tcW w:type="dxa" w:w="21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Final dashboard and repository</w:t>
            </w:r>
          </w:p>
        </w:tc>
      </w:tr>
    </w:tbl>
    <w:p>
      <w:pPr>
        <w:pStyle w:val="Heading1"/>
      </w:pPr>
      <w:bookmarkStart w:name="s6" w:id="1"/>
      <w:r>
        <w:rPr>
          <w:rFonts w:ascii="Arial" w:cs="Arial" w:eastAsia="Arial" w:hAnsi="Arial"/>
        </w:rPr>
        <w:t xml:space="preserve">6. Data Engineering in SQL Server</w:t>
      </w:r>
      <w:bookmarkEnd w:id="1"/>
    </w:p>
    <w:p>
      <w:pPr>
        <w:pStyle w:val="Heading2"/>
      </w:pPr>
      <w:r>
        <w:rPr>
          <w:rFonts w:ascii="Arial" w:cs="Arial" w:eastAsia="Arial" w:hAnsi="Arial"/>
        </w:rPr>
        <w:t xml:space="preserve">6.1 Database and import</w:t>
      </w:r>
    </w:p>
    <w:p>
      <w:pPr>
        <w:spacing w:after="120" w:before="0" w:line="300"/>
      </w:pPr>
      <w:r>
        <w:rPr>
          <w:rFonts w:ascii="Arial" w:cs="Arial" w:eastAsia="Arial" w:hAnsi="Arial"/>
          <w:color w:val="26323F"/>
          <w:sz w:val="21"/>
          <w:szCs w:val="21"/>
        </w:rPr>
        <w:t xml:space="preserve">A database named olist_ecommerce was created and eight CSV files were imported using the SSMS Import Flat File wizard. Table names were kept exactly as generated so that all later scripts could reference them directly.</w:t>
      </w:r>
    </w:p>
    <w:p>
      <w:pPr>
        <w:pStyle w:val="Heading2"/>
      </w:pPr>
      <w:r>
        <w:rPr>
          <w:rFonts w:ascii="Arial" w:cs="Arial" w:eastAsia="Arial" w:hAnsi="Arial"/>
        </w:rPr>
        <w:t xml:space="preserve">6.2 Data type and nullability decisions</w:t>
      </w:r>
    </w:p>
    <w:p>
      <w:pPr>
        <w:spacing w:after="120" w:before="0" w:line="300"/>
      </w:pPr>
      <w:r>
        <w:rPr>
          <w:rFonts w:ascii="Arial" w:cs="Arial" w:eastAsia="Arial" w:hAnsi="Arial"/>
          <w:color w:val="26323F"/>
          <w:sz w:val="21"/>
          <w:szCs w:val="21"/>
        </w:rPr>
        <w:t xml:space="preserve">The wizard infers data types from the first rows of each file, which can fail on larger values or on columns that are blank further down. The following adjustments were made during import.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638"/>
      </w:tblGrid>
      <w:tr>
        <w:trPr>
          <w:tblHeader/>
        </w:trPr>
        <w:tc>
          <w:tcPr>
            <w:tcW w:type="dxa" w:w="28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File</w:t>
            </w:r>
          </w:p>
        </w:tc>
        <w:tc>
          <w:tcPr>
            <w:tcW w:type="dxa" w:w="42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Adjustment</w:t>
            </w:r>
          </w:p>
        </w:tc>
        <w:tc>
          <w:tcPr>
            <w:tcW w:type="dxa" w:w="26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Reason</w:t>
            </w:r>
          </w:p>
        </w:tc>
      </w:tr>
      <w:tr>
        <w:trPr>
          <w:cantSplit/>
        </w:trPr>
        <w:tc>
          <w:tcPr>
            <w:tcW w:type="dxa" w:w="2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Orders</w:t>
            </w:r>
          </w:p>
        </w:tc>
        <w:tc>
          <w:tcPr>
            <w:tcW w:type="dxa" w:w="4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Five timestamp columns set to datetime2; approval and delivery date columns made nullable</w:t>
            </w:r>
          </w:p>
        </w:tc>
        <w:tc>
          <w:tcPr>
            <w:tcW w:type="dxa" w:w="26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Orders that were not delivered have no delivery date</w:t>
            </w:r>
          </w:p>
        </w:tc>
      </w:tr>
      <w:tr>
        <w:trPr>
          <w:cantSplit/>
        </w:trPr>
        <w:tc>
          <w:tcPr>
            <w:tcW w:type="dxa" w:w="28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Order items</w:t>
            </w:r>
          </w:p>
        </w:tc>
        <w:tc>
          <w:tcPr>
            <w:tcW w:type="dxa" w:w="4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price and freight_value set to float; shipping_limit_date set to datetime2</w:t>
            </w:r>
          </w:p>
        </w:tc>
        <w:tc>
          <w:tcPr>
            <w:tcW w:type="dxa" w:w="26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Accurate money values and dates</w:t>
            </w:r>
          </w:p>
        </w:tc>
      </w:tr>
      <w:tr>
        <w:trPr>
          <w:cantSplit/>
        </w:trPr>
        <w:tc>
          <w:tcPr>
            <w:tcW w:type="dxa" w:w="2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Products</w:t>
            </w:r>
          </w:p>
        </w:tc>
        <w:tc>
          <w:tcPr>
            <w:tcW w:type="dxa" w:w="4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Numeric columns (weight, dimensions, name and description length, photos) widened to int; all nullable</w:t>
            </w:r>
          </w:p>
        </w:tc>
        <w:tc>
          <w:tcPr>
            <w:tcW w:type="dxa" w:w="26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Some weights exceed the smallint range, and some values are blank</w:t>
            </w:r>
          </w:p>
        </w:tc>
      </w:tr>
      <w:tr>
        <w:trPr>
          <w:cantSplit/>
        </w:trPr>
        <w:tc>
          <w:tcPr>
            <w:tcW w:type="dxa" w:w="28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Payments</w:t>
            </w:r>
          </w:p>
        </w:tc>
        <w:tc>
          <w:tcPr>
            <w:tcW w:type="dxa" w:w="4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payment_value set to float</w:t>
            </w:r>
          </w:p>
        </w:tc>
        <w:tc>
          <w:tcPr>
            <w:tcW w:type="dxa" w:w="26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Accurate money values</w:t>
            </w:r>
          </w:p>
        </w:tc>
      </w:tr>
      <w:tr>
        <w:trPr>
          <w:cantSplit/>
        </w:trPr>
        <w:tc>
          <w:tcPr>
            <w:tcW w:type="dxa" w:w="2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Reviews</w:t>
            </w:r>
          </w:p>
        </w:tc>
        <w:tc>
          <w:tcPr>
            <w:tcW w:type="dxa" w:w="4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Comment title and message set to nvarchar(max) and nullable</w:t>
            </w:r>
          </w:p>
        </w:tc>
        <w:tc>
          <w:tcPr>
            <w:tcW w:type="dxa" w:w="26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Comments are long and often empty</w:t>
            </w:r>
          </w:p>
        </w:tc>
      </w:tr>
    </w:tbl>
    <w:p>
      <w:pPr>
        <w:spacing w:after="120"/>
      </w:pPr>
    </w:p>
    <w:p>
      <w:pPr>
        <w:pStyle w:val="Heading2"/>
      </w:pPr>
      <w:r>
        <w:rPr>
          <w:rFonts w:ascii="Arial" w:cs="Arial" w:eastAsia="Arial" w:hAnsi="Arial"/>
        </w:rPr>
        <w:t xml:space="preserve">6.3 Row count verification</w:t>
      </w:r>
    </w:p>
    <w:p>
      <w:pPr>
        <w:spacing w:after="120" w:before="0" w:line="300"/>
      </w:pPr>
      <w:r>
        <w:rPr>
          <w:rFonts w:ascii="Arial" w:cs="Arial" w:eastAsia="Arial" w:hAnsi="Arial"/>
          <w:color w:val="26323F"/>
          <w:sz w:val="21"/>
          <w:szCs w:val="21"/>
        </w:rPr>
        <w:t xml:space="preserve">After import, row counts of all tables were compared against the expected file sizes and all of them matched (see the table in Section 3). The category translation table showed 72 rows instead of 71, which led to the data quality issue described next.</w:t>
      </w:r>
    </w:p>
    <w:p>
      <w:pPr>
        <w:pStyle w:val="Heading2"/>
      </w:pPr>
      <w:r>
        <w:rPr>
          <w:rFonts w:ascii="Arial" w:cs="Arial" w:eastAsia="Arial" w:hAnsi="Arial"/>
        </w:rPr>
        <w:t xml:space="preserve">6.4 Data quality issue: header imported as data</w:t>
      </w:r>
    </w:p>
    <w:p>
      <w:pPr>
        <w:spacing w:after="120" w:before="0" w:line="300"/>
      </w:pPr>
      <w:r>
        <w:rPr>
          <w:rFonts w:ascii="Arial" w:cs="Arial" w:eastAsia="Arial" w:hAnsi="Arial"/>
          <w:color w:val="26323F"/>
          <w:sz w:val="21"/>
          <w:szCs w:val="21"/>
        </w:rPr>
        <w:t xml:space="preserve">In the category translation file the wizard treated the header line as a data row. The columns were named column1 and column2, and the first row contained the text product_category_name. As a result the view could not find the English category column. The fix was to rename the two columns with sp_rename and delete the header row, which left the correct 71 rows (script in Appendix A).</w:t>
      </w:r>
    </w:p>
    <w:p>
      <w:pPr>
        <w:pStyle w:val="Heading2"/>
      </w:pPr>
      <w:r>
        <w:rPr>
          <w:rFonts w:ascii="Arial" w:cs="Arial" w:eastAsia="Arial" w:hAnsi="Arial"/>
        </w:rPr>
        <w:t xml:space="preserve">6.5 Analytical views</w:t>
      </w:r>
    </w:p>
    <w:p>
      <w:pPr>
        <w:pStyle w:val="Heading3"/>
      </w:pPr>
      <w:r>
        <w:rPr>
          <w:rFonts w:ascii="Arial" w:cs="Arial" w:eastAsia="Arial" w:hAnsi="Arial"/>
        </w:rPr>
        <w:t xml:space="preserve">vw_order_items (item level)</w:t>
      </w:r>
    </w:p>
    <w:p>
      <w:pPr>
        <w:pStyle w:val="ListParagraph"/>
        <w:numPr>
          <w:ilvl w:val="0"/>
          <w:numId w:val="2"/>
        </w:numPr>
        <w:spacing w:after="60" w:line="288"/>
      </w:pPr>
      <w:r>
        <w:rPr>
          <w:rFonts w:ascii="Arial" w:cs="Arial" w:eastAsia="Arial" w:hAnsi="Arial"/>
          <w:color w:val="26323F"/>
          <w:sz w:val="21"/>
          <w:szCs w:val="21"/>
        </w:rPr>
        <w:t xml:space="preserve">Joins orders, customers and order items, and left-joins products and the category translation table.</w:t>
      </w:r>
    </w:p>
    <w:p>
      <w:pPr>
        <w:pStyle w:val="ListParagraph"/>
        <w:numPr>
          <w:ilvl w:val="0"/>
          <w:numId w:val="2"/>
        </w:numPr>
        <w:spacing w:after="60" w:line="288"/>
      </w:pPr>
      <w:r>
        <w:rPr>
          <w:rFonts w:ascii="Arial" w:cs="Arial" w:eastAsia="Arial" w:hAnsi="Arial"/>
          <w:color w:val="26323F"/>
          <w:sz w:val="21"/>
          <w:szCs w:val="21"/>
        </w:rPr>
        <w:t xml:space="preserve">Category falls back to the original Portuguese name, and then to unknown, when no English name exists.</w:t>
      </w:r>
    </w:p>
    <w:p>
      <w:pPr>
        <w:pStyle w:val="ListParagraph"/>
        <w:numPr>
          <w:ilvl w:val="0"/>
          <w:numId w:val="2"/>
        </w:numPr>
        <w:spacing w:after="60" w:line="288"/>
      </w:pPr>
      <w:r>
        <w:rPr>
          <w:rFonts w:ascii="Arial" w:cs="Arial" w:eastAsia="Arial" w:hAnsi="Arial"/>
          <w:color w:val="26323F"/>
          <w:sz w:val="21"/>
          <w:szCs w:val="21"/>
        </w:rPr>
        <w:t xml:space="preserve">Filters to delivered orders. Result: 110,197 rows, 96,478 orders and total revenue of R$ 13,221,498.11 before the dashboard date filter.</w:t>
      </w:r>
    </w:p>
    <w:p>
      <w:pPr>
        <w:pStyle w:val="Heading3"/>
      </w:pPr>
      <w:r>
        <w:rPr>
          <w:rFonts w:ascii="Arial" w:cs="Arial" w:eastAsia="Arial" w:hAnsi="Arial"/>
        </w:rPr>
        <w:t xml:space="preserve">vw_orders (order level)</w:t>
      </w:r>
    </w:p>
    <w:p>
      <w:pPr>
        <w:pStyle w:val="ListParagraph"/>
        <w:numPr>
          <w:ilvl w:val="0"/>
          <w:numId w:val="2"/>
        </w:numPr>
        <w:spacing w:after="60" w:line="288"/>
      </w:pPr>
      <w:r>
        <w:rPr>
          <w:rFonts w:ascii="Arial" w:cs="Arial" w:eastAsia="Arial" w:hAnsi="Arial"/>
          <w:color w:val="26323F"/>
          <w:sz w:val="21"/>
          <w:szCs w:val="21"/>
        </w:rPr>
        <w:t xml:space="preserve">One row per delivered order, with delivery_days, delay_days against the estimated date, an is_late flag and the review score.</w:t>
      </w:r>
    </w:p>
    <w:p>
      <w:pPr>
        <w:pStyle w:val="ListParagraph"/>
        <w:numPr>
          <w:ilvl w:val="0"/>
          <w:numId w:val="2"/>
        </w:numPr>
        <w:spacing w:after="60" w:line="288"/>
      </w:pPr>
      <w:r>
        <w:rPr>
          <w:rFonts w:ascii="Arial" w:cs="Arial" w:eastAsia="Arial" w:hAnsi="Arial"/>
          <w:color w:val="26323F"/>
          <w:sz w:val="21"/>
          <w:szCs w:val="21"/>
        </w:rPr>
        <w:t xml:space="preserve">Some orders have more than one review, so the review score is averaged per order. This keeps one row per order and prevents duplicated counts.</w:t>
      </w:r>
    </w:p>
    <w:p>
      <w:pPr>
        <w:pStyle w:val="ListParagraph"/>
        <w:numPr>
          <w:ilvl w:val="0"/>
          <w:numId w:val="2"/>
        </w:numPr>
        <w:spacing w:after="60" w:line="288"/>
      </w:pPr>
      <w:r>
        <w:rPr>
          <w:rFonts w:ascii="Arial" w:cs="Arial" w:eastAsia="Arial" w:hAnsi="Arial"/>
          <w:color w:val="26323F"/>
          <w:sz w:val="21"/>
          <w:szCs w:val="21"/>
        </w:rPr>
        <w:t xml:space="preserve">Orders without a delivery date are excluded. Result: 96,470 orders, 12.5 average delivery days, 8.1% late and an average review score of 4.16.</w:t>
      </w:r>
    </w:p>
    <w:p>
      <w:pPr>
        <w:pStyle w:val="Heading2"/>
      </w:pPr>
      <w:r>
        <w:rPr>
          <w:rFonts w:ascii="Arial" w:cs="Arial" w:eastAsia="Arial" w:hAnsi="Arial"/>
        </w:rPr>
        <w:t xml:space="preserve">6.6 Validation and analysis queries</w:t>
      </w:r>
    </w:p>
    <w:p>
      <w:pPr>
        <w:spacing w:after="120" w:before="0" w:line="300"/>
      </w:pPr>
      <w:r>
        <w:rPr>
          <w:rFonts w:ascii="Arial" w:cs="Arial" w:eastAsia="Arial" w:hAnsi="Arial"/>
          <w:color w:val="26323F"/>
          <w:sz w:val="21"/>
          <w:szCs w:val="21"/>
        </w:rPr>
        <w:t xml:space="preserve">Two further scripts were saved with the project. The validation queries hold the row count check and the repeat customer check. The analysis queries reproduce the dashboard logic in SQL: monthly revenue and orders, top categories and states with revenue share, one-time versus repeat customers, review score by delivery status and slowest states by average delivery days.</w:t>
      </w:r>
    </w:p>
    <w:p>
      <w:pPr>
        <w:pStyle w:val="Heading1"/>
        <w:pageBreakBefore/>
      </w:pPr>
      <w:bookmarkStart w:name="s7" w:id="1"/>
      <w:r>
        <w:rPr>
          <w:rFonts w:ascii="Arial" w:cs="Arial" w:eastAsia="Arial" w:hAnsi="Arial"/>
        </w:rPr>
        <w:t xml:space="preserve">7. Data Model</w:t>
      </w:r>
      <w:bookmarkEnd w:id="1"/>
    </w:p>
    <w:p>
      <w:pPr>
        <w:spacing w:after="120" w:before="0" w:line="300"/>
      </w:pPr>
      <w:r>
        <w:rPr>
          <w:rFonts w:ascii="Arial" w:cs="Arial" w:eastAsia="Arial" w:hAnsi="Arial"/>
          <w:color w:val="26323F"/>
          <w:sz w:val="21"/>
          <w:szCs w:val="21"/>
        </w:rPr>
        <w:t xml:space="preserve">The Power BI model follows a star schema with two fact tables, because the item-level data and the order-level data have different grains. Keeping them separate avoids double counting of delivery and review metrics.</w:t>
      </w:r>
    </w:p>
    <w:p>
      <w:pPr>
        <w:keepNext/>
        <w:pBdr>
          <w:top w:val="single" w:color="E1E6EF" w:sz="4"/>
          <w:bottom w:val="single" w:color="E1E6EF" w:sz="4"/>
          <w:left w:val="single" w:color="E1E6EF" w:sz="4"/>
          <w:right w:val="single" w:color="E1E6EF" w:sz="4"/>
        </w:pBdr>
        <w:spacing w:after="40" w:before="80"/>
        <w:jc w:val="center"/>
      </w:pPr>
      <w:r>
        <w:drawing>
          <wp:inline distT="0" distB="0" distL="0" distR="0">
            <wp:extent cx="5715000" cy="2971800"/>
            <wp:effectExtent t="0" r="0" b="0" l="0"/>
            <wp:docPr id="1" name="06_Data_Model.png" descr="Figure 1: Power BI data model (model view)" title="Figure 1: Power BI data model (mode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71800"/>
                    </a:xfrm>
                    <a:prstGeom prst="rect">
                      <a:avLst/>
                    </a:prstGeom>
                  </pic:spPr>
                </pic:pic>
              </a:graphicData>
            </a:graphic>
          </wp:inline>
        </w:drawing>
      </w:r>
    </w:p>
    <w:p>
      <w:pPr>
        <w:spacing w:after="160"/>
        <w:jc w:val="center"/>
      </w:pPr>
      <w:r>
        <w:rPr>
          <w:rFonts w:ascii="Arial" w:cs="Arial" w:eastAsia="Arial" w:hAnsi="Arial"/>
          <w:i/>
          <w:iCs/>
          <w:color w:val="5C6B7A"/>
          <w:sz w:val="17"/>
          <w:szCs w:val="17"/>
        </w:rPr>
        <w:t xml:space="preserve">Figure 1: Power BI data model (model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Table</w:t>
            </w:r>
          </w:p>
        </w:tc>
        <w:tc>
          <w:tcPr>
            <w:tcW w:type="dxa" w:w="73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Description</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Fact_OrderItems</w:t>
            </w:r>
          </w:p>
        </w:tc>
        <w:tc>
          <w:tcPr>
            <w:tcW w:type="dxa" w:w="7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One row per order item, loaded from vw_order_items. Holds price, freight, category, seller, customer and Order Date.</w:t>
            </w:r>
          </w:p>
        </w:tc>
      </w:tr>
      <w:tr>
        <w:trPr>
          <w:cantSplit/>
        </w:trPr>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Fact_Orders</w:t>
            </w:r>
          </w:p>
        </w:tc>
        <w:tc>
          <w:tcPr>
            <w:tcW w:type="dxa" w:w="7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One row per delivered order, loaded from vw_orders. Holds delivery days, delay days, late flag, review score and state.</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Dim_Date</w:t>
            </w:r>
          </w:p>
        </w:tc>
        <w:tc>
          <w:tcPr>
            <w:tcW w:type="dxa" w:w="7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Calendar table from 2016-01-01 to 2018-12-31 created in DAX and marked as the date table. Includes Year, Month Number, Month Name (sorted by month number), Year-Month and Quarter.</w:t>
            </w:r>
          </w:p>
        </w:tc>
      </w:tr>
      <w:tr>
        <w:trPr>
          <w:cantSplit/>
        </w:trPr>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Dim_Seller</w:t>
            </w:r>
          </w:p>
        </w:tc>
        <w:tc>
          <w:tcPr>
            <w:tcW w:type="dxa" w:w="7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Seller ID, city, state and a short seller label.</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Dim_Customer</w:t>
            </w:r>
          </w:p>
        </w:tc>
        <w:tc>
          <w:tcPr>
            <w:tcW w:type="dxa" w:w="7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Calculated table at customer level with Orders, Revenue, First Order and Last Order for January 2017 to August 2018, plus segmentation columns.</w:t>
            </w:r>
          </w:p>
        </w:tc>
      </w:tr>
      <w:tr>
        <w:trPr>
          <w:cantSplit/>
        </w:trPr>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_Measures</w:t>
            </w:r>
          </w:p>
        </w:tc>
        <w:tc>
          <w:tcPr>
            <w:tcW w:type="dxa" w:w="7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Container table that holds all DAX measures.</w:t>
            </w:r>
          </w:p>
        </w:tc>
      </w:tr>
    </w:tbl>
    <w:p>
      <w:pPr>
        <w:spacing w:after="120"/>
      </w:pPr>
    </w:p>
    <w:p>
      <w:pPr>
        <w:pStyle w:val="Heading3"/>
      </w:pPr>
      <w:r>
        <w:rPr>
          <w:rFonts w:ascii="Arial" w:cs="Arial" w:eastAsia="Arial" w:hAnsi="Arial"/>
        </w:rPr>
        <w:t xml:space="preserve">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gridCol w:w="2238"/>
      </w:tblGrid>
      <w:tr>
        <w:trPr>
          <w:tblHeader/>
        </w:trPr>
        <w:tc>
          <w:tcPr>
            <w:tcW w:type="dxa" w:w="37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From (one side)</w:t>
            </w:r>
          </w:p>
        </w:tc>
        <w:tc>
          <w:tcPr>
            <w:tcW w:type="dxa" w:w="37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To (many side)</w:t>
            </w:r>
          </w:p>
        </w:tc>
        <w:tc>
          <w:tcPr>
            <w:tcW w:type="dxa" w:w="22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Type</w:t>
            </w:r>
          </w:p>
        </w:tc>
      </w:tr>
      <w:tr>
        <w:trPr>
          <w:cantSplit/>
        </w:trPr>
        <w:tc>
          <w:tcPr>
            <w:tcW w:type="dxa" w:w="3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Dim_Date[Date]</w:t>
            </w:r>
          </w:p>
        </w:tc>
        <w:tc>
          <w:tcPr>
            <w:tcW w:type="dxa" w:w="3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Fact_OrderItems[Order Date]</w:t>
            </w:r>
          </w:p>
        </w:tc>
        <w:tc>
          <w:tcPr>
            <w:tcW w:type="dxa" w:w="2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One to many, single</w:t>
            </w:r>
          </w:p>
        </w:tc>
      </w:tr>
      <w:tr>
        <w:trPr>
          <w:cantSplit/>
        </w:trPr>
        <w:tc>
          <w:tcPr>
            <w:tcW w:type="dxa" w:w="3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Dim_Seller[seller_id]</w:t>
            </w:r>
          </w:p>
        </w:tc>
        <w:tc>
          <w:tcPr>
            <w:tcW w:type="dxa" w:w="3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Fact_OrderItems[seller_id]</w:t>
            </w:r>
          </w:p>
        </w:tc>
        <w:tc>
          <w:tcPr>
            <w:tcW w:type="dxa" w:w="22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One to many, single</w:t>
            </w:r>
          </w:p>
        </w:tc>
      </w:tr>
      <w:tr>
        <w:trPr>
          <w:cantSplit/>
        </w:trPr>
        <w:tc>
          <w:tcPr>
            <w:tcW w:type="dxa" w:w="3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Dim_Customer[customer_unique_id]</w:t>
            </w:r>
          </w:p>
        </w:tc>
        <w:tc>
          <w:tcPr>
            <w:tcW w:type="dxa" w:w="3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Fact_OrderItems[customer_unique_id]</w:t>
            </w:r>
          </w:p>
        </w:tc>
        <w:tc>
          <w:tcPr>
            <w:tcW w:type="dxa" w:w="2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One to many, single</w:t>
            </w:r>
          </w:p>
        </w:tc>
      </w:tr>
      <w:tr>
        <w:trPr>
          <w:cantSplit/>
        </w:trPr>
        <w:tc>
          <w:tcPr>
            <w:tcW w:type="dxa" w:w="3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Dim_Date[Date]</w:t>
            </w:r>
          </w:p>
        </w:tc>
        <w:tc>
          <w:tcPr>
            <w:tcW w:type="dxa" w:w="3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Fact_Orders[Order Date]</w:t>
            </w:r>
          </w:p>
        </w:tc>
        <w:tc>
          <w:tcPr>
            <w:tcW w:type="dxa" w:w="22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One to many, single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6EF" w:sz="4"/>
              <w:left w:val="single" w:color="1D4E89" w:sz="24"/>
              <w:bottom w:val="single" w:color="E1E6EF" w:sz="4"/>
              <w:right w:val="single" w:color="E1E6EF" w:sz="4"/>
            </w:tcBorders>
            <w:shd w:fill="F4F6FA" w:color="auto" w:val="clear"/>
            <w:tcMar>
              <w:top w:type="dxa" w:w="120"/>
              <w:left w:type="dxa" w:w="200"/>
              <w:bottom w:type="dxa" w:w="100"/>
              <w:right w:type="dxa" w:w="160"/>
            </w:tcMar>
          </w:tcPr>
          <w:p>
            <w:pPr>
              <w:spacing w:after="80"/>
            </w:pPr>
            <w:r>
              <w:rPr>
                <w:rFonts w:ascii="Arial" w:cs="Arial" w:eastAsia="Arial" w:hAnsi="Arial"/>
                <w:b/>
                <w:bCs/>
                <w:color w:val="0B2545"/>
                <w:sz w:val="21"/>
                <w:szCs w:val="21"/>
              </w:rPr>
              <w:t xml:space="preserve">Modelling notes</w:t>
            </w:r>
          </w:p>
          <w:p>
            <w:pPr>
              <w:pStyle w:val="ListParagraph"/>
              <w:numPr>
                <w:ilvl w:val="0"/>
                <w:numId w:val="2"/>
              </w:numPr>
              <w:spacing w:after="60" w:line="288"/>
            </w:pPr>
            <w:r>
              <w:rPr>
                <w:rFonts w:ascii="Arial" w:cs="Arial" w:eastAsia="Arial" w:hAnsi="Arial"/>
                <w:color w:val="26323F"/>
                <w:sz w:val="19"/>
                <w:szCs w:val="19"/>
              </w:rPr>
              <w:t xml:space="preserve">Power BI automatically created an order_id relationship between the two fact tables. It was deleted because it produced two filter paths from Dim_Date and caused an ambiguity error.</w:t>
            </w:r>
          </w:p>
          <w:p>
            <w:pPr>
              <w:pStyle w:val="ListParagraph"/>
              <w:numPr>
                <w:ilvl w:val="0"/>
                <w:numId w:val="2"/>
              </w:numPr>
              <w:spacing w:after="60" w:line="288"/>
            </w:pPr>
            <w:r>
              <w:rPr>
                <w:rFonts w:ascii="Arial" w:cs="Arial" w:eastAsia="Arial" w:hAnsi="Arial"/>
                <w:color w:val="26323F"/>
                <w:sz w:val="19"/>
                <w:szCs w:val="19"/>
              </w:rPr>
              <w:t xml:space="preserve">Dim_Customer is calculated once at refresh, so it does not react to the Year, Quarter or State slicers. For that reason Page 3 has no slicers.</w:t>
            </w:r>
          </w:p>
          <w:p>
            <w:pPr>
              <w:pStyle w:val="ListParagraph"/>
              <w:numPr>
                <w:ilvl w:val="0"/>
                <w:numId w:val="2"/>
              </w:numPr>
              <w:spacing w:after="60" w:line="288"/>
            </w:pPr>
            <w:r>
              <w:rPr>
                <w:rFonts w:ascii="Arial" w:cs="Arial" w:eastAsia="Arial" w:hAnsi="Arial"/>
                <w:color w:val="26323F"/>
                <w:sz w:val="19"/>
                <w:szCs w:val="19"/>
              </w:rPr>
              <w:t xml:space="preserve">Customers are identified with customer_unique_id, not customer_id.</w:t>
            </w:r>
          </w:p>
        </w:tc>
      </w:tr>
    </w:tbl>
    <w:p>
      <w:pPr>
        <w:pStyle w:val="Heading1"/>
      </w:pPr>
      <w:bookmarkStart w:name="s8" w:id="1"/>
      <w:r>
        <w:rPr>
          <w:rFonts w:ascii="Arial" w:cs="Arial" w:eastAsia="Arial" w:hAnsi="Arial"/>
        </w:rPr>
        <w:t xml:space="preserve">8. DAX Measures and Calculated Columns</w:t>
      </w:r>
      <w:bookmarkEnd w:id="1"/>
    </w:p>
    <w:p>
      <w:pPr>
        <w:spacing w:after="120" w:before="0" w:line="300"/>
      </w:pPr>
      <w:r>
        <w:rPr>
          <w:rFonts w:ascii="Arial" w:cs="Arial" w:eastAsia="Arial" w:hAnsi="Arial"/>
          <w:color w:val="26323F"/>
          <w:sz w:val="21"/>
          <w:szCs w:val="21"/>
        </w:rPr>
        <w:t xml:space="preserve">All measures live in the _Measures table and use explicit number formats (currency for money, whole numbers for counts, percentages for rates).</w:t>
      </w:r>
    </w:p>
    <w:p>
      <w:pPr>
        <w:pStyle w:val="Heading3"/>
      </w:pPr>
      <w:r>
        <w:rPr>
          <w:rFonts w:ascii="Arial" w:cs="Arial" w:eastAsia="Arial" w:hAnsi="Arial"/>
        </w:rPr>
        <w:t xml:space="preserve">Sales and product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838"/>
        <w:gridCol w:w="2300"/>
      </w:tblGrid>
      <w:tr>
        <w:trPr>
          <w:tblHeader/>
        </w:trPr>
        <w:tc>
          <w:tcPr>
            <w:tcW w:type="dxa" w:w="25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Measure</w:t>
            </w:r>
          </w:p>
        </w:tc>
        <w:tc>
          <w:tcPr>
            <w:tcW w:type="dxa" w:w="48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Definition</w:t>
            </w:r>
          </w:p>
        </w:tc>
        <w:tc>
          <w:tcPr>
            <w:tcW w:type="dxa" w:w="2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Used on</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Total Revenue</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Sum of item price</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Pages 1, 2, 5</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Total Orders</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Distinct count of order_id</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Pages 1, 5</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Total Customers</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Distinct count of customer_unique_id</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Pages 1, 5</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AOV</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Total Revenue divided by Total Orders</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1</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Latest MoM %</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Revenue of the latest month versus the previous month</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1</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Items Sold</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Row count of Fact_OrderItems</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2</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Avg Item Price</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Total Revenue divided by Items Sold</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2</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Total Freight, Avg Freight</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Sum of freight, and freight per item</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2</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Freight % of Revenue</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Total Freight divided by Total Revenue</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2</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Active Sellers, Revenue per Seller</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Distinct sellers, and revenue divided by sellers</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2</w:t>
            </w:r>
          </w:p>
        </w:tc>
      </w:tr>
    </w:tbl>
    <w:p>
      <w:pPr>
        <w:spacing w:after="120"/>
      </w:pPr>
    </w:p>
    <w:p>
      <w:pPr>
        <w:pStyle w:val="Heading3"/>
      </w:pPr>
      <w:r>
        <w:rPr>
          <w:rFonts w:ascii="Arial" w:cs="Arial" w:eastAsia="Arial" w:hAnsi="Arial"/>
        </w:rPr>
        <w:t xml:space="preserve">Customer and delivery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838"/>
        <w:gridCol w:w="2300"/>
      </w:tblGrid>
      <w:tr>
        <w:trPr>
          <w:tblHeader/>
        </w:trPr>
        <w:tc>
          <w:tcPr>
            <w:tcW w:type="dxa" w:w="25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Measure</w:t>
            </w:r>
          </w:p>
        </w:tc>
        <w:tc>
          <w:tcPr>
            <w:tcW w:type="dxa" w:w="48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Definition</w:t>
            </w:r>
          </w:p>
        </w:tc>
        <w:tc>
          <w:tcPr>
            <w:tcW w:type="dxa" w:w="2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Used on</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Customer Count</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Row count of Dim_Customer</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3</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Repeat Customers</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Customers with more than one order</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Pages 3, 5</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Repeat Rate %</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Repeat Customers divided by Customer Count</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Pages 3, 5</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Avg Orders per Customer</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Average of Orders in Dim_Customer</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3</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Avg Revenue per Customer</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Average of Revenue in Dim_Customer</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3</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Delivered Orders</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Row count of Fact_Orders</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4</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Avg Delivery Days</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Average of delivery_days</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4</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Late Delivery %, On-time %</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Late orders divided by delivered orders, and its complement</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Pages 4, 5</w:t>
            </w:r>
          </w:p>
        </w:tc>
      </w:tr>
      <w:tr>
        <w:trPr>
          <w:cantSplit/>
        </w:trPr>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Avg Review Score</w:t>
            </w:r>
          </w:p>
        </w:tc>
        <w:tc>
          <w:tcPr>
            <w:tcW w:type="dxa" w:w="48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Average of the per-order review score</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Pages 4, 5</w:t>
            </w:r>
          </w:p>
        </w:tc>
      </w:tr>
      <w:tr>
        <w:trPr>
          <w:cantSplit/>
        </w:trPr>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Low Review %</w:t>
            </w:r>
          </w:p>
        </w:tc>
        <w:tc>
          <w:tcPr>
            <w:tcW w:type="dxa" w:w="48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Share of reviewed orders with a score of 2 or below</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Page 4</w:t>
            </w:r>
          </w:p>
        </w:tc>
      </w:tr>
    </w:tbl>
    <w:p>
      <w:pPr>
        <w:spacing w:after="120"/>
      </w:pPr>
    </w:p>
    <w:p>
      <w:pPr>
        <w:pStyle w:val="Heading3"/>
      </w:pPr>
      <w:r>
        <w:rPr>
          <w:rFonts w:ascii="Arial" w:cs="Arial" w:eastAsia="Arial" w:hAnsi="Arial"/>
        </w:rPr>
        <w:t xml:space="preserve">Calculated columns and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Object</w:t>
            </w:r>
          </w:p>
        </w:tc>
        <w:tc>
          <w:tcPr>
            <w:tcW w:type="dxa" w:w="67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Purpose</w:t>
            </w:r>
          </w:p>
        </w:tc>
      </w:tr>
      <w:tr>
        <w:trPr>
          <w:cantSplit/>
        </w:trPr>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Order Date (Power Query)</w:t>
            </w:r>
          </w:p>
        </w:tc>
        <w:tc>
          <w:tcPr>
            <w:tcW w:type="dxa" w:w="67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Date part of order_purchase_timestamp, used to relate fact tables to Dim_Date</w:t>
            </w:r>
          </w:p>
        </w:tc>
      </w:tr>
      <w:tr>
        <w:trPr>
          <w:cantSplit/>
        </w:trPr>
        <w:tc>
          <w:tcPr>
            <w:tcW w:type="dxa" w:w="2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Seller Short (Dim_Seller)</w:t>
            </w:r>
          </w:p>
        </w:tc>
        <w:tc>
          <w:tcPr>
            <w:tcW w:type="dxa" w:w="67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Short label such as S-4869f7 for readable seller charts</w:t>
            </w:r>
          </w:p>
        </w:tc>
      </w:tr>
      <w:tr>
        <w:trPr>
          <w:cantSplit/>
        </w:trPr>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Customer Type (Dim_Customer)</w:t>
            </w:r>
          </w:p>
        </w:tc>
        <w:tc>
          <w:tcPr>
            <w:tcW w:type="dxa" w:w="67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Repeat when Orders is greater than 1, otherwise One-time</w:t>
            </w:r>
          </w:p>
        </w:tc>
      </w:tr>
      <w:tr>
        <w:trPr>
          <w:cantSplit/>
        </w:trPr>
        <w:tc>
          <w:tcPr>
            <w:tcW w:type="dxa" w:w="2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Recency Days (Dim_Customer)</w:t>
            </w:r>
          </w:p>
        </w:tc>
        <w:tc>
          <w:tcPr>
            <w:tcW w:type="dxa" w:w="67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Days between last order and 31 August 2018</w:t>
            </w:r>
          </w:p>
        </w:tc>
      </w:tr>
      <w:tr>
        <w:trPr>
          <w:cantSplit/>
        </w:trPr>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First Order Month (Dim_Customer)</w:t>
            </w:r>
          </w:p>
        </w:tc>
        <w:tc>
          <w:tcPr>
            <w:tcW w:type="dxa" w:w="67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Year-month of the first order, for the new customers chart</w:t>
            </w:r>
          </w:p>
        </w:tc>
      </w:tr>
      <w:tr>
        <w:trPr>
          <w:cantSplit/>
        </w:trPr>
        <w:tc>
          <w:tcPr>
            <w:tcW w:type="dxa" w:w="2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Customer Segment (Dim_Customer)</w:t>
            </w:r>
          </w:p>
        </w:tc>
        <w:tc>
          <w:tcPr>
            <w:tcW w:type="dxa" w:w="67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Five segments based on orders, recency and revenue (Section 10.3)</w:t>
            </w:r>
          </w:p>
        </w:tc>
      </w:tr>
      <w:tr>
        <w:trPr>
          <w:cantSplit/>
        </w:trPr>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Delivery Status and Sort (Fact_Orders)</w:t>
            </w:r>
          </w:p>
        </w:tc>
        <w:tc>
          <w:tcPr>
            <w:tcW w:type="dxa" w:w="67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On time, or late in three buckets, with a sort column for correct ordering</w:t>
            </w:r>
          </w:p>
        </w:tc>
      </w:tr>
      <w:tr>
        <w:trPr>
          <w:cantSplit/>
        </w:trPr>
        <w:tc>
          <w:tcPr>
            <w:tcW w:type="dxa" w:w="2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Review Stars (Fact_Orders)</w:t>
            </w:r>
          </w:p>
        </w:tc>
        <w:tc>
          <w:tcPr>
            <w:tcW w:type="dxa" w:w="67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Review score rounded to whole stars for the distribution chart</w:t>
            </w:r>
          </w:p>
        </w:tc>
      </w:tr>
    </w:tbl>
    <w:p>
      <w:pPr>
        <w:spacing w:after="120"/>
      </w:pPr>
    </w:p>
    <w:p>
      <w:pPr>
        <w:spacing w:after="120" w:before="0" w:line="300"/>
      </w:pPr>
      <w:r>
        <w:rPr>
          <w:rFonts w:ascii="Arial" w:cs="Arial" w:eastAsia="Arial" w:hAnsi="Arial"/>
          <w:i/>
          <w:iCs/>
          <w:color w:val="5C6B7A"/>
          <w:sz w:val="21"/>
          <w:szCs w:val="21"/>
        </w:rPr>
        <w:t xml:space="preserve">The full code for the main objects is in Appendix B.</w:t>
      </w:r>
    </w:p>
    <w:p>
      <w:pPr>
        <w:pStyle w:val="Heading1"/>
      </w:pPr>
      <w:bookmarkStart w:name="s9" w:id="1"/>
      <w:r>
        <w:rPr>
          <w:rFonts w:ascii="Arial" w:cs="Arial" w:eastAsia="Arial" w:hAnsi="Arial"/>
        </w:rPr>
        <w:t xml:space="preserve">9. Dashboard Design System</w:t>
      </w:r>
      <w:bookmarkEnd w:id="1"/>
    </w:p>
    <w:p>
      <w:pPr>
        <w:spacing w:after="120" w:before="0" w:line="300"/>
      </w:pPr>
      <w:r>
        <w:rPr>
          <w:rFonts w:ascii="Arial" w:cs="Arial" w:eastAsia="Arial" w:hAnsi="Arial"/>
          <w:color w:val="26323F"/>
          <w:sz w:val="21"/>
          <w:szCs w:val="21"/>
        </w:rPr>
        <w:t xml:space="preserve">A fixed design system was defined before building the pages, so that all five pages look like one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400"/>
        <w:gridCol w:w="5238"/>
      </w:tblGrid>
      <w:tr>
        <w:trPr>
          <w:tblHeader/>
        </w:trPr>
        <w:tc>
          <w:tcPr>
            <w:tcW w:type="dxa" w:w="10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8"/>
                <w:szCs w:val="18"/>
              </w:rPr>
              <w:t xml:space="preserve">Swatch</w:t>
            </w:r>
          </w:p>
        </w:tc>
        <w:tc>
          <w:tcPr>
            <w:tcW w:type="dxa" w:w="20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8"/>
                <w:szCs w:val="18"/>
              </w:rPr>
              <w:t xml:space="preserve">Name</w:t>
            </w:r>
          </w:p>
        </w:tc>
        <w:tc>
          <w:tcPr>
            <w:tcW w:type="dxa" w:w="14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8"/>
                <w:szCs w:val="18"/>
              </w:rPr>
              <w:t xml:space="preserve">Hex</w:t>
            </w:r>
          </w:p>
        </w:tc>
        <w:tc>
          <w:tcPr>
            <w:tcW w:type="dxa" w:w="52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8"/>
                <w:szCs w:val="18"/>
              </w:rPr>
              <w:t xml:space="preserve">Use</w:t>
            </w:r>
          </w:p>
        </w:tc>
      </w:tr>
      <w:tr>
        <w:trPr>
          <w:cantSplit/>
        </w:trPr>
        <w:tc>
          <w:tcPr>
            <w:tcW w:type="dxa" w:w="10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Dark Navy</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#0B2545</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Header bar, titles, recommendations panel</w:t>
            </w:r>
          </w:p>
        </w:tc>
      </w:tr>
      <w:tr>
        <w:trPr>
          <w:cantSplit/>
        </w:trPr>
        <w:tc>
          <w:tcPr>
            <w:tcW w:type="dxa" w:w="1000"/>
            <w:tcBorders>
              <w:top w:val="single" w:color="E1E6EF" w:sz="4"/>
              <w:left w:val="single" w:color="E1E6EF" w:sz="4"/>
              <w:bottom w:val="single" w:color="E1E6EF" w:sz="4"/>
              <w:right w:val="single" w:color="E1E6EF" w:sz="4"/>
            </w:tcBorders>
            <w:shd w:fill="1D4E89"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Blue</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#1D4E89</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Primary chart colour, accent bars</w:t>
            </w:r>
          </w:p>
        </w:tc>
      </w:tr>
      <w:tr>
        <w:trPr>
          <w:cantSplit/>
        </w:trPr>
        <w:tc>
          <w:tcPr>
            <w:tcW w:type="dxa" w:w="1000"/>
            <w:tcBorders>
              <w:top w:val="single" w:color="E1E6EF" w:sz="4"/>
              <w:left w:val="single" w:color="E1E6EF" w:sz="4"/>
              <w:bottom w:val="single" w:color="E1E6EF" w:sz="4"/>
              <w:right w:val="single" w:color="E1E6EF" w:sz="4"/>
            </w:tcBorders>
            <w:shd w:fill="00A6A6"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Teal</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#00A6A6</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Secondary chart colour</w:t>
            </w:r>
          </w:p>
        </w:tc>
      </w:tr>
      <w:tr>
        <w:trPr>
          <w:cantSplit/>
        </w:trPr>
        <w:tc>
          <w:tcPr>
            <w:tcW w:type="dxa" w:w="1000"/>
            <w:tcBorders>
              <w:top w:val="single" w:color="E1E6EF" w:sz="4"/>
              <w:left w:val="single" w:color="E1E6EF" w:sz="4"/>
              <w:bottom w:val="single" w:color="E1E6EF" w:sz="4"/>
              <w:right w:val="single" w:color="E1E6EF" w:sz="4"/>
            </w:tcBorders>
            <w:shd w:fill="F28C28"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Orange</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#F28C28</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Highlight only: selected page, key accents</w:t>
            </w:r>
          </w:p>
        </w:tc>
      </w:tr>
      <w:tr>
        <w:trPr>
          <w:cantSplit/>
        </w:trPr>
        <w:tc>
          <w:tcPr>
            <w:tcW w:type="dxa" w:w="1000"/>
            <w:tcBorders>
              <w:top w:val="single" w:color="E1E6EF" w:sz="4"/>
              <w:left w:val="single" w:color="E1E6EF" w:sz="4"/>
              <w:bottom w:val="single" w:color="E1E6EF" w:sz="4"/>
              <w:right w:val="single" w:color="E1E6EF" w:sz="4"/>
            </w:tcBorders>
            <w:shd w:fill="2E9E6B"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Green</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#2E9E6B</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Positive result (on-time)</w:t>
            </w:r>
          </w:p>
        </w:tc>
      </w:tr>
      <w:tr>
        <w:trPr>
          <w:cantSplit/>
        </w:trPr>
        <w:tc>
          <w:tcPr>
            <w:tcW w:type="dxa" w:w="1000"/>
            <w:tcBorders>
              <w:top w:val="single" w:color="E1E6EF" w:sz="4"/>
              <w:left w:val="single" w:color="E1E6EF" w:sz="4"/>
              <w:bottom w:val="single" w:color="E1E6EF" w:sz="4"/>
              <w:right w:val="single" w:color="E1E6EF" w:sz="4"/>
            </w:tcBorders>
            <w:shd w:fill="D64545"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Red</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#D64545</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Negative result (late)</w:t>
            </w:r>
          </w:p>
        </w:tc>
      </w:tr>
      <w:tr>
        <w:trPr>
          <w:cantSplit/>
        </w:trPr>
        <w:tc>
          <w:tcPr>
            <w:tcW w:type="dxa" w:w="1000"/>
            <w:tcBorders>
              <w:top w:val="single" w:color="E1E6EF" w:sz="4"/>
              <w:left w:val="single" w:color="E1E6EF" w:sz="4"/>
              <w:bottom w:val="single" w:color="E1E6EF" w:sz="4"/>
              <w:right w:val="single" w:color="E1E6EF" w:sz="4"/>
            </w:tcBorders>
            <w:shd w:fill="8FB8DE"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Light Blue</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#8FB8DE</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Soft fills and subtitles</w:t>
            </w:r>
          </w:p>
        </w:tc>
      </w:tr>
      <w:tr>
        <w:trPr>
          <w:cantSplit/>
        </w:trPr>
        <w:tc>
          <w:tcPr>
            <w:tcW w:type="dxa" w:w="1000"/>
            <w:tcBorders>
              <w:top w:val="single" w:color="E1E6EF" w:sz="4"/>
              <w:left w:val="single" w:color="E1E6EF" w:sz="4"/>
              <w:bottom w:val="single" w:color="E1E6EF" w:sz="4"/>
              <w:right w:val="single" w:color="E1E6EF" w:sz="4"/>
            </w:tcBorders>
            <w:shd w:fill="5C6B7A"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Slate Grey</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#5C6B7A</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Labels and secondary text</w:t>
            </w:r>
          </w:p>
        </w:tc>
      </w:tr>
      <w:tr>
        <w:trPr>
          <w:cantSplit/>
        </w:trPr>
        <w:tc>
          <w:tcPr>
            <w:tcW w:type="dxa" w:w="1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6323F"/>
                <w:sz w:val="18"/>
                <w:szCs w:val="18"/>
              </w:rPr>
              <w:t xml:space="preserve">Light Grey</w:t>
            </w:r>
          </w:p>
        </w:tc>
        <w:tc>
          <w:tcPr>
            <w:tcW w:type="dxa" w:w="1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#F4F6FA</w:t>
            </w:r>
          </w:p>
        </w:tc>
        <w:tc>
          <w:tcPr>
            <w:tcW w:type="dxa" w:w="5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26323F"/>
                <w:sz w:val="18"/>
                <w:szCs w:val="18"/>
              </w:rPr>
              <w:t xml:space="preserve">Page background</w:t>
            </w:r>
          </w:p>
        </w:tc>
      </w:tr>
    </w:tbl>
    <w:p>
      <w:pPr>
        <w:spacing w:after="120"/>
      </w:pPr>
    </w:p>
    <w:p>
      <w:pPr>
        <w:pStyle w:val="Heading3"/>
      </w:pPr>
      <w:r>
        <w:rPr>
          <w:rFonts w:ascii="Arial" w:cs="Arial" w:eastAsia="Arial" w:hAnsi="Arial"/>
        </w:rPr>
        <w:t xml:space="preserve">Design rules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Typography:</w:t>
      </w:r>
      <w:r>
        <w:rPr>
          <w:rFonts w:ascii="Arial" w:cs="Arial" w:eastAsia="Arial" w:hAnsi="Arial"/>
          <w:color w:val="26323F"/>
          <w:sz w:val="21"/>
          <w:szCs w:val="21"/>
        </w:rPr>
        <w:t xml:space="preserve"> Segoe UI throughout, with semibold titles in dark navy.</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Layout:</w:t>
      </w:r>
      <w:r>
        <w:rPr>
          <w:rFonts w:ascii="Arial" w:cs="Arial" w:eastAsia="Arial" w:hAnsi="Arial"/>
          <w:color w:val="26323F"/>
          <w:sz w:val="21"/>
          <w:szCs w:val="21"/>
        </w:rPr>
        <w:t xml:space="preserve"> a 1280 px wide canvas, a navy header with title, subtitle and navigation buttons, a row of KPI cards, then charts on a 20 px margin grid.</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Charts:</w:t>
      </w:r>
      <w:r>
        <w:rPr>
          <w:rFonts w:ascii="Arial" w:cs="Arial" w:eastAsia="Arial" w:hAnsi="Arial"/>
          <w:color w:val="26323F"/>
          <w:sz w:val="21"/>
          <w:szCs w:val="21"/>
        </w:rPr>
        <w:t xml:space="preserve"> at most two or three colours per chart, gridlines removed, data labels on, descriptive chart titles.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Colour discipline:</w:t>
      </w:r>
      <w:r>
        <w:rPr>
          <w:rFonts w:ascii="Arial" w:cs="Arial" w:eastAsia="Arial" w:hAnsi="Arial"/>
          <w:color w:val="26323F"/>
          <w:sz w:val="21"/>
          <w:szCs w:val="21"/>
        </w:rPr>
        <w:t xml:space="preserve"> orange is reserved for highlights, green and red only for good and bad outcomes.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Navigation:</w:t>
      </w:r>
      <w:r>
        <w:rPr>
          <w:rFonts w:ascii="Arial" w:cs="Arial" w:eastAsia="Arial" w:hAnsi="Arial"/>
          <w:color w:val="26323F"/>
          <w:sz w:val="21"/>
          <w:szCs w:val="21"/>
        </w:rPr>
        <w:t xml:space="preserve"> a page navigator in every header. The selected page is shown in orange. Page names are short (Overview, Sales, Customers, Delivery, Insights).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Insight boxes:</w:t>
      </w:r>
      <w:r>
        <w:rPr>
          <w:rFonts w:ascii="Arial" w:cs="Arial" w:eastAsia="Arial" w:hAnsi="Arial"/>
          <w:color w:val="26323F"/>
          <w:sz w:val="21"/>
          <w:szCs w:val="21"/>
        </w:rPr>
        <w:t xml:space="preserve"> every analysis page ends with a short Key Insights text box, so the reader gets the message without interpreting charts.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Theme file:</w:t>
      </w:r>
      <w:r>
        <w:rPr>
          <w:rFonts w:ascii="Arial" w:cs="Arial" w:eastAsia="Arial" w:hAnsi="Arial"/>
          <w:color w:val="26323F"/>
          <w:sz w:val="21"/>
          <w:szCs w:val="21"/>
        </w:rPr>
        <w:t xml:space="preserve"> the palette was saved as a Power BI theme JSON, so that new visuals automatically use the same colours.</w:t>
      </w:r>
    </w:p>
    <w:p>
      <w:pPr>
        <w:pStyle w:val="Heading1"/>
        <w:pageBreakBefore/>
      </w:pPr>
      <w:bookmarkStart w:name="s10" w:id="1"/>
      <w:r>
        <w:rPr>
          <w:rFonts w:ascii="Arial" w:cs="Arial" w:eastAsia="Arial" w:hAnsi="Arial"/>
        </w:rPr>
        <w:t xml:space="preserve">10. Dashboard Pages</w:t>
      </w:r>
      <w:bookmarkEnd w:id="1"/>
    </w:p>
    <w:p>
      <w:pPr>
        <w:spacing w:after="120" w:before="0" w:line="300"/>
      </w:pPr>
      <w:r>
        <w:rPr>
          <w:rFonts w:ascii="Arial" w:cs="Arial" w:eastAsia="Arial" w:hAnsi="Arial"/>
          <w:color w:val="26323F"/>
          <w:sz w:val="21"/>
          <w:szCs w:val="21"/>
        </w:rPr>
        <w:t xml:space="preserve">The report has five pages. Pages 1, 2 and 4 respond to the Year, Quarter and State slicers. Page 3 uses a fixed customer table and has no slicers. All numbers below cover January 2017 to August 2018.</w:t>
      </w:r>
    </w:p>
    <w:p>
      <w:pPr>
        <w:pStyle w:val="Heading2"/>
      </w:pPr>
      <w:bookmarkStart w:name="s10_1" w:id="1"/>
      <w:r>
        <w:rPr>
          <w:rFonts w:ascii="Arial" w:cs="Arial" w:eastAsia="Arial" w:hAnsi="Arial"/>
        </w:rPr>
        <w:t xml:space="preserve">10.1 Executive Overview</w:t>
      </w:r>
      <w:bookmarkEnd w:id="1"/>
    </w:p>
    <w:p>
      <w:pPr>
        <w:keepNext/>
        <w:spacing w:after="120" w:before="0" w:line="300"/>
      </w:pPr>
      <w:r>
        <w:rPr>
          <w:rFonts w:ascii="Arial" w:cs="Arial" w:eastAsia="Arial" w:hAnsi="Arial"/>
          <w:color w:val="26323F"/>
          <w:sz w:val="21"/>
          <w:szCs w:val="21"/>
        </w:rPr>
        <w:t xml:space="preserve">Purpose: give a one-screen view of business size, growth and where revenue comes from.</w:t>
      </w:r>
    </w:p>
    <w:p>
      <w:pPr>
        <w:keepNext/>
        <w:pBdr>
          <w:top w:val="single" w:color="E1E6EF" w:sz="4"/>
          <w:bottom w:val="single" w:color="E1E6EF" w:sz="4"/>
          <w:left w:val="single" w:color="E1E6EF" w:sz="4"/>
          <w:right w:val="single" w:color="E1E6EF" w:sz="4"/>
        </w:pBdr>
        <w:spacing w:after="40" w:before="80"/>
        <w:jc w:val="center"/>
      </w:pPr>
      <w:r>
        <w:drawing>
          <wp:inline distT="0" distB="0" distL="0" distR="0">
            <wp:extent cx="5715000" cy="3724275"/>
            <wp:effectExtent t="0" r="0" b="0" l="0"/>
            <wp:docPr id="1" name="01_Executive_Overview.png" descr="Figure 2: Page 1 – Executive Overview" title="Figure 2: Page 1 – Executiv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24275"/>
                    </a:xfrm>
                    <a:prstGeom prst="rect">
                      <a:avLst/>
                    </a:prstGeom>
                  </pic:spPr>
                </pic:pic>
              </a:graphicData>
            </a:graphic>
          </wp:inline>
        </w:drawing>
      </w:r>
    </w:p>
    <w:p>
      <w:pPr>
        <w:spacing w:after="160"/>
        <w:jc w:val="center"/>
      </w:pPr>
      <w:r>
        <w:rPr>
          <w:rFonts w:ascii="Arial" w:cs="Arial" w:eastAsia="Arial" w:hAnsi="Arial"/>
          <w:i/>
          <w:iCs/>
          <w:color w:val="5C6B7A"/>
          <w:sz w:val="17"/>
          <w:szCs w:val="17"/>
        </w:rPr>
        <w:t xml:space="preserve">Figure 2: Page 1 – Executive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Total Revenue</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Total Orders</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Total Customers</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AOV</w:t>
            </w:r>
          </w:p>
        </w:tc>
        <w:tc>
          <w:tcPr>
            <w:tcW w:type="dxa" w:w="193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MoM Growth (Aug 2018)</w:t>
            </w:r>
          </w:p>
        </w:tc>
      </w:tr>
      <w:tr>
        <w:trPr>
          <w:cantSplit/>
        </w:trPr>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R$ 13.18M</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96,211</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93,104</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R$ 137</w:t>
            </w:r>
          </w:p>
        </w:tc>
        <w:tc>
          <w:tcPr>
            <w:tcW w:type="dxa" w:w="193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-3.38%</w:t>
            </w:r>
          </w:p>
        </w:tc>
      </w:tr>
    </w:tbl>
    <w:p>
      <w:pPr>
        <w:spacing w:after="120" w:before="60" w:line="300"/>
      </w:pPr>
      <w:r>
        <w:rPr>
          <w:rFonts w:ascii="Arial" w:cs="Arial" w:eastAsia="Arial" w:hAnsi="Arial"/>
          <w:color w:val="5C6B7A"/>
          <w:sz w:val="18"/>
          <w:szCs w:val="18"/>
        </w:rPr>
        <w:t xml:space="preserve">Delivered orders in the analysis window. MoM growth compares August with July 2018.</w:t>
      </w:r>
    </w:p>
    <w:p>
      <w:pPr>
        <w:spacing w:after="120" w:before="0" w:line="300"/>
      </w:pPr>
      <w:r>
        <w:rPr>
          <w:rFonts w:ascii="Arial" w:cs="Arial" w:eastAsia="Arial" w:hAnsi="Arial"/>
          <w:color w:val="26323F"/>
          <w:sz w:val="19"/>
          <w:szCs w:val="19"/>
        </w:rPr>
        <w:t xml:space="preserve">Visuals: monthly revenue trend, top 10 states, top 10 categories and orders by month for 2017 and 2018.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6EF" w:sz="4"/>
              <w:left w:val="single" w:color="1D4E89" w:sz="24"/>
              <w:bottom w:val="single" w:color="E1E6EF" w:sz="4"/>
              <w:right w:val="single" w:color="E1E6EF" w:sz="4"/>
            </w:tcBorders>
            <w:shd w:fill="F4F6FA" w:color="auto" w:val="clear"/>
            <w:tcMar>
              <w:top w:type="dxa" w:w="120"/>
              <w:left w:type="dxa" w:w="200"/>
              <w:bottom w:type="dxa" w:w="100"/>
              <w:right w:type="dxa" w:w="160"/>
            </w:tcMar>
          </w:tcPr>
          <w:p>
            <w:pPr>
              <w:spacing w:after="80"/>
            </w:pPr>
            <w:r>
              <w:rPr>
                <w:rFonts w:ascii="Arial" w:cs="Arial" w:eastAsia="Arial" w:hAnsi="Arial"/>
                <w:b/>
                <w:bCs/>
                <w:color w:val="0B2545"/>
                <w:sz w:val="21"/>
                <w:szCs w:val="21"/>
              </w:rPr>
              <w:t xml:space="preserve">Key insights</w:t>
            </w:r>
          </w:p>
          <w:p>
            <w:pPr>
              <w:pStyle w:val="ListParagraph"/>
              <w:numPr>
                <w:ilvl w:val="0"/>
                <w:numId w:val="2"/>
              </w:numPr>
              <w:spacing w:after="60" w:line="288"/>
            </w:pPr>
            <w:r>
              <w:rPr>
                <w:rFonts w:ascii="Arial" w:cs="Arial" w:eastAsia="Arial" w:hAnsi="Arial"/>
                <w:color w:val="26323F"/>
                <w:sz w:val="19"/>
                <w:szCs w:val="19"/>
              </w:rPr>
              <w:t xml:space="preserve">Revenue grew about 9x in 2017, from R$ 112K in January to R$ 988K in November, then plateaued at roughly R$ 830K–980K per month in 2018.</w:t>
            </w:r>
          </w:p>
          <w:p>
            <w:pPr>
              <w:pStyle w:val="ListParagraph"/>
              <w:numPr>
                <w:ilvl w:val="0"/>
                <w:numId w:val="2"/>
              </w:numPr>
              <w:spacing w:after="60" w:line="288"/>
            </w:pPr>
            <w:r>
              <w:rPr>
                <w:rFonts w:ascii="Arial" w:cs="Arial" w:eastAsia="Arial" w:hAnsi="Arial"/>
                <w:color w:val="26323F"/>
                <w:sz w:val="19"/>
                <w:szCs w:val="19"/>
              </w:rPr>
              <w:t xml:space="preserve">November 2017 was the strongest month with 7.3K orders, followed by a dip to R$ 726K in December.</w:t>
            </w:r>
          </w:p>
          <w:p>
            <w:pPr>
              <w:pStyle w:val="ListParagraph"/>
              <w:numPr>
                <w:ilvl w:val="0"/>
                <w:numId w:val="2"/>
              </w:numPr>
              <w:spacing w:after="60" w:line="288"/>
            </w:pPr>
            <w:r>
              <w:rPr>
                <w:rFonts w:ascii="Arial" w:cs="Arial" w:eastAsia="Arial" w:hAnsi="Arial"/>
                <w:color w:val="26323F"/>
                <w:sz w:val="19"/>
                <w:szCs w:val="19"/>
              </w:rPr>
              <w:t xml:space="preserve">São Paulo contributes about 38% of revenue (R$ 5.06M), and São Paulo, Rio de Janeiro and Minas Gerais together contribute about 63%.</w:t>
            </w:r>
          </w:p>
          <w:p>
            <w:pPr>
              <w:pStyle w:val="ListParagraph"/>
              <w:numPr>
                <w:ilvl w:val="0"/>
                <w:numId w:val="2"/>
              </w:numPr>
              <w:spacing w:after="60" w:line="288"/>
            </w:pPr>
            <w:r>
              <w:rPr>
                <w:rFonts w:ascii="Arial" w:cs="Arial" w:eastAsia="Arial" w:hAnsi="Arial"/>
                <w:color w:val="26323F"/>
                <w:sz w:val="19"/>
                <w:szCs w:val="19"/>
              </w:rPr>
              <w:t xml:space="preserve">The top five categories contribute about 40% of revenue and the top ten about 62%.</w:t>
            </w:r>
          </w:p>
          <w:p>
            <w:pPr>
              <w:pStyle w:val="ListParagraph"/>
              <w:numPr>
                <w:ilvl w:val="0"/>
                <w:numId w:val="2"/>
              </w:numPr>
              <w:spacing w:after="60" w:line="288"/>
            </w:pPr>
            <w:r>
              <w:rPr>
                <w:rFonts w:ascii="Arial" w:cs="Arial" w:eastAsia="Arial" w:hAnsi="Arial"/>
                <w:color w:val="26323F"/>
                <w:sz w:val="19"/>
                <w:szCs w:val="19"/>
              </w:rPr>
              <w:t xml:space="preserve">August 2018 revenue was 3.4% below July, which is one month and fits the broader plateau.</w:t>
            </w:r>
          </w:p>
        </w:tc>
      </w:tr>
    </w:tbl>
    <w:p>
      <w:pPr>
        <w:pStyle w:val="Heading2"/>
      </w:pPr>
      <w:bookmarkStart w:name="s10_2" w:id="1"/>
      <w:r>
        <w:rPr>
          <w:rFonts w:ascii="Arial" w:cs="Arial" w:eastAsia="Arial" w:hAnsi="Arial"/>
        </w:rPr>
        <w:t xml:space="preserve">10.2 Sales &amp; Product</w:t>
      </w:r>
      <w:bookmarkEnd w:id="1"/>
    </w:p>
    <w:p>
      <w:pPr>
        <w:keepNext/>
        <w:spacing w:after="120" w:before="0" w:line="300"/>
      </w:pPr>
      <w:r>
        <w:rPr>
          <w:rFonts w:ascii="Arial" w:cs="Arial" w:eastAsia="Arial" w:hAnsi="Arial"/>
          <w:color w:val="26323F"/>
          <w:sz w:val="21"/>
          <w:szCs w:val="21"/>
        </w:rPr>
        <w:t xml:space="preserve">Purpose: show which products sell, what shipping costs, and how dependent the marketplace is on a few sellers.</w:t>
      </w:r>
    </w:p>
    <w:p>
      <w:pPr>
        <w:keepNext/>
        <w:pBdr>
          <w:top w:val="single" w:color="E1E6EF" w:sz="4"/>
          <w:bottom w:val="single" w:color="E1E6EF" w:sz="4"/>
          <w:left w:val="single" w:color="E1E6EF" w:sz="4"/>
          <w:right w:val="single" w:color="E1E6EF" w:sz="4"/>
        </w:pBdr>
        <w:spacing w:after="40" w:before="80"/>
        <w:jc w:val="center"/>
      </w:pPr>
      <w:r>
        <w:drawing>
          <wp:inline distT="0" distB="0" distL="0" distR="0">
            <wp:extent cx="5715000" cy="3829050"/>
            <wp:effectExtent t="0" r="0" b="0" l="0"/>
            <wp:docPr id="1" name="02_Sales_and_Product.png" descr="Figure 3: Page 2 – Sales &amp; Product" title="Figure 3: Page 2 – Sales &amp;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29050"/>
                    </a:xfrm>
                    <a:prstGeom prst="rect">
                      <a:avLst/>
                    </a:prstGeom>
                  </pic:spPr>
                </pic:pic>
              </a:graphicData>
            </a:graphic>
          </wp:inline>
        </w:drawing>
      </w:r>
    </w:p>
    <w:p>
      <w:pPr>
        <w:spacing w:after="160"/>
        <w:jc w:val="center"/>
      </w:pPr>
      <w:r>
        <w:rPr>
          <w:rFonts w:ascii="Arial" w:cs="Arial" w:eastAsia="Arial" w:hAnsi="Arial"/>
          <w:i/>
          <w:iCs/>
          <w:color w:val="5C6B7A"/>
          <w:sz w:val="17"/>
          <w:szCs w:val="17"/>
        </w:rPr>
        <w:t xml:space="preserve">Figure 3: Page 2 – Sales &amp;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Items Sold</w:t>
            </w:r>
          </w:p>
        </w:tc>
        <w:tc>
          <w:tcPr>
            <w:tcW w:type="dxa" w:w="1606"/>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Avg Item Price</w:t>
            </w:r>
          </w:p>
        </w:tc>
        <w:tc>
          <w:tcPr>
            <w:tcW w:type="dxa" w:w="1606"/>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Avg Freight</w:t>
            </w:r>
          </w:p>
        </w:tc>
        <w:tc>
          <w:tcPr>
            <w:tcW w:type="dxa" w:w="1606"/>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Freight % of Revenue</w:t>
            </w:r>
          </w:p>
        </w:tc>
        <w:tc>
          <w:tcPr>
            <w:tcW w:type="dxa" w:w="1606"/>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Active Sellers</w:t>
            </w:r>
          </w:p>
        </w:tc>
        <w:tc>
          <w:tcPr>
            <w:tcW w:type="dxa" w:w="160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Revenue per Seller</w:t>
            </w:r>
          </w:p>
        </w:tc>
      </w:tr>
      <w:tr>
        <w:trPr>
          <w:cantSplit/>
        </w:trPr>
        <w:tc>
          <w:tcPr>
            <w:tcW w:type="dxa" w:w="1606"/>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109,880</w:t>
            </w:r>
          </w:p>
        </w:tc>
        <w:tc>
          <w:tcPr>
            <w:tcW w:type="dxa" w:w="1606"/>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R$ 119.96</w:t>
            </w:r>
          </w:p>
        </w:tc>
        <w:tc>
          <w:tcPr>
            <w:tcW w:type="dxa" w:w="1606"/>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R$ 19.95</w:t>
            </w:r>
          </w:p>
        </w:tc>
        <w:tc>
          <w:tcPr>
            <w:tcW w:type="dxa" w:w="1606"/>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16.63%</w:t>
            </w:r>
          </w:p>
        </w:tc>
        <w:tc>
          <w:tcPr>
            <w:tcW w:type="dxa" w:w="1606"/>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2,945</w:t>
            </w:r>
          </w:p>
        </w:tc>
        <w:tc>
          <w:tcPr>
            <w:tcW w:type="dxa" w:w="160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R$ 4.48K</w:t>
            </w:r>
          </w:p>
        </w:tc>
      </w:tr>
    </w:tbl>
    <w:p>
      <w:pPr>
        <w:spacing w:after="100"/>
      </w:pPr>
    </w:p>
    <w:p>
      <w:pPr>
        <w:pStyle w:val="Heading3"/>
      </w:pPr>
      <w:r>
        <w:rPr>
          <w:rFonts w:ascii="Arial" w:cs="Arial" w:eastAsia="Arial" w:hAnsi="Arial"/>
        </w:rPr>
        <w:t xml:space="preserve">Freight share of revenue, top 10 categories by revenue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919"/>
        <w:gridCol w:w="2900"/>
        <w:gridCol w:w="1919"/>
      </w:tblGrid>
      <w:tr>
        <w:trPr>
          <w:tblHeader/>
        </w:trPr>
        <w:tc>
          <w:tcPr>
            <w:tcW w:type="dxa" w:w="29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Category</w:t>
            </w:r>
          </w:p>
        </w:tc>
        <w:tc>
          <w:tcPr>
            <w:tcW w:type="dxa" w:w="1919"/>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Freight %</w:t>
            </w:r>
          </w:p>
        </w:tc>
        <w:tc>
          <w:tcPr>
            <w:tcW w:type="dxa" w:w="29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Category</w:t>
            </w:r>
          </w:p>
        </w:tc>
        <w:tc>
          <w:tcPr>
            <w:tcW w:type="dxa" w:w="1919"/>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Freight %</w:t>
            </w:r>
          </w:p>
        </w:tc>
      </w:tr>
      <w:tr>
        <w:trPr>
          <w:cantSplit/>
        </w:trPr>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furniture_decor</w:t>
            </w:r>
          </w:p>
        </w:tc>
        <w:tc>
          <w:tcPr>
            <w:tcW w:type="dxa" w:w="1919"/>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23.67%</w:t>
            </w:r>
          </w:p>
        </w:tc>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computers_accessories</w:t>
            </w:r>
          </w:p>
        </w:tc>
        <w:tc>
          <w:tcPr>
            <w:tcW w:type="dxa" w:w="1919"/>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16.19%</w:t>
            </w:r>
          </w:p>
        </w:tc>
      </w:tr>
      <w:tr>
        <w:trPr>
          <w:cantSplit/>
        </w:trPr>
        <w:tc>
          <w:tcPr>
            <w:tcW w:type="dxa" w:w="2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housewares</w:t>
            </w:r>
          </w:p>
        </w:tc>
        <w:tc>
          <w:tcPr>
            <w:tcW w:type="dxa" w:w="1919"/>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23.20%</w:t>
            </w:r>
          </w:p>
        </w:tc>
        <w:tc>
          <w:tcPr>
            <w:tcW w:type="dxa" w:w="2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auto</w:t>
            </w:r>
          </w:p>
        </w:tc>
        <w:tc>
          <w:tcPr>
            <w:tcW w:type="dxa" w:w="1919"/>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15.62%</w:t>
            </w:r>
          </w:p>
        </w:tc>
      </w:tr>
      <w:tr>
        <w:trPr>
          <w:cantSplit/>
        </w:trPr>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garden_tools</w:t>
            </w:r>
          </w:p>
        </w:tc>
        <w:tc>
          <w:tcPr>
            <w:tcW w:type="dxa" w:w="1919"/>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20.58%</w:t>
            </w:r>
          </w:p>
        </w:tc>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health_beauty</w:t>
            </w:r>
          </w:p>
        </w:tc>
        <w:tc>
          <w:tcPr>
            <w:tcW w:type="dxa" w:w="1919"/>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14.49%</w:t>
            </w:r>
          </w:p>
        </w:tc>
      </w:tr>
      <w:tr>
        <w:trPr>
          <w:cantSplit/>
        </w:trPr>
        <w:tc>
          <w:tcPr>
            <w:tcW w:type="dxa" w:w="2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bed_bath_table</w:t>
            </w:r>
          </w:p>
        </w:tc>
        <w:tc>
          <w:tcPr>
            <w:tcW w:type="dxa" w:w="1919"/>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19.71%</w:t>
            </w:r>
          </w:p>
        </w:tc>
        <w:tc>
          <w:tcPr>
            <w:tcW w:type="dxa" w:w="2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cool_stuff</w:t>
            </w:r>
          </w:p>
        </w:tc>
        <w:tc>
          <w:tcPr>
            <w:tcW w:type="dxa" w:w="1919"/>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13.34%</w:t>
            </w:r>
          </w:p>
        </w:tc>
      </w:tr>
      <w:tr>
        <w:trPr>
          <w:cantSplit/>
        </w:trPr>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sports_leisure</w:t>
            </w:r>
          </w:p>
        </w:tc>
        <w:tc>
          <w:tcPr>
            <w:tcW w:type="dxa" w:w="1919"/>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17.10%</w:t>
            </w:r>
          </w:p>
        </w:tc>
        <w:tc>
          <w:tcPr>
            <w:tcW w:type="dxa" w:w="2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watches_gifts</w:t>
            </w:r>
          </w:p>
        </w:tc>
        <w:tc>
          <w:tcPr>
            <w:tcW w:type="dxa" w:w="1919"/>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26323F"/>
                <w:sz w:val="18"/>
                <w:szCs w:val="18"/>
              </w:rPr>
              <w:t xml:space="preserve">8.43%</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6EF" w:sz="4"/>
              <w:left w:val="single" w:color="00A6A6" w:sz="24"/>
              <w:bottom w:val="single" w:color="E1E6EF" w:sz="4"/>
              <w:right w:val="single" w:color="E1E6EF" w:sz="4"/>
            </w:tcBorders>
            <w:shd w:fill="F4F6FA" w:color="auto" w:val="clear"/>
            <w:tcMar>
              <w:top w:type="dxa" w:w="120"/>
              <w:left w:type="dxa" w:w="200"/>
              <w:bottom w:type="dxa" w:w="100"/>
              <w:right w:type="dxa" w:w="160"/>
            </w:tcMar>
          </w:tcPr>
          <w:p>
            <w:pPr>
              <w:spacing w:after="80"/>
            </w:pPr>
            <w:r>
              <w:rPr>
                <w:rFonts w:ascii="Arial" w:cs="Arial" w:eastAsia="Arial" w:hAnsi="Arial"/>
                <w:b/>
                <w:bCs/>
                <w:color w:val="0B2545"/>
                <w:sz w:val="21"/>
                <w:szCs w:val="21"/>
              </w:rPr>
              <w:t xml:space="preserve">Key insights</w:t>
            </w:r>
          </w:p>
          <w:p>
            <w:pPr>
              <w:pStyle w:val="ListParagraph"/>
              <w:numPr>
                <w:ilvl w:val="0"/>
                <w:numId w:val="2"/>
              </w:numPr>
              <w:spacing w:after="60" w:line="288"/>
            </w:pPr>
            <w:r>
              <w:rPr>
                <w:rFonts w:ascii="Arial" w:cs="Arial" w:eastAsia="Arial" w:hAnsi="Arial"/>
                <w:color w:val="26323F"/>
                <w:sz w:val="19"/>
                <w:szCs w:val="19"/>
              </w:rPr>
              <w:t xml:space="preserve">Health &amp; Beauty (R$ 1.23M), Watches &amp; Gifts (R$ 1.16M) and Bed Bath Table (R$ 1.02M) lead revenue.</w:t>
            </w:r>
          </w:p>
          <w:p>
            <w:pPr>
              <w:pStyle w:val="ListParagraph"/>
              <w:numPr>
                <w:ilvl w:val="0"/>
                <w:numId w:val="2"/>
              </w:numPr>
              <w:spacing w:after="60" w:line="288"/>
            </w:pPr>
            <w:r>
              <w:rPr>
                <w:rFonts w:ascii="Arial" w:cs="Arial" w:eastAsia="Arial" w:hAnsi="Arial"/>
                <w:color w:val="26323F"/>
                <w:sz w:val="19"/>
                <w:szCs w:val="19"/>
              </w:rPr>
              <w:t xml:space="preserve">Shipping adds about 17% on top of product revenue, from 8.4% for Watches &amp; Gifts up to 23.7% for Furniture Decor.</w:t>
            </w:r>
          </w:p>
          <w:p>
            <w:pPr>
              <w:pStyle w:val="ListParagraph"/>
              <w:numPr>
                <w:ilvl w:val="0"/>
                <w:numId w:val="2"/>
              </w:numPr>
              <w:spacing w:after="60" w:line="288"/>
            </w:pPr>
            <w:r>
              <w:rPr>
                <w:rFonts w:ascii="Arial" w:cs="Arial" w:eastAsia="Arial" w:hAnsi="Arial"/>
                <w:color w:val="26323F"/>
                <w:sz w:val="19"/>
                <w:szCs w:val="19"/>
              </w:rPr>
              <w:t xml:space="preserve">The top 10 sellers contribute only about 13% of revenue, so the marketplace does not depend on a few sellers.</w:t>
            </w:r>
          </w:p>
          <w:p>
            <w:pPr>
              <w:pStyle w:val="ListParagraph"/>
              <w:numPr>
                <w:ilvl w:val="0"/>
                <w:numId w:val="2"/>
              </w:numPr>
              <w:spacing w:after="60" w:line="288"/>
            </w:pPr>
            <w:r>
              <w:rPr>
                <w:rFonts w:ascii="Arial" w:cs="Arial" w:eastAsia="Arial" w:hAnsi="Arial"/>
                <w:color w:val="26323F"/>
                <w:sz w:val="19"/>
                <w:szCs w:val="19"/>
              </w:rPr>
              <w:t xml:space="preserve">An earlier scatter chart of price versus freight was replaced with a freight percentage bar chart, because a few high-priced outlier categories distorted the axes.</w:t>
            </w:r>
          </w:p>
        </w:tc>
      </w:tr>
    </w:tbl>
    <w:p>
      <w:pPr>
        <w:pStyle w:val="Heading2"/>
      </w:pPr>
      <w:bookmarkStart w:name="s10_3" w:id="1"/>
      <w:r>
        <w:rPr>
          <w:rFonts w:ascii="Arial" w:cs="Arial" w:eastAsia="Arial" w:hAnsi="Arial"/>
        </w:rPr>
        <w:t xml:space="preserve">10.3 Customer Analytics</w:t>
      </w:r>
      <w:bookmarkEnd w:id="1"/>
    </w:p>
    <w:p>
      <w:pPr>
        <w:keepNext/>
        <w:spacing w:after="120" w:before="0" w:line="300"/>
      </w:pPr>
      <w:r>
        <w:rPr>
          <w:rFonts w:ascii="Arial" w:cs="Arial" w:eastAsia="Arial" w:hAnsi="Arial"/>
          <w:color w:val="26323F"/>
          <w:sz w:val="21"/>
          <w:szCs w:val="21"/>
        </w:rPr>
        <w:t xml:space="preserve">Purpose: measure retention and identify customer segments worth targeting.</w:t>
      </w:r>
    </w:p>
    <w:p>
      <w:pPr>
        <w:keepNext/>
        <w:pBdr>
          <w:top w:val="single" w:color="E1E6EF" w:sz="4"/>
          <w:bottom w:val="single" w:color="E1E6EF" w:sz="4"/>
          <w:left w:val="single" w:color="E1E6EF" w:sz="4"/>
          <w:right w:val="single" w:color="E1E6EF" w:sz="4"/>
        </w:pBdr>
        <w:spacing w:after="40" w:before="80"/>
        <w:jc w:val="center"/>
      </w:pPr>
      <w:r>
        <w:drawing>
          <wp:inline distT="0" distB="0" distL="0" distR="0">
            <wp:extent cx="5715000" cy="4524375"/>
            <wp:effectExtent t="0" r="0" b="0" l="0"/>
            <wp:docPr id="1" name="03_Customer_Analytics.png" descr="Figure 4: Page 3 – Customer Analytics" title="Figure 4: Page 3 – Customer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524375"/>
                    </a:xfrm>
                    <a:prstGeom prst="rect">
                      <a:avLst/>
                    </a:prstGeom>
                  </pic:spPr>
                </pic:pic>
              </a:graphicData>
            </a:graphic>
          </wp:inline>
        </w:drawing>
      </w:r>
    </w:p>
    <w:p>
      <w:pPr>
        <w:spacing w:after="160"/>
        <w:jc w:val="center"/>
      </w:pPr>
      <w:r>
        <w:rPr>
          <w:rFonts w:ascii="Arial" w:cs="Arial" w:eastAsia="Arial" w:hAnsi="Arial"/>
          <w:i/>
          <w:iCs/>
          <w:color w:val="5C6B7A"/>
          <w:sz w:val="17"/>
          <w:szCs w:val="17"/>
        </w:rPr>
        <w:t xml:space="preserve">Figure 4: Page 3 – Customer Analytics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Customer Count</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Repeat Customers</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Repeat Rate %</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Avg Orders per Customer</w:t>
            </w:r>
          </w:p>
        </w:tc>
        <w:tc>
          <w:tcPr>
            <w:tcW w:type="dxa" w:w="193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Avg Revenue per Customer</w:t>
            </w:r>
          </w:p>
        </w:tc>
      </w:tr>
      <w:tr>
        <w:trPr>
          <w:cantSplit/>
        </w:trPr>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93,104</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2,789</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3.00%</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1.03</w:t>
            </w:r>
          </w:p>
        </w:tc>
        <w:tc>
          <w:tcPr>
            <w:tcW w:type="dxa" w:w="193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R$ 141.6</w:t>
            </w:r>
          </w:p>
        </w:tc>
      </w:tr>
    </w:tbl>
    <w:p>
      <w:pPr>
        <w:spacing w:after="120" w:before="60" w:line="300"/>
      </w:pPr>
      <w:r>
        <w:rPr>
          <w:rFonts w:ascii="Arial" w:cs="Arial" w:eastAsia="Arial" w:hAnsi="Arial"/>
          <w:color w:val="5C6B7A"/>
          <w:sz w:val="18"/>
          <w:szCs w:val="18"/>
        </w:rPr>
        <w:t xml:space="preserve">Average revenue per customer is R$ 260.1 for repeat customers and R$ 137.9 for one-time customers.</w:t>
      </w:r>
    </w:p>
    <w:p>
      <w:pPr>
        <w:pStyle w:val="Heading3"/>
      </w:pPr>
      <w:r>
        <w:rPr>
          <w:rFonts w:ascii="Arial" w:cs="Arial" w:eastAsia="Arial" w:hAnsi="Arial"/>
        </w:rPr>
        <w:t xml:space="preserve">Segment definitions</w:t>
      </w:r>
    </w:p>
    <w:p>
      <w:pPr>
        <w:spacing w:after="120" w:before="0" w:line="300"/>
      </w:pPr>
      <w:r>
        <w:rPr>
          <w:rFonts w:ascii="Arial" w:cs="Arial" w:eastAsia="Arial" w:hAnsi="Arial"/>
          <w:color w:val="5C6B7A"/>
          <w:sz w:val="19"/>
          <w:szCs w:val="19"/>
        </w:rPr>
        <w:t xml:space="preserve">Recency is measured against 31 August 2018, the last date in the data. Segment sizes are read from the dashboard and rounded.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338"/>
        <w:gridCol w:w="2000"/>
      </w:tblGrid>
      <w:tr>
        <w:trPr>
          <w:tblHeader/>
        </w:trPr>
        <w:tc>
          <w:tcPr>
            <w:tcW w:type="dxa" w:w="2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Segment</w:t>
            </w:r>
          </w:p>
        </w:tc>
        <w:tc>
          <w:tcPr>
            <w:tcW w:type="dxa" w:w="53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Rule</w:t>
            </w:r>
          </w:p>
        </w:tc>
        <w:tc>
          <w:tcPr>
            <w:tcW w:type="dxa" w:w="20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Approx. size</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Loyal</w:t>
            </w:r>
          </w:p>
        </w:tc>
        <w:tc>
          <w:tcPr>
            <w:tcW w:type="dxa" w:w="5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More than one order, last order within 180 days</w:t>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~1K</w:t>
            </w:r>
          </w:p>
        </w:tc>
      </w:tr>
      <w:tr>
        <w:trPr>
          <w:cantSplit/>
        </w:trPr>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Repeat – Lapsed</w:t>
            </w:r>
          </w:p>
        </w:tc>
        <w:tc>
          <w:tcPr>
            <w:tcW w:type="dxa" w:w="5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More than one order, last order older than 180 days</w:t>
            </w:r>
          </w:p>
        </w:tc>
        <w:tc>
          <w:tcPr>
            <w:tcW w:type="dxa" w:w="2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~2K</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New – Recent</w:t>
            </w:r>
          </w:p>
        </w:tc>
        <w:tc>
          <w:tcPr>
            <w:tcW w:type="dxa" w:w="5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One order, placed within the last 90 days</w:t>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~18K</w:t>
            </w:r>
          </w:p>
        </w:tc>
      </w:tr>
      <w:tr>
        <w:trPr>
          <w:cantSplit/>
        </w:trPr>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One-time – High Value</w:t>
            </w:r>
          </w:p>
        </w:tc>
        <w:tc>
          <w:tcPr>
            <w:tcW w:type="dxa" w:w="5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One order older than 90 days, with revenue of R$ 200 or more</w:t>
            </w:r>
          </w:p>
        </w:tc>
        <w:tc>
          <w:tcPr>
            <w:tcW w:type="dxa" w:w="2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~11K</w:t>
            </w:r>
          </w:p>
        </w:tc>
      </w:tr>
      <w:tr>
        <w:trPr>
          <w:cantSplit/>
        </w:trPr>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One-time – Lapsed</w:t>
            </w:r>
          </w:p>
        </w:tc>
        <w:tc>
          <w:tcPr>
            <w:tcW w:type="dxa" w:w="5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All remaining one-time customers</w:t>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~62K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6EF" w:sz="4"/>
              <w:left w:val="single" w:color="F28C28" w:sz="24"/>
              <w:bottom w:val="single" w:color="E1E6EF" w:sz="4"/>
              <w:right w:val="single" w:color="E1E6EF" w:sz="4"/>
            </w:tcBorders>
            <w:shd w:fill="F4F6FA" w:color="auto" w:val="clear"/>
            <w:tcMar>
              <w:top w:type="dxa" w:w="120"/>
              <w:left w:type="dxa" w:w="200"/>
              <w:bottom w:type="dxa" w:w="100"/>
              <w:right w:type="dxa" w:w="160"/>
            </w:tcMar>
          </w:tcPr>
          <w:p>
            <w:pPr>
              <w:spacing w:after="80"/>
            </w:pPr>
            <w:r>
              <w:rPr>
                <w:rFonts w:ascii="Arial" w:cs="Arial" w:eastAsia="Arial" w:hAnsi="Arial"/>
                <w:b/>
                <w:bCs/>
                <w:color w:val="0B2545"/>
                <w:sz w:val="21"/>
                <w:szCs w:val="21"/>
              </w:rPr>
              <w:t xml:space="preserve">Key insights</w:t>
            </w:r>
          </w:p>
          <w:p>
            <w:pPr>
              <w:pStyle w:val="ListParagraph"/>
              <w:numPr>
                <w:ilvl w:val="0"/>
                <w:numId w:val="2"/>
              </w:numPr>
              <w:spacing w:after="60" w:line="288"/>
            </w:pPr>
            <w:r>
              <w:rPr>
                <w:rFonts w:ascii="Arial" w:cs="Arial" w:eastAsia="Arial" w:hAnsi="Arial"/>
                <w:color w:val="26323F"/>
                <w:sz w:val="19"/>
                <w:szCs w:val="19"/>
              </w:rPr>
              <w:t xml:space="preserve">Only 3.0% of customers (2,789 of 93.1K) placed a repeat order, with 1.03 orders per customer on average.</w:t>
            </w:r>
          </w:p>
          <w:p>
            <w:pPr>
              <w:pStyle w:val="ListParagraph"/>
              <w:numPr>
                <w:ilvl w:val="0"/>
                <w:numId w:val="2"/>
              </w:numPr>
              <w:spacing w:after="60" w:line="288"/>
            </w:pPr>
            <w:r>
              <w:rPr>
                <w:rFonts w:ascii="Arial" w:cs="Arial" w:eastAsia="Arial" w:hAnsi="Arial"/>
                <w:color w:val="26323F"/>
                <w:sz w:val="19"/>
                <w:szCs w:val="19"/>
              </w:rPr>
              <w:t xml:space="preserve">About two-thirds of customers (~62K) are one-time buyers who have not returned.</w:t>
            </w:r>
          </w:p>
          <w:p>
            <w:pPr>
              <w:pStyle w:val="ListParagraph"/>
              <w:numPr>
                <w:ilvl w:val="0"/>
                <w:numId w:val="2"/>
              </w:numPr>
              <w:spacing w:after="60" w:line="288"/>
            </w:pPr>
            <w:r>
              <w:rPr>
                <w:rFonts w:ascii="Arial" w:cs="Arial" w:eastAsia="Arial" w:hAnsi="Arial"/>
                <w:color w:val="26323F"/>
                <w:sz w:val="19"/>
                <w:szCs w:val="19"/>
              </w:rPr>
              <w:t xml:space="preserve">Repeat customers spend R$ 260 on average versus R$ 138 for one-time customers, about 1.9x more.</w:t>
            </w:r>
          </w:p>
          <w:p>
            <w:pPr>
              <w:pStyle w:val="ListParagraph"/>
              <w:numPr>
                <w:ilvl w:val="0"/>
                <w:numId w:val="2"/>
              </w:numPr>
              <w:spacing w:after="60" w:line="288"/>
            </w:pPr>
            <w:r>
              <w:rPr>
                <w:rFonts w:ascii="Arial" w:cs="Arial" w:eastAsia="Arial" w:hAnsi="Arial"/>
                <w:color w:val="26323F"/>
                <w:sz w:val="19"/>
                <w:szCs w:val="19"/>
              </w:rPr>
              <w:t xml:space="preserve">About 11K one-time customers spent R$ 200 or more in a single order, which makes them a priority win-back group.</w:t>
            </w:r>
          </w:p>
          <w:p>
            <w:pPr>
              <w:pStyle w:val="ListParagraph"/>
              <w:numPr>
                <w:ilvl w:val="0"/>
                <w:numId w:val="2"/>
              </w:numPr>
              <w:spacing w:after="60" w:line="288"/>
            </w:pPr>
            <w:r>
              <w:rPr>
                <w:rFonts w:ascii="Arial" w:cs="Arial" w:eastAsia="Arial" w:hAnsi="Arial"/>
                <w:color w:val="26323F"/>
                <w:sz w:val="19"/>
                <w:szCs w:val="19"/>
              </w:rPr>
              <w:t xml:space="preserve">New customer acquisition peaked at 7.1K in November 2017 and stayed at roughly 6–7K per month through 2018.</w:t>
            </w:r>
          </w:p>
          <w:p>
            <w:pPr>
              <w:pStyle w:val="ListParagraph"/>
              <w:numPr>
                <w:ilvl w:val="0"/>
                <w:numId w:val="2"/>
              </w:numPr>
              <w:spacing w:after="60" w:line="288"/>
            </w:pPr>
            <w:r>
              <w:rPr>
                <w:rFonts w:ascii="Arial" w:cs="Arial" w:eastAsia="Arial" w:hAnsi="Arial"/>
                <w:color w:val="26323F"/>
                <w:sz w:val="19"/>
                <w:szCs w:val="19"/>
              </w:rPr>
              <w:t xml:space="preserve">São Paulo holds about 39K customers (~42%), followed by Rio de Janeiro (12K) and Minas Gerais (11K).</w:t>
            </w:r>
          </w:p>
        </w:tc>
      </w:tr>
    </w:tbl>
    <w:p>
      <w:pPr>
        <w:pStyle w:val="Heading2"/>
      </w:pPr>
      <w:bookmarkStart w:name="s10_4" w:id="1"/>
      <w:r>
        <w:rPr>
          <w:rFonts w:ascii="Arial" w:cs="Arial" w:eastAsia="Arial" w:hAnsi="Arial"/>
        </w:rPr>
        <w:t xml:space="preserve">10.4 Delivery &amp; Satisfaction</w:t>
      </w:r>
      <w:bookmarkEnd w:id="1"/>
    </w:p>
    <w:p>
      <w:pPr>
        <w:keepNext/>
        <w:spacing w:after="120" w:before="0" w:line="300"/>
      </w:pPr>
      <w:r>
        <w:rPr>
          <w:rFonts w:ascii="Arial" w:cs="Arial" w:eastAsia="Arial" w:hAnsi="Arial"/>
          <w:color w:val="26323F"/>
          <w:sz w:val="21"/>
          <w:szCs w:val="21"/>
        </w:rPr>
        <w:t xml:space="preserve">Purpose: connect delivery performance with customer satisfaction and find where delivery is slow.</w:t>
      </w:r>
    </w:p>
    <w:p>
      <w:pPr>
        <w:keepNext/>
        <w:pBdr>
          <w:top w:val="single" w:color="E1E6EF" w:sz="4"/>
          <w:bottom w:val="single" w:color="E1E6EF" w:sz="4"/>
          <w:left w:val="single" w:color="E1E6EF" w:sz="4"/>
          <w:right w:val="single" w:color="E1E6EF" w:sz="4"/>
        </w:pBdr>
        <w:spacing w:after="40" w:before="80"/>
        <w:jc w:val="center"/>
      </w:pPr>
      <w:r>
        <w:drawing>
          <wp:inline distT="0" distB="0" distL="0" distR="0">
            <wp:extent cx="5715000" cy="3752850"/>
            <wp:effectExtent t="0" r="0" b="0" l="0"/>
            <wp:docPr id="1" name="04_Delivery_and_Satisfaction.png" descr="Figure 5: Page 4 – Delivery &amp; Satisfaction" title="Figure 5: Page 4 – Delivery &amp; Satis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52850"/>
                    </a:xfrm>
                    <a:prstGeom prst="rect">
                      <a:avLst/>
                    </a:prstGeom>
                  </pic:spPr>
                </pic:pic>
              </a:graphicData>
            </a:graphic>
          </wp:inline>
        </w:drawing>
      </w:r>
    </w:p>
    <w:p>
      <w:pPr>
        <w:spacing w:after="160"/>
        <w:jc w:val="center"/>
      </w:pPr>
      <w:r>
        <w:rPr>
          <w:rFonts w:ascii="Arial" w:cs="Arial" w:eastAsia="Arial" w:hAnsi="Arial"/>
          <w:i/>
          <w:iCs/>
          <w:color w:val="5C6B7A"/>
          <w:sz w:val="17"/>
          <w:szCs w:val="17"/>
        </w:rPr>
        <w:t xml:space="preserve">Figure 5: Page 4 – Delivery &amp; Satisfaction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Delivered Orders</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Avg Delivery Days</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On-time %</w:t>
            </w:r>
          </w:p>
        </w:tc>
        <w:tc>
          <w:tcPr>
            <w:tcW w:type="dxa" w:w="1927"/>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Avg Review Score</w:t>
            </w:r>
          </w:p>
        </w:tc>
        <w:tc>
          <w:tcPr>
            <w:tcW w:type="dxa" w:w="193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6"/>
                <w:szCs w:val="16"/>
              </w:rPr>
              <w:t xml:space="preserve">Low Review %</w:t>
            </w:r>
          </w:p>
        </w:tc>
      </w:tr>
      <w:tr>
        <w:trPr>
          <w:cantSplit/>
        </w:trPr>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96.20K</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12.48</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91.9%</w:t>
            </w:r>
          </w:p>
        </w:tc>
        <w:tc>
          <w:tcPr>
            <w:tcW w:type="dxa" w:w="1927"/>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4.16</w:t>
            </w:r>
          </w:p>
        </w:tc>
        <w:tc>
          <w:tcPr>
            <w:tcW w:type="dxa" w:w="193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0B2545"/>
                <w:sz w:val="21"/>
                <w:szCs w:val="21"/>
              </w:rPr>
              <w:t xml:space="preserve">12.8%</w:t>
            </w:r>
          </w:p>
        </w:tc>
      </w:tr>
    </w:tbl>
    <w:p>
      <w:pPr>
        <w:spacing w:after="120" w:before="60" w:line="300"/>
      </w:pPr>
      <w:r>
        <w:rPr>
          <w:rFonts w:ascii="Arial" w:cs="Arial" w:eastAsia="Arial" w:hAnsi="Arial"/>
          <w:color w:val="5C6B7A"/>
          <w:sz w:val="18"/>
          <w:szCs w:val="18"/>
        </w:rPr>
        <w:t xml:space="preserve">On-time means delivered on or before the estimated date. Low review means a score of 2 or below.</w:t>
      </w:r>
    </w:p>
    <w:p>
      <w:pPr>
        <w:pStyle w:val="Heading3"/>
      </w:pPr>
      <w:r>
        <w:rPr>
          <w:rFonts w:ascii="Arial" w:cs="Arial" w:eastAsia="Arial" w:hAnsi="Arial"/>
        </w:rPr>
        <w:t xml:space="preserve">Review score by delivery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638"/>
      </w:tblGrid>
      <w:tr>
        <w:trPr>
          <w:tblHeader/>
        </w:trPr>
        <w:tc>
          <w:tcPr>
            <w:tcW w:type="dxa" w:w="30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Delivery status</w:t>
            </w:r>
          </w:p>
        </w:tc>
        <w:tc>
          <w:tcPr>
            <w:tcW w:type="dxa" w:w="18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Orders</w:t>
            </w:r>
          </w:p>
        </w:tc>
        <w:tc>
          <w:tcPr>
            <w:tcW w:type="dxa" w:w="22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Avg review score</w:t>
            </w:r>
          </w:p>
        </w:tc>
        <w:tc>
          <w:tcPr>
            <w:tcW w:type="dxa" w:w="26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Change versus on time</w:t>
            </w:r>
          </w:p>
        </w:tc>
      </w:tr>
      <w:tr>
        <w:trPr>
          <w:cantSplit/>
        </w:trPr>
        <w:tc>
          <w:tcPr>
            <w:tcW w:type="dxa" w:w="3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On time</w:t>
            </w:r>
          </w:p>
        </w:tc>
        <w:tc>
          <w:tcPr>
            <w:tcW w:type="dxa" w:w="1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88,381</w:t>
            </w:r>
          </w:p>
        </w:tc>
        <w:tc>
          <w:tcPr>
            <w:tcW w:type="dxa" w:w="2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4.3</w:t>
            </w:r>
          </w:p>
        </w:tc>
        <w:tc>
          <w:tcPr>
            <w:tcW w:type="dxa" w:w="26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w:t>
            </w:r>
          </w:p>
        </w:tc>
      </w:tr>
      <w:tr>
        <w:trPr>
          <w:cantSplit/>
        </w:trPr>
        <w:tc>
          <w:tcPr>
            <w:tcW w:type="dxa" w:w="3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Late: up to 3 days</w:t>
            </w:r>
          </w:p>
        </w:tc>
        <w:tc>
          <w:tcPr>
            <w:tcW w:type="dxa" w:w="18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3,160</w:t>
            </w:r>
          </w:p>
        </w:tc>
        <w:tc>
          <w:tcPr>
            <w:tcW w:type="dxa" w:w="2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3.6</w:t>
            </w:r>
          </w:p>
        </w:tc>
        <w:tc>
          <w:tcPr>
            <w:tcW w:type="dxa" w:w="26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-0.7</w:t>
            </w:r>
          </w:p>
        </w:tc>
      </w:tr>
      <w:tr>
        <w:trPr>
          <w:cantSplit/>
        </w:trPr>
        <w:tc>
          <w:tcPr>
            <w:tcW w:type="dxa" w:w="3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Late: 4–7 days</w:t>
            </w:r>
          </w:p>
        </w:tc>
        <w:tc>
          <w:tcPr>
            <w:tcW w:type="dxa" w:w="18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1,802</w:t>
            </w:r>
          </w:p>
        </w:tc>
        <w:tc>
          <w:tcPr>
            <w:tcW w:type="dxa" w:w="2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2.1</w:t>
            </w:r>
          </w:p>
        </w:tc>
        <w:tc>
          <w:tcPr>
            <w:tcW w:type="dxa" w:w="26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-2.2</w:t>
            </w:r>
          </w:p>
        </w:tc>
      </w:tr>
      <w:tr>
        <w:trPr>
          <w:cantSplit/>
        </w:trPr>
        <w:tc>
          <w:tcPr>
            <w:tcW w:type="dxa" w:w="3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Late: 8+ days</w:t>
            </w:r>
          </w:p>
        </w:tc>
        <w:tc>
          <w:tcPr>
            <w:tcW w:type="dxa" w:w="18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2,860</w:t>
            </w:r>
          </w:p>
        </w:tc>
        <w:tc>
          <w:tcPr>
            <w:tcW w:type="dxa" w:w="2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1.7</w:t>
            </w:r>
          </w:p>
        </w:tc>
        <w:tc>
          <w:tcPr>
            <w:tcW w:type="dxa" w:w="26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-2.6</w:t>
            </w:r>
          </w:p>
        </w:tc>
      </w:tr>
    </w:tbl>
    <w:p>
      <w:pPr>
        <w:spacing w:after="120"/>
      </w:pPr>
    </w:p>
    <w:p>
      <w:pPr>
        <w:pStyle w:val="Heading3"/>
      </w:pPr>
      <w:r>
        <w:rPr>
          <w:rFonts w:ascii="Arial" w:cs="Arial" w:eastAsia="Arial" w:hAnsi="Arial"/>
        </w:rPr>
        <w:t xml:space="preserve">Late delivery rate by month (peak months)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38"/>
      </w:tblGrid>
      <w:tr>
        <w:trPr>
          <w:tblHeader/>
        </w:trPr>
        <w:tc>
          <w:tcPr>
            <w:tcW w:type="dxa" w:w="32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Month</w:t>
            </w:r>
          </w:p>
        </w:tc>
        <w:tc>
          <w:tcPr>
            <w:tcW w:type="dxa" w:w="22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Late %</w:t>
            </w:r>
          </w:p>
        </w:tc>
        <w:tc>
          <w:tcPr>
            <w:tcW w:type="dxa" w:w="42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Comment</w:t>
            </w:r>
          </w:p>
        </w:tc>
      </w:tr>
      <w:tr>
        <w:trPr>
          <w:cantSplit/>
        </w:trPr>
        <w:tc>
          <w:tcPr>
            <w:tcW w:type="dxa" w:w="3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November 2017</w:t>
            </w:r>
          </w:p>
        </w:tc>
        <w:tc>
          <w:tcPr>
            <w:tcW w:type="dxa" w:w="2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14.3%</w:t>
            </w:r>
          </w:p>
        </w:tc>
        <w:tc>
          <w:tcPr>
            <w:tcW w:type="dxa" w:w="4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First spike</w:t>
            </w:r>
          </w:p>
        </w:tc>
      </w:tr>
      <w:tr>
        <w:trPr>
          <w:cantSplit/>
        </w:trPr>
        <w:tc>
          <w:tcPr>
            <w:tcW w:type="dxa" w:w="3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February 2018</w:t>
            </w:r>
          </w:p>
        </w:tc>
        <w:tc>
          <w:tcPr>
            <w:tcW w:type="dxa" w:w="2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16.0%</w:t>
            </w:r>
          </w:p>
        </w:tc>
        <w:tc>
          <w:tcPr>
            <w:tcW w:type="dxa" w:w="42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Second spike</w:t>
            </w:r>
          </w:p>
        </w:tc>
      </w:tr>
      <w:tr>
        <w:trPr>
          <w:cantSplit/>
        </w:trPr>
        <w:tc>
          <w:tcPr>
            <w:tcW w:type="dxa" w:w="3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March 2018</w:t>
            </w:r>
          </w:p>
        </w:tc>
        <w:tc>
          <w:tcPr>
            <w:tcW w:type="dxa" w:w="2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21.4%</w:t>
            </w:r>
          </w:p>
        </w:tc>
        <w:tc>
          <w:tcPr>
            <w:tcW w:type="dxa" w:w="4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Highest of the period</w:t>
            </w:r>
          </w:p>
        </w:tc>
      </w:tr>
      <w:tr>
        <w:trPr>
          <w:cantSplit/>
        </w:trPr>
        <w:tc>
          <w:tcPr>
            <w:tcW w:type="dxa" w:w="3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August 2018</w:t>
            </w:r>
          </w:p>
        </w:tc>
        <w:tc>
          <w:tcPr>
            <w:tcW w:type="dxa" w:w="2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10.4%</w:t>
            </w:r>
          </w:p>
        </w:tc>
        <w:tc>
          <w:tcPr>
            <w:tcW w:type="dxa" w:w="42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Latest month, elevated</w:t>
            </w:r>
          </w:p>
        </w:tc>
      </w:tr>
      <w:tr>
        <w:trPr>
          <w:cantSplit/>
        </w:trPr>
        <w:tc>
          <w:tcPr>
            <w:tcW w:type="dxa" w:w="3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All other months</w:t>
            </w:r>
          </w:p>
        </w:tc>
        <w:tc>
          <w:tcPr>
            <w:tcW w:type="dxa" w:w="2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1.4% to 8.4%</w:t>
            </w:r>
          </w:p>
        </w:tc>
        <w:tc>
          <w:tcPr>
            <w:tcW w:type="dxa" w:w="42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Typical range</w:t>
            </w:r>
          </w:p>
        </w:tc>
      </w:tr>
    </w:tbl>
    <w:p>
      <w:pPr>
        <w:spacing w:after="120"/>
      </w:pPr>
    </w:p>
    <w:p>
      <w:pPr>
        <w:pStyle w:val="Heading3"/>
      </w:pPr>
      <w:r>
        <w:rPr>
          <w:rFonts w:ascii="Arial" w:cs="Arial" w:eastAsia="Arial" w:hAnsi="Arial"/>
        </w:rPr>
        <w:t xml:space="preserve">Slowest states by average delivery days, with order 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700"/>
        <w:gridCol w:w="2300"/>
        <w:gridCol w:w="2338"/>
      </w:tblGrid>
      <w:tr>
        <w:trPr>
          <w:tblHeader/>
        </w:trPr>
        <w:tc>
          <w:tcPr>
            <w:tcW w:type="dxa" w:w="1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State</w:t>
            </w:r>
          </w:p>
        </w:tc>
        <w:tc>
          <w:tcPr>
            <w:tcW w:type="dxa" w:w="20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Region</w:t>
            </w:r>
          </w:p>
        </w:tc>
        <w:tc>
          <w:tcPr>
            <w:tcW w:type="dxa" w:w="17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Orders</w:t>
            </w:r>
          </w:p>
        </w:tc>
        <w:tc>
          <w:tcPr>
            <w:tcW w:type="dxa" w:w="2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8"/>
                <w:szCs w:val="18"/>
              </w:rPr>
              <w:t xml:space="preserve">Avg delivery days</w:t>
            </w:r>
          </w:p>
        </w:tc>
        <w:tc>
          <w:tcPr>
            <w:tcW w:type="dxa" w:w="23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Note</w:t>
            </w:r>
          </w:p>
        </w:tc>
      </w:tr>
      <w:tr>
        <w:trPr>
          <w:cantSplit/>
        </w:trPr>
        <w:tc>
          <w:tcPr>
            <w:tcW w:type="dxa" w:w="1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RR</w:t>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w:t>
            </w:r>
          </w:p>
        </w:tc>
        <w:tc>
          <w:tcPr>
            <w:tcW w:type="dxa" w:w="1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40</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29.9</w:t>
            </w:r>
          </w:p>
        </w:tc>
        <w:tc>
          <w:tcPr>
            <w:tcW w:type="dxa" w:w="2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Low volume</w:t>
            </w:r>
          </w:p>
        </w:tc>
      </w:tr>
      <w:tr>
        <w:trPr>
          <w:cantSplit/>
        </w:trPr>
        <w:tc>
          <w:tcPr>
            <w:tcW w:type="dxa" w:w="1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AP</w:t>
            </w:r>
          </w:p>
        </w:tc>
        <w:tc>
          <w:tcPr>
            <w:tcW w:type="dxa" w:w="2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w:t>
            </w:r>
          </w:p>
        </w:tc>
        <w:tc>
          <w:tcPr>
            <w:tcW w:type="dxa" w:w="1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67</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27.2</w:t>
            </w:r>
          </w:p>
        </w:tc>
        <w:tc>
          <w:tcPr>
            <w:tcW w:type="dxa" w:w="2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Low volume</w:t>
            </w:r>
          </w:p>
        </w:tc>
      </w:tr>
      <w:tr>
        <w:trPr>
          <w:cantSplit/>
        </w:trPr>
        <w:tc>
          <w:tcPr>
            <w:tcW w:type="dxa" w:w="1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AM</w:t>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w:t>
            </w:r>
          </w:p>
        </w:tc>
        <w:tc>
          <w:tcPr>
            <w:tcW w:type="dxa" w:w="1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145</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26.4</w:t>
            </w:r>
          </w:p>
        </w:tc>
        <w:tc>
          <w:tcPr>
            <w:tcW w:type="dxa" w:w="2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
            </w:r>
          </w:p>
        </w:tc>
      </w:tr>
      <w:tr>
        <w:trPr>
          <w:cantSplit/>
        </w:trPr>
        <w:tc>
          <w:tcPr>
            <w:tcW w:type="dxa" w:w="1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AL</w:t>
            </w:r>
          </w:p>
        </w:tc>
        <w:tc>
          <w:tcPr>
            <w:tcW w:type="dxa" w:w="2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North-east</w:t>
            </w:r>
          </w:p>
        </w:tc>
        <w:tc>
          <w:tcPr>
            <w:tcW w:type="dxa" w:w="1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396</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24.5</w:t>
            </w:r>
          </w:p>
        </w:tc>
        <w:tc>
          <w:tcPr>
            <w:tcW w:type="dxa" w:w="2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
            </w:r>
          </w:p>
        </w:tc>
      </w:tr>
      <w:tr>
        <w:trPr>
          <w:cantSplit/>
        </w:trPr>
        <w:tc>
          <w:tcPr>
            <w:tcW w:type="dxa" w:w="1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PA</w:t>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w:t>
            </w:r>
          </w:p>
        </w:tc>
        <w:tc>
          <w:tcPr>
            <w:tcW w:type="dxa" w:w="1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942</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23.7</w:t>
            </w:r>
          </w:p>
        </w:tc>
        <w:tc>
          <w:tcPr>
            <w:tcW w:type="dxa" w:w="2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
            </w:r>
          </w:p>
        </w:tc>
      </w:tr>
      <w:tr>
        <w:trPr>
          <w:cantSplit/>
        </w:trPr>
        <w:tc>
          <w:tcPr>
            <w:tcW w:type="dxa" w:w="1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MA</w:t>
            </w:r>
          </w:p>
        </w:tc>
        <w:tc>
          <w:tcPr>
            <w:tcW w:type="dxa" w:w="2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North-east</w:t>
            </w:r>
          </w:p>
        </w:tc>
        <w:tc>
          <w:tcPr>
            <w:tcW w:type="dxa" w:w="1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713</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21.5</w:t>
            </w:r>
          </w:p>
        </w:tc>
        <w:tc>
          <w:tcPr>
            <w:tcW w:type="dxa" w:w="2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
            </w:r>
          </w:p>
        </w:tc>
      </w:tr>
      <w:tr>
        <w:trPr>
          <w:cantSplit/>
        </w:trPr>
        <w:tc>
          <w:tcPr>
            <w:tcW w:type="dxa" w:w="1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SE</w:t>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North-east</w:t>
            </w:r>
          </w:p>
        </w:tc>
        <w:tc>
          <w:tcPr>
            <w:tcW w:type="dxa" w:w="1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332</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21.4</w:t>
            </w:r>
          </w:p>
        </w:tc>
        <w:tc>
          <w:tcPr>
            <w:tcW w:type="dxa" w:w="2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
            </w:r>
          </w:p>
        </w:tc>
      </w:tr>
      <w:tr>
        <w:trPr>
          <w:cantSplit/>
        </w:trPr>
        <w:tc>
          <w:tcPr>
            <w:tcW w:type="dxa" w:w="1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CE</w:t>
            </w:r>
          </w:p>
        </w:tc>
        <w:tc>
          <w:tcPr>
            <w:tcW w:type="dxa" w:w="2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North-east</w:t>
            </w:r>
          </w:p>
        </w:tc>
        <w:tc>
          <w:tcPr>
            <w:tcW w:type="dxa" w:w="1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1,273</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21.2</w:t>
            </w:r>
          </w:p>
        </w:tc>
        <w:tc>
          <w:tcPr>
            <w:tcW w:type="dxa" w:w="2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
            </w:r>
          </w:p>
        </w:tc>
      </w:tr>
      <w:tr>
        <w:trPr>
          <w:cantSplit/>
        </w:trPr>
        <w:tc>
          <w:tcPr>
            <w:tcW w:type="dxa" w:w="1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AC</w:t>
            </w:r>
          </w:p>
        </w:tc>
        <w:tc>
          <w:tcPr>
            <w:tcW w:type="dxa" w:w="2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w:t>
            </w:r>
          </w:p>
        </w:tc>
        <w:tc>
          <w:tcPr>
            <w:tcW w:type="dxa" w:w="17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80</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21.0</w:t>
            </w:r>
          </w:p>
        </w:tc>
        <w:tc>
          <w:tcPr>
            <w:tcW w:type="dxa" w:w="2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Low volume</w:t>
            </w:r>
          </w:p>
        </w:tc>
      </w:tr>
      <w:tr>
        <w:trPr>
          <w:cantSplit/>
        </w:trPr>
        <w:tc>
          <w:tcPr>
            <w:tcW w:type="dxa" w:w="1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PB</w:t>
            </w:r>
          </w:p>
        </w:tc>
        <w:tc>
          <w:tcPr>
            <w:tcW w:type="dxa" w:w="2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North-east</w:t>
            </w:r>
          </w:p>
        </w:tc>
        <w:tc>
          <w:tcPr>
            <w:tcW w:type="dxa" w:w="17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516</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val="false"/>
                <w:bCs w:val="false"/>
                <w:color w:val="26323F"/>
                <w:sz w:val="18"/>
                <w:szCs w:val="18"/>
              </w:rPr>
              <w:t xml:space="preserve">20.4</w:t>
            </w:r>
          </w:p>
        </w:tc>
        <w:tc>
          <w:tcPr>
            <w:tcW w:type="dxa" w:w="2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
            </w:r>
          </w:p>
        </w:tc>
      </w:tr>
    </w:tbl>
    <w:p>
      <w:pPr>
        <w:spacing w:after="120" w:before="80" w:line="300"/>
      </w:pPr>
      <w:r>
        <w:rPr>
          <w:rFonts w:ascii="Arial" w:cs="Arial" w:eastAsia="Arial" w:hAnsi="Arial"/>
          <w:color w:val="5C6B7A"/>
          <w:sz w:val="19"/>
          <w:szCs w:val="19"/>
        </w:rPr>
        <w:t xml:space="preserve">The national average is 12.5 days. RR, AP and AC have fewer than 100 delivered orders each, so their averages are less reliable. The order counts come from the SQL analysis query. The dashboard chart applies a minimum of 100 delivered orders, so it shows only AM, AL, PA, MA, SE, CE and PB.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6EF" w:sz="4"/>
              <w:left w:val="single" w:color="2E9E6B" w:sz="24"/>
              <w:bottom w:val="single" w:color="E1E6EF" w:sz="4"/>
              <w:right w:val="single" w:color="E1E6EF" w:sz="4"/>
            </w:tcBorders>
            <w:shd w:fill="F4F6FA" w:color="auto" w:val="clear"/>
            <w:tcMar>
              <w:top w:type="dxa" w:w="120"/>
              <w:left w:type="dxa" w:w="200"/>
              <w:bottom w:type="dxa" w:w="100"/>
              <w:right w:type="dxa" w:w="160"/>
            </w:tcMar>
          </w:tcPr>
          <w:p>
            <w:pPr>
              <w:spacing w:after="80"/>
            </w:pPr>
            <w:r>
              <w:rPr>
                <w:rFonts w:ascii="Arial" w:cs="Arial" w:eastAsia="Arial" w:hAnsi="Arial"/>
                <w:b/>
                <w:bCs/>
                <w:color w:val="0B2545"/>
                <w:sz w:val="21"/>
                <w:szCs w:val="21"/>
              </w:rPr>
              <w:t xml:space="preserve">Key insights</w:t>
            </w:r>
          </w:p>
          <w:p>
            <w:pPr>
              <w:pStyle w:val="ListParagraph"/>
              <w:numPr>
                <w:ilvl w:val="0"/>
                <w:numId w:val="2"/>
              </w:numPr>
              <w:spacing w:after="60" w:line="288"/>
            </w:pPr>
            <w:r>
              <w:rPr>
                <w:rFonts w:ascii="Arial" w:cs="Arial" w:eastAsia="Arial" w:hAnsi="Arial"/>
                <w:color w:val="26323F"/>
                <w:sz w:val="19"/>
                <w:szCs w:val="19"/>
              </w:rPr>
              <w:t xml:space="preserve">91.9% of orders arrive on time, with an average delivery time of 12.5 days and an average review score of 4.16.</w:t>
            </w:r>
          </w:p>
          <w:p>
            <w:pPr>
              <w:pStyle w:val="ListParagraph"/>
              <w:numPr>
                <w:ilvl w:val="0"/>
                <w:numId w:val="2"/>
              </w:numPr>
              <w:spacing w:after="60" w:line="288"/>
            </w:pPr>
            <w:r>
              <w:rPr>
                <w:rFonts w:ascii="Arial" w:cs="Arial" w:eastAsia="Arial" w:hAnsi="Arial"/>
                <w:color w:val="26323F"/>
                <w:sz w:val="19"/>
                <w:szCs w:val="19"/>
              </w:rPr>
              <w:t xml:space="preserve">Lateness is costly: reviews fall from 4.3 stars on time to 3.6 when up to 3 days late, 2.1 when 4–7 days late and 1.7 when 8 or more days late.</w:t>
            </w:r>
          </w:p>
          <w:p>
            <w:pPr>
              <w:pStyle w:val="ListParagraph"/>
              <w:numPr>
                <w:ilvl w:val="0"/>
                <w:numId w:val="2"/>
              </w:numPr>
              <w:spacing w:after="60" w:line="288"/>
            </w:pPr>
            <w:r>
              <w:rPr>
                <w:rFonts w:ascii="Arial" w:cs="Arial" w:eastAsia="Arial" w:hAnsi="Arial"/>
                <w:color w:val="26323F"/>
                <w:sz w:val="19"/>
                <w:szCs w:val="19"/>
              </w:rPr>
              <w:t xml:space="preserve">Northern and north-eastern states are the slowest: Amazonas 26.4 days, Alagoas 24.5, Pará 23.7, Maranhão 21.5 and Ceará 21.2, against 12.5 days nationally. Roraima, Amapá and Acre also rank among the slowest but have fewer than 100 orders each.</w:t>
            </w:r>
          </w:p>
          <w:p>
            <w:pPr>
              <w:pStyle w:val="ListParagraph"/>
              <w:numPr>
                <w:ilvl w:val="0"/>
                <w:numId w:val="2"/>
              </w:numPr>
              <w:spacing w:after="60" w:line="288"/>
            </w:pPr>
            <w:r>
              <w:rPr>
                <w:rFonts w:ascii="Arial" w:cs="Arial" w:eastAsia="Arial" w:hAnsi="Arial"/>
                <w:color w:val="26323F"/>
                <w:sz w:val="19"/>
                <w:szCs w:val="19"/>
              </w:rPr>
              <w:t xml:space="preserve">Of the 7,822 late orders, 2,860 (about 37%) were 8 or more days late, and those orders average only 1.7 stars.</w:t>
            </w:r>
          </w:p>
          <w:p>
            <w:pPr>
              <w:pStyle w:val="ListParagraph"/>
              <w:numPr>
                <w:ilvl w:val="0"/>
                <w:numId w:val="2"/>
              </w:numPr>
              <w:spacing w:after="60" w:line="288"/>
            </w:pPr>
            <w:r>
              <w:rPr>
                <w:rFonts w:ascii="Arial" w:cs="Arial" w:eastAsia="Arial" w:hAnsi="Arial"/>
                <w:color w:val="26323F"/>
                <w:sz w:val="19"/>
                <w:szCs w:val="19"/>
              </w:rPr>
              <w:t xml:space="preserve">About 59% of orders receive 5 stars, but 12.8% receive 2 stars or less.</w:t>
            </w:r>
          </w:p>
          <w:p>
            <w:pPr>
              <w:pStyle w:val="ListParagraph"/>
              <w:numPr>
                <w:ilvl w:val="0"/>
                <w:numId w:val="2"/>
              </w:numPr>
              <w:spacing w:after="60" w:line="288"/>
            </w:pPr>
            <w:r>
              <w:rPr>
                <w:rFonts w:ascii="Arial" w:cs="Arial" w:eastAsia="Arial" w:hAnsi="Arial"/>
                <w:color w:val="26323F"/>
                <w:sz w:val="19"/>
                <w:szCs w:val="19"/>
              </w:rPr>
              <w:t xml:space="preserve">Late deliveries spiked in November 2017, February 2018 and March 2018. The data does not state the cause.</w:t>
            </w:r>
          </w:p>
        </w:tc>
      </w:tr>
    </w:tbl>
    <w:p>
      <w:pPr>
        <w:pStyle w:val="Heading2"/>
      </w:pPr>
      <w:bookmarkStart w:name="s10_5" w:id="1"/>
      <w:r>
        <w:rPr>
          <w:rFonts w:ascii="Arial" w:cs="Arial" w:eastAsia="Arial" w:hAnsi="Arial"/>
        </w:rPr>
        <w:t xml:space="preserve">10.5 Key Insights</w:t>
      </w:r>
      <w:bookmarkEnd w:id="1"/>
    </w:p>
    <w:p>
      <w:pPr>
        <w:keepNext/>
        <w:spacing w:after="120" w:before="0" w:line="300"/>
      </w:pPr>
      <w:r>
        <w:rPr>
          <w:rFonts w:ascii="Arial" w:cs="Arial" w:eastAsia="Arial" w:hAnsi="Arial"/>
          <w:color w:val="26323F"/>
          <w:sz w:val="21"/>
          <w:szCs w:val="21"/>
        </w:rPr>
        <w:t xml:space="preserve">Purpose: summarise findings for decision makers on a single page.</w:t>
      </w:r>
    </w:p>
    <w:p>
      <w:pPr>
        <w:keepNext/>
        <w:pBdr>
          <w:top w:val="single" w:color="E1E6EF" w:sz="4"/>
          <w:bottom w:val="single" w:color="E1E6EF" w:sz="4"/>
          <w:left w:val="single" w:color="E1E6EF" w:sz="4"/>
          <w:right w:val="single" w:color="E1E6EF" w:sz="4"/>
        </w:pBdr>
        <w:spacing w:after="40" w:before="80"/>
        <w:jc w:val="center"/>
      </w:pPr>
      <w:r>
        <w:drawing>
          <wp:inline distT="0" distB="0" distL="0" distR="0">
            <wp:extent cx="5715000" cy="3181350"/>
            <wp:effectExtent t="0" r="0" b="0" l="0"/>
            <wp:docPr id="1" name="05_Key_Insights.png" descr="Figure 6: Page 5 – Key Insights and Recommendations" title="Figure 6: Page 5 – Key Insights and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81350"/>
                    </a:xfrm>
                    <a:prstGeom prst="rect">
                      <a:avLst/>
                    </a:prstGeom>
                  </pic:spPr>
                </pic:pic>
              </a:graphicData>
            </a:graphic>
          </wp:inline>
        </w:drawing>
      </w:r>
    </w:p>
    <w:p>
      <w:pPr>
        <w:spacing w:after="160"/>
        <w:jc w:val="center"/>
      </w:pPr>
      <w:r>
        <w:rPr>
          <w:rFonts w:ascii="Arial" w:cs="Arial" w:eastAsia="Arial" w:hAnsi="Arial"/>
          <w:i/>
          <w:iCs/>
          <w:color w:val="5C6B7A"/>
          <w:sz w:val="17"/>
          <w:szCs w:val="17"/>
        </w:rPr>
        <w:t xml:space="preserve">Figure 6: Page 5 – Key Insights and Recommendations</w:t>
      </w:r>
    </w:p>
    <w:p>
      <w:pPr>
        <w:spacing w:after="120" w:before="0" w:line="300"/>
      </w:pPr>
      <w:r>
        <w:rPr>
          <w:rFonts w:ascii="Arial" w:cs="Arial" w:eastAsia="Arial" w:hAnsi="Arial"/>
          <w:color w:val="26323F"/>
          <w:sz w:val="21"/>
          <w:szCs w:val="21"/>
        </w:rPr>
        <w:t xml:space="preserve">The page combines six headline KPIs, four insight panels (sales and growth, product and sellers, customers and retention, delivery and satisfaction) and a recommendations panel. The same findings are described in detail in Section 11.</w:t>
      </w:r>
    </w:p>
    <w:p>
      <w:pPr>
        <w:pStyle w:val="Heading1"/>
        <w:pageBreakBefore/>
      </w:pPr>
      <w:bookmarkStart w:name="s11" w:id="1"/>
      <w:r>
        <w:rPr>
          <w:rFonts w:ascii="Arial" w:cs="Arial" w:eastAsia="Arial" w:hAnsi="Arial"/>
        </w:rPr>
        <w:t xml:space="preserve">11. Key Findings and Recommendations</w:t>
      </w:r>
      <w:bookmarkEnd w:id="1"/>
    </w:p>
    <w:p>
      <w:pPr>
        <w:pStyle w:val="Heading2"/>
      </w:pPr>
      <w:r>
        <w:rPr>
          <w:rFonts w:ascii="Arial" w:cs="Arial" w:eastAsia="Arial" w:hAnsi="Arial"/>
        </w:rPr>
        <w:t xml:space="preserve">11.1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538"/>
        <w:gridCol w:w="3200"/>
      </w:tblGrid>
      <w:tr>
        <w:trPr>
          <w:tblHeader/>
        </w:trPr>
        <w:tc>
          <w:tcPr>
            <w:tcW w:type="dxa" w:w="19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Theme</w:t>
            </w:r>
          </w:p>
        </w:tc>
        <w:tc>
          <w:tcPr>
            <w:tcW w:type="dxa" w:w="45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Finding</w:t>
            </w:r>
          </w:p>
        </w:tc>
        <w:tc>
          <w:tcPr>
            <w:tcW w:type="dxa" w:w="32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Evidence</w:t>
            </w:r>
          </w:p>
        </w:tc>
      </w:tr>
      <w:tr>
        <w:trPr>
          <w:cantSplit/>
        </w:trPr>
        <w:tc>
          <w:tcPr>
            <w:tcW w:type="dxa" w:w="1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Growth</w:t>
            </w:r>
          </w:p>
        </w:tc>
        <w:tc>
          <w:tcPr>
            <w:tcW w:type="dxa" w:w="45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Fast growth in 2017, plateau in 2018</w:t>
            </w:r>
          </w:p>
        </w:tc>
        <w:tc>
          <w:tcPr>
            <w:tcW w:type="dxa" w:w="3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R$ 112K (Jan 2017) to R$ 988K (Nov 2017); about R$ 830K–980K in 2018</w:t>
            </w:r>
          </w:p>
        </w:tc>
      </w:tr>
      <w:tr>
        <w:trPr>
          <w:cantSplit/>
        </w:trPr>
        <w:tc>
          <w:tcPr>
            <w:tcW w:type="dxa" w:w="1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Geography</w:t>
            </w:r>
          </w:p>
        </w:tc>
        <w:tc>
          <w:tcPr>
            <w:tcW w:type="dxa" w:w="45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Revenue is concentrated in São Paulo</w:t>
            </w:r>
          </w:p>
        </w:tc>
        <w:tc>
          <w:tcPr>
            <w:tcW w:type="dxa" w:w="3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SP about 38%; SP, RJ and MG about 63%</w:t>
            </w:r>
          </w:p>
        </w:tc>
      </w:tr>
      <w:tr>
        <w:trPr>
          <w:cantSplit/>
        </w:trPr>
        <w:tc>
          <w:tcPr>
            <w:tcW w:type="dxa" w:w="1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Categories</w:t>
            </w:r>
          </w:p>
        </w:tc>
        <w:tc>
          <w:tcPr>
            <w:tcW w:type="dxa" w:w="45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Revenue is spread across several categories</w:t>
            </w:r>
          </w:p>
        </w:tc>
        <w:tc>
          <w:tcPr>
            <w:tcW w:type="dxa" w:w="3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Top 5 about 40%, top 10 about 62%</w:t>
            </w:r>
          </w:p>
        </w:tc>
      </w:tr>
      <w:tr>
        <w:trPr>
          <w:cantSplit/>
        </w:trPr>
        <w:tc>
          <w:tcPr>
            <w:tcW w:type="dxa" w:w="1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Sellers</w:t>
            </w:r>
          </w:p>
        </w:tc>
        <w:tc>
          <w:tcPr>
            <w:tcW w:type="dxa" w:w="45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 dependence on a few sellers</w:t>
            </w:r>
          </w:p>
        </w:tc>
        <w:tc>
          <w:tcPr>
            <w:tcW w:type="dxa" w:w="3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2,945 active sellers; top 10 about 13% of revenue</w:t>
            </w:r>
          </w:p>
        </w:tc>
      </w:tr>
      <w:tr>
        <w:trPr>
          <w:cantSplit/>
        </w:trPr>
        <w:tc>
          <w:tcPr>
            <w:tcW w:type="dxa" w:w="1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Freight</w:t>
            </w:r>
          </w:p>
        </w:tc>
        <w:tc>
          <w:tcPr>
            <w:tcW w:type="dxa" w:w="45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Shipping is a meaningful cost</w:t>
            </w:r>
          </w:p>
        </w:tc>
        <w:tc>
          <w:tcPr>
            <w:tcW w:type="dxa" w:w="3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16.6% of revenue; 8.4% to 23.7% by category</w:t>
            </w:r>
          </w:p>
        </w:tc>
      </w:tr>
      <w:tr>
        <w:trPr>
          <w:cantSplit/>
        </w:trPr>
        <w:tc>
          <w:tcPr>
            <w:tcW w:type="dxa" w:w="1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Retention</w:t>
            </w:r>
          </w:p>
        </w:tc>
        <w:tc>
          <w:tcPr>
            <w:tcW w:type="dxa" w:w="45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Customers rarely return</w:t>
            </w:r>
          </w:p>
        </w:tc>
        <w:tc>
          <w:tcPr>
            <w:tcW w:type="dxa" w:w="3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3.0% repeat rate; 1.03 orders per customer; ~67% one-time and lapsed</w:t>
            </w:r>
          </w:p>
        </w:tc>
      </w:tr>
      <w:tr>
        <w:trPr>
          <w:cantSplit/>
        </w:trPr>
        <w:tc>
          <w:tcPr>
            <w:tcW w:type="dxa" w:w="1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Customer value</w:t>
            </w:r>
          </w:p>
        </w:tc>
        <w:tc>
          <w:tcPr>
            <w:tcW w:type="dxa" w:w="45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Repeat customers are worth more</w:t>
            </w:r>
          </w:p>
        </w:tc>
        <w:tc>
          <w:tcPr>
            <w:tcW w:type="dxa" w:w="3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R$ 260 versus R$ 138 average revenue</w:t>
            </w:r>
          </w:p>
        </w:tc>
      </w:tr>
      <w:tr>
        <w:trPr>
          <w:cantSplit/>
        </w:trPr>
        <w:tc>
          <w:tcPr>
            <w:tcW w:type="dxa" w:w="1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Delivery</w:t>
            </w:r>
          </w:p>
        </w:tc>
        <w:tc>
          <w:tcPr>
            <w:tcW w:type="dxa" w:w="45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Most orders arrive on time, but peaks fail</w:t>
            </w:r>
          </w:p>
        </w:tc>
        <w:tc>
          <w:tcPr>
            <w:tcW w:type="dxa" w:w="3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91.9% on time; late rate 14.3%, 16.0% and 21.4% in peak months</w:t>
            </w:r>
          </w:p>
        </w:tc>
      </w:tr>
      <w:tr>
        <w:trPr>
          <w:cantSplit/>
        </w:trPr>
        <w:tc>
          <w:tcPr>
            <w:tcW w:type="dxa" w:w="19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Satisfaction</w:t>
            </w:r>
          </w:p>
        </w:tc>
        <w:tc>
          <w:tcPr>
            <w:tcW w:type="dxa" w:w="45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Lateness strongly lowers reviews</w:t>
            </w:r>
          </w:p>
        </w:tc>
        <w:tc>
          <w:tcPr>
            <w:tcW w:type="dxa" w:w="32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4.3 stars on time versus 1.7 stars when 8+ days late; about 37% of late orders are 8+ days late</w:t>
            </w:r>
          </w:p>
        </w:tc>
      </w:tr>
      <w:tr>
        <w:trPr>
          <w:cantSplit/>
        </w:trPr>
        <w:tc>
          <w:tcPr>
            <w:tcW w:type="dxa" w:w="19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Regional logistics</w:t>
            </w:r>
          </w:p>
        </w:tc>
        <w:tc>
          <w:tcPr>
            <w:tcW w:type="dxa" w:w="45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Northern and north-eastern states are slow</w:t>
            </w:r>
          </w:p>
        </w:tc>
        <w:tc>
          <w:tcPr>
            <w:tcW w:type="dxa" w:w="32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AM 26.4, AL 24.5, PA 23.7 days versus 12.5 nationally (RR, AP and AC are slower but have fewer than 100 orders)</w:t>
            </w:r>
          </w:p>
        </w:tc>
      </w:tr>
    </w:tbl>
    <w:p>
      <w:pPr>
        <w:spacing w:after="120"/>
      </w:pPr>
    </w:p>
    <w:p>
      <w:pPr>
        <w:pStyle w:val="Heading2"/>
      </w:pPr>
      <w:r>
        <w:rPr>
          <w:rFonts w:ascii="Arial" w:cs="Arial" w:eastAsia="Arial" w:hAnsi="Arial"/>
        </w:rPr>
        <w:t xml:space="preserve">11.2 Recommendations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338"/>
        <w:gridCol w:w="2300"/>
      </w:tblGrid>
      <w:tr>
        <w:trPr>
          <w:tblHeader/>
        </w:trPr>
        <w:tc>
          <w:tcPr>
            <w:tcW w:type="dxa" w:w="5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8"/>
                <w:szCs w:val="18"/>
              </w:rPr>
              <w:t xml:space="preserve">#</w:t>
            </w:r>
          </w:p>
        </w:tc>
        <w:tc>
          <w:tcPr>
            <w:tcW w:type="dxa" w:w="25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Recommendation</w:t>
            </w:r>
          </w:p>
        </w:tc>
        <w:tc>
          <w:tcPr>
            <w:tcW w:type="dxa" w:w="43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Why</w:t>
            </w:r>
          </w:p>
        </w:tc>
        <w:tc>
          <w:tcPr>
            <w:tcW w:type="dxa" w:w="2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KPI to track</w:t>
            </w:r>
          </w:p>
        </w:tc>
      </w:tr>
      <w:tr>
        <w:trPr>
          <w:cantSplit/>
        </w:trPr>
        <w:tc>
          <w:tcPr>
            <w:tcW w:type="dxa" w:w="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1</w:t>
            </w:r>
          </w:p>
        </w:tc>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Improve customer retention</w:t>
            </w:r>
          </w:p>
        </w:tc>
        <w:tc>
          <w:tcPr>
            <w:tcW w:type="dxa" w:w="4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Only 3.0% repeat. Start with about 11K high-value one-time buyers and about 18K recent first-time buyers using follow-ups, coupons and loyalty rewards.</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Repeat Rate %</w:t>
            </w:r>
          </w:p>
        </w:tc>
      </w:tr>
      <w:tr>
        <w:trPr>
          <w:cantSplit/>
        </w:trPr>
        <w:tc>
          <w:tcPr>
            <w:tcW w:type="dxa" w:w="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2</w:t>
            </w:r>
          </w:p>
        </w:tc>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Fix delivery reliability</w:t>
            </w:r>
          </w:p>
        </w:tc>
        <w:tc>
          <w:tcPr>
            <w:tcW w:type="dxa" w:w="4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Delays of more than 3 days sharply reduce satisfaction. Alert customers about delays, use regional carriers for remote states and set realistic delivery estimates.</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On-time %, Avg Review Score</w:t>
            </w:r>
          </w:p>
        </w:tc>
      </w:tr>
      <w:tr>
        <w:trPr>
          <w:cantSplit/>
        </w:trPr>
        <w:tc>
          <w:tcPr>
            <w:tcW w:type="dxa" w:w="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3</w:t>
            </w:r>
          </w:p>
        </w:tc>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Plan for peak periods</w:t>
            </w:r>
          </w:p>
        </w:tc>
        <w:tc>
          <w:tcPr>
            <w:tcW w:type="dxa" w:w="4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Late deliveries spiked in November 2017 and in February–March 2018. Prepare carrier capacity ahead of such periods.</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Late Delivery % by month</w:t>
            </w:r>
          </w:p>
        </w:tc>
      </w:tr>
      <w:tr>
        <w:trPr>
          <w:cantSplit/>
        </w:trPr>
        <w:tc>
          <w:tcPr>
            <w:tcW w:type="dxa" w:w="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4</w:t>
            </w:r>
          </w:p>
        </w:tc>
        <w:tc>
          <w:tcPr>
            <w:tcW w:type="dxa" w:w="25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Reduce dependence on São Paulo</w:t>
            </w:r>
          </w:p>
        </w:tc>
        <w:tc>
          <w:tcPr>
            <w:tcW w:type="dxa" w:w="4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About 38% of revenue comes from one state. Grow marketing and logistics in RJ, MG, RS and PR.</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Revenue share by state</w:t>
            </w:r>
          </w:p>
        </w:tc>
      </w:tr>
      <w:tr>
        <w:trPr>
          <w:cantSplit/>
        </w:trPr>
        <w:tc>
          <w:tcPr>
            <w:tcW w:type="dxa" w:w="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26323F"/>
                <w:sz w:val="18"/>
                <w:szCs w:val="18"/>
              </w:rPr>
              <w:t xml:space="preserve">5</w:t>
            </w:r>
          </w:p>
        </w:tc>
        <w:tc>
          <w:tcPr>
            <w:tcW w:type="dxa" w:w="25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Lower the freight burden</w:t>
            </w:r>
          </w:p>
        </w:tc>
        <w:tc>
          <w:tcPr>
            <w:tcW w:type="dxa" w:w="4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Freight reaches 23.7% of revenue in some categories. Test free-shipping thresholds on high-freight categories such as Furniture Decor.</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color w:val="26323F"/>
                <w:sz w:val="18"/>
                <w:szCs w:val="18"/>
              </w:rPr>
              <w:t xml:space="preserve">Freight % of Revenue</w:t>
            </w:r>
          </w:p>
        </w:tc>
      </w:tr>
    </w:tbl>
    <w:p>
      <w:pPr>
        <w:spacing w:after="120"/>
      </w:pPr>
    </w:p>
    <w:p>
      <w:pPr>
        <w:spacing w:after="120" w:before="0" w:line="300"/>
      </w:pPr>
      <w:r>
        <w:rPr>
          <w:rFonts w:ascii="Arial" w:cs="Arial" w:eastAsia="Arial" w:hAnsi="Arial"/>
          <w:color w:val="26323F"/>
          <w:sz w:val="21"/>
          <w:szCs w:val="21"/>
        </w:rPr>
        <w:t xml:space="preserve"/>
      </w:r>
      <w:r>
        <w:rPr>
          <w:rFonts w:ascii="Arial" w:cs="Arial" w:eastAsia="Arial" w:hAnsi="Arial"/>
          <w:b/>
          <w:bCs/>
          <w:color w:val="26323F"/>
          <w:sz w:val="21"/>
          <w:szCs w:val="21"/>
        </w:rPr>
        <w:t xml:space="preserve">Next analysis:</w:t>
      </w:r>
      <w:r>
        <w:rPr>
          <w:rFonts w:ascii="Arial" w:cs="Arial" w:eastAsia="Arial" w:hAnsi="Arial"/>
          <w:color w:val="26323F"/>
          <w:sz w:val="21"/>
          <w:szCs w:val="21"/>
        </w:rPr>
        <w:t xml:space="preserve"> test whether customers who received a late delivery are less likely to place a second order. The current data shows both effects but does not link them.</w:t>
      </w:r>
    </w:p>
    <w:p>
      <w:pPr>
        <w:pStyle w:val="Heading1"/>
      </w:pPr>
      <w:bookmarkStart w:name="s12" w:id="1"/>
      <w:r>
        <w:rPr>
          <w:rFonts w:ascii="Arial" w:cs="Arial" w:eastAsia="Arial" w:hAnsi="Arial"/>
        </w:rPr>
        <w:t xml:space="preserve">12. Validation and Data Quality</w:t>
      </w:r>
      <w:bookmarkEnd w:id="1"/>
    </w:p>
    <w:p>
      <w:pPr>
        <w:spacing w:after="120" w:before="0" w:line="300"/>
      </w:pPr>
      <w:r>
        <w:rPr>
          <w:rFonts w:ascii="Arial" w:cs="Arial" w:eastAsia="Arial" w:hAnsi="Arial"/>
          <w:color w:val="26323F"/>
          <w:sz w:val="21"/>
          <w:szCs w:val="21"/>
        </w:rPr>
        <w:t xml:space="preserve">Numbers on a dashboard are only useful if they can be trusted, so the key metrics were reconciled across the three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38"/>
        <w:gridCol w:w="2300"/>
      </w:tblGrid>
      <w:tr>
        <w:trPr>
          <w:tblHeader/>
        </w:trPr>
        <w:tc>
          <w:tcPr>
            <w:tcW w:type="dxa" w:w="30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Check</w:t>
            </w:r>
          </w:p>
        </w:tc>
        <w:tc>
          <w:tcPr>
            <w:tcW w:type="dxa" w:w="43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What was compared</w:t>
            </w:r>
          </w:p>
        </w:tc>
        <w:tc>
          <w:tcPr>
            <w:tcW w:type="dxa" w:w="2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Result</w:t>
            </w:r>
          </w:p>
        </w:tc>
      </w:tr>
      <w:tr>
        <w:trPr>
          <w:cantSplit/>
        </w:trPr>
        <w:tc>
          <w:tcPr>
            <w:tcW w:type="dxa" w:w="3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Import row counts</w:t>
            </w:r>
          </w:p>
        </w:tc>
        <w:tc>
          <w:tcPr>
            <w:tcW w:type="dxa" w:w="4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All eight imported tables against expected counts (for example orders 99,441 and order items 112,650)</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Matched</w:t>
            </w:r>
          </w:p>
        </w:tc>
      </w:tr>
      <w:tr>
        <w:trPr>
          <w:cantSplit/>
        </w:trPr>
        <w:tc>
          <w:tcPr>
            <w:tcW w:type="dxa" w:w="3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Translation table fix</w:t>
            </w:r>
          </w:p>
        </w:tc>
        <w:tc>
          <w:tcPr>
            <w:tcW w:type="dxa" w:w="4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Row count before and after removing the header row (72 to 71)</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Fixed</w:t>
            </w:r>
          </w:p>
        </w:tc>
      </w:tr>
      <w:tr>
        <w:trPr>
          <w:cantSplit/>
        </w:trPr>
        <w:tc>
          <w:tcPr>
            <w:tcW w:type="dxa" w:w="3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Revenue and orders at load</w:t>
            </w:r>
          </w:p>
        </w:tc>
        <w:tc>
          <w:tcPr>
            <w:tcW w:type="dxa" w:w="4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SQL view total (R$ 13,221,498.11 and 96,478 orders) against Power BI before the date filter</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Matched</w:t>
            </w:r>
          </w:p>
        </w:tc>
      </w:tr>
      <w:tr>
        <w:trPr>
          <w:cantSplit/>
        </w:trPr>
        <w:tc>
          <w:tcPr>
            <w:tcW w:type="dxa" w:w="3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Headline KPIs in the analysis window</w:t>
            </w:r>
          </w:p>
        </w:tc>
        <w:tc>
          <w:tcPr>
            <w:tcW w:type="dxa" w:w="4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Revenue R$ 13.18M, orders 96,211 and customers 93,104 in Power BI against SQL and the Excel validation sheet</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Matched</w:t>
            </w:r>
          </w:p>
        </w:tc>
      </w:tr>
      <w:tr>
        <w:trPr>
          <w:cantSplit/>
        </w:trPr>
        <w:tc>
          <w:tcPr>
            <w:tcW w:type="dxa" w:w="3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Repeat customers</w:t>
            </w:r>
          </w:p>
        </w:tc>
        <w:tc>
          <w:tcPr>
            <w:tcW w:type="dxa" w:w="4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SQL query (2,789 repeat customers out of 93,104) against Power BI Page 3</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Matched</w:t>
            </w:r>
          </w:p>
        </w:tc>
      </w:tr>
      <w:tr>
        <w:trPr>
          <w:cantSplit/>
        </w:trPr>
        <w:tc>
          <w:tcPr>
            <w:tcW w:type="dxa" w:w="3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Analysis queries</w:t>
            </w:r>
          </w:p>
        </w:tc>
        <w:tc>
          <w:tcPr>
            <w:tcW w:type="dxa" w:w="4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SQL results for state and category revenue shares, one-time versus repeat customers (90,315 and 2,789) and review score by delivery status against the dashboard</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Matched</w:t>
            </w:r>
          </w:p>
        </w:tc>
      </w:tr>
      <w:tr>
        <w:trPr>
          <w:cantSplit/>
        </w:trPr>
        <w:tc>
          <w:tcPr>
            <w:tcW w:type="dxa" w:w="30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Delivery metrics</w:t>
            </w:r>
          </w:p>
        </w:tc>
        <w:tc>
          <w:tcPr>
            <w:tcW w:type="dxa" w:w="43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SQL view (96,470 orders, 12.5 days, 8.1% late, 4.16 score) against Page 4 (96.20K, 12.48, 91.9% on time, 4.16)</w:t>
            </w:r>
          </w:p>
        </w:tc>
        <w:tc>
          <w:tcPr>
            <w:tcW w:type="dxa" w:w="2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Consistent; Power BI applies the date filter</w:t>
            </w:r>
          </w:p>
        </w:tc>
      </w:tr>
      <w:tr>
        <w:trPr>
          <w:cantSplit/>
        </w:trPr>
        <w:tc>
          <w:tcPr>
            <w:tcW w:type="dxa" w:w="30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Late-delivery spikes</w:t>
            </w:r>
          </w:p>
        </w:tc>
        <w:tc>
          <w:tcPr>
            <w:tcW w:type="dxa" w:w="43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Monthly late rate read from the Page 4 chart after fixing the axis order</w:t>
            </w:r>
          </w:p>
        </w:tc>
        <w:tc>
          <w:tcPr>
            <w:tcW w:type="dxa" w:w="2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Confirmed</w:t>
            </w:r>
          </w:p>
        </w:tc>
      </w:tr>
    </w:tbl>
    <w:p>
      <w:pPr>
        <w:spacing w:after="120"/>
      </w:pPr>
    </w:p>
    <w:p>
      <w:pPr>
        <w:spacing w:after="120" w:before="0" w:line="300"/>
      </w:pPr>
      <w:r>
        <w:rPr>
          <w:rFonts w:ascii="Arial" w:cs="Arial" w:eastAsia="Arial" w:hAnsi="Arial"/>
          <w:color w:val="5C6B7A"/>
          <w:sz w:val="19"/>
          <w:szCs w:val="19"/>
        </w:rPr>
        <w:t xml:space="preserve">The difference between R$ 13.22M in SQL and R$ 13.18M on the dashboard is explained by the date filter (January 2017 to August 2018), which removes 2016 and the final months of 2018.</w:t>
      </w:r>
    </w:p>
    <w:p>
      <w:pPr>
        <w:pStyle w:val="Heading1"/>
      </w:pPr>
      <w:bookmarkStart w:name="s13" w:id="1"/>
      <w:r>
        <w:rPr>
          <w:rFonts w:ascii="Arial" w:cs="Arial" w:eastAsia="Arial" w:hAnsi="Arial"/>
        </w:rPr>
        <w:t xml:space="preserve">13. Challenges and Solutions</w:t>
      </w:r>
      <w:bookmarkEnd w:id="1"/>
    </w:p>
    <w:p>
      <w:pPr>
        <w:spacing w:after="120" w:before="0" w:line="300"/>
      </w:pPr>
      <w:r>
        <w:rPr>
          <w:rFonts w:ascii="Arial" w:cs="Arial" w:eastAsia="Arial" w:hAnsi="Arial"/>
          <w:color w:val="26323F"/>
          <w:sz w:val="21"/>
          <w:szCs w:val="21"/>
        </w:rPr>
        <w:t xml:space="preserve">Several problems came up during the build. They are recorded here because they show how the final model was shaped.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tblHeader/>
        </w:trPr>
        <w:tc>
          <w:tcPr>
            <w:tcW w:type="dxa" w:w="24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Problem</w:t>
            </w:r>
          </w:p>
        </w:tc>
        <w:tc>
          <w:tcPr>
            <w:tcW w:type="dxa" w:w="3300"/>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Cause</w:t>
            </w:r>
          </w:p>
        </w:tc>
        <w:tc>
          <w:tcPr>
            <w:tcW w:type="dxa" w:w="3938"/>
            <w:tcBorders>
              <w:top w:val="single" w:color="E1E6EF" w:sz="4"/>
              <w:left w:val="single" w:color="E1E6EF" w:sz="4"/>
              <w:bottom w:val="single" w:color="E1E6EF" w:sz="4"/>
              <w:right w:val="single" w:color="E1E6EF" w:sz="4"/>
            </w:tcBorders>
            <w:shd w:fill="0B2545"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FFFFFF"/>
                <w:sz w:val="18"/>
                <w:szCs w:val="18"/>
              </w:rPr>
              <w:t xml:space="preserve">Solution</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View failed with invalid column names</w:t>
            </w:r>
          </w:p>
        </w:tc>
        <w:tc>
          <w:tcPr>
            <w:tcW w:type="dxa" w:w="3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The translation CSV header was imported as a data row, and columns were named column1 and column2</w:t>
            </w:r>
          </w:p>
        </w:tc>
        <w:tc>
          <w:tcPr>
            <w:tcW w:type="dxa" w:w="39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Renamed the columns, deleted the header row and rebuilt the view</w:t>
            </w:r>
          </w:p>
        </w:tc>
      </w:tr>
      <w:tr>
        <w:trPr>
          <w:cantSplit/>
        </w:trPr>
        <w:tc>
          <w:tcPr>
            <w:tcW w:type="dxa" w:w="24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Risk of failed imports</w:t>
            </w:r>
          </w:p>
        </w:tc>
        <w:tc>
          <w:tcPr>
            <w:tcW w:type="dxa" w:w="3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The wizard inferred small integer types and non-null columns from the first rows (for example product weight, blank approval dates)</w:t>
            </w:r>
          </w:p>
        </w:tc>
        <w:tc>
          <w:tcPr>
            <w:tcW w:type="dxa" w:w="39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Widened numeric columns to int and allowed nulls where values can be blank</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Ambiguous path error between tables</w:t>
            </w:r>
          </w:p>
        </w:tc>
        <w:tc>
          <w:tcPr>
            <w:tcW w:type="dxa" w:w="3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Power BI auto-created an order_id relationship between the two fact tables, giving two paths from Dim_Date</w:t>
            </w:r>
          </w:p>
        </w:tc>
        <w:tc>
          <w:tcPr>
            <w:tcW w:type="dxa" w:w="39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Deleted the automatic relationship and related each fact table to Dim_Date separately</w:t>
            </w:r>
          </w:p>
        </w:tc>
      </w:tr>
      <w:tr>
        <w:trPr>
          <w:cantSplit/>
        </w:trPr>
        <w:tc>
          <w:tcPr>
            <w:tcW w:type="dxa" w:w="24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Duplicate rows from reviews</w:t>
            </w:r>
          </w:p>
        </w:tc>
        <w:tc>
          <w:tcPr>
            <w:tcW w:type="dxa" w:w="3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Some orders have more than one review</w:t>
            </w:r>
          </w:p>
        </w:tc>
        <w:tc>
          <w:tcPr>
            <w:tcW w:type="dxa" w:w="39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Averaged the review score per order in vw_orders to keep one row per order</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Repeat purchases invisible</w:t>
            </w:r>
          </w:p>
        </w:tc>
        <w:tc>
          <w:tcPr>
            <w:tcW w:type="dxa" w:w="3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customer_id changes with every order</w:t>
            </w:r>
          </w:p>
        </w:tc>
        <w:tc>
          <w:tcPr>
            <w:tcW w:type="dxa" w:w="39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Used customer_unique_id for all retention analysis</w:t>
            </w:r>
          </w:p>
        </w:tc>
      </w:tr>
      <w:tr>
        <w:trPr>
          <w:cantSplit/>
        </w:trPr>
        <w:tc>
          <w:tcPr>
            <w:tcW w:type="dxa" w:w="24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Seller Short produced a single-value error</w:t>
            </w:r>
          </w:p>
        </w:tc>
        <w:tc>
          <w:tcPr>
            <w:tcW w:type="dxa" w:w="3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It was created as a measure, but it needs a value per row</w:t>
            </w:r>
          </w:p>
        </w:tc>
        <w:tc>
          <w:tcPr>
            <w:tcW w:type="dxa" w:w="39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Recreated it as a calculated column on Dim_Seller</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Syntax error in the MoM measure</w:t>
            </w:r>
          </w:p>
        </w:tc>
        <w:tc>
          <w:tcPr>
            <w:tcW w:type="dxa" w:w="3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Variable names clashed with DAX names</w:t>
            </w:r>
          </w:p>
        </w:tc>
        <w:tc>
          <w:tcPr>
            <w:tcW w:type="dxa" w:w="39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Renamed the variables with a v_ prefix</w:t>
            </w:r>
          </w:p>
        </w:tc>
      </w:tr>
      <w:tr>
        <w:trPr>
          <w:cantSplit/>
        </w:trPr>
        <w:tc>
          <w:tcPr>
            <w:tcW w:type="dxa" w:w="24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Line chart in the wrong order, odd labels</w:t>
            </w:r>
          </w:p>
        </w:tc>
        <w:tc>
          <w:tcPr>
            <w:tcW w:type="dxa" w:w="3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The axis was sorted by value and display units were set to thousands on a percentage</w:t>
            </w:r>
          </w:p>
        </w:tc>
        <w:tc>
          <w:tcPr>
            <w:tcW w:type="dxa" w:w="39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Sorted by Year-Month ascending and set display units to none</w:t>
            </w:r>
          </w:p>
        </w:tc>
      </w:tr>
      <w:tr>
        <w:trPr>
          <w:cantSplit/>
        </w:trPr>
        <w:tc>
          <w:tcPr>
            <w:tcW w:type="dxa" w:w="24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Slowest-states ranking led by tiny states</w:t>
            </w:r>
          </w:p>
        </w:tc>
        <w:tc>
          <w:tcPr>
            <w:tcW w:type="dxa" w:w="3300"/>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RR, AP and AC have fewer than 100 orders, so their averages are unreliable</w:t>
            </w:r>
          </w:p>
        </w:tc>
        <w:tc>
          <w:tcPr>
            <w:tcW w:type="dxa" w:w="3938"/>
            <w:tcBorders>
              <w:top w:val="single" w:color="E1E6EF" w:sz="4"/>
              <w:left w:val="single" w:color="E1E6EF" w:sz="4"/>
              <w:bottom w:val="single" w:color="E1E6EF" w:sz="4"/>
              <w:right w:val="single" w:color="E1E6EF" w:sz="4"/>
            </w:tcBorders>
            <w:shd w:fill="FFFFFF"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Checked order counts in SQL and added a minimum-orders filter to the state chart</w:t>
            </w:r>
          </w:p>
        </w:tc>
      </w:tr>
      <w:tr>
        <w:trPr>
          <w:cantSplit/>
        </w:trPr>
        <w:tc>
          <w:tcPr>
            <w:tcW w:type="dxa" w:w="24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bCs/>
                <w:color w:val="26323F"/>
                <w:sz w:val="18"/>
                <w:szCs w:val="18"/>
              </w:rPr>
              <w:t xml:space="preserve">Unreadable scatter chart</w:t>
            </w:r>
          </w:p>
        </w:tc>
        <w:tc>
          <w:tcPr>
            <w:tcW w:type="dxa" w:w="3300"/>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A few outlier categories stretched the axes</w:t>
            </w:r>
          </w:p>
        </w:tc>
        <w:tc>
          <w:tcPr>
            <w:tcW w:type="dxa" w:w="3938"/>
            <w:tcBorders>
              <w:top w:val="single" w:color="E1E6EF" w:sz="4"/>
              <w:left w:val="single" w:color="E1E6EF" w:sz="4"/>
              <w:bottom w:val="single" w:color="E1E6EF" w:sz="4"/>
              <w:right w:val="single" w:color="E1E6EF" w:sz="4"/>
            </w:tcBorders>
            <w:shd w:fill="F4F6FA" w:color="auto" w:val="clear"/>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6323F"/>
                <w:sz w:val="18"/>
                <w:szCs w:val="18"/>
              </w:rPr>
              <w:t xml:space="preserve">Replaced it with a freight percentage bar chart for the top 10 categories</w:t>
            </w:r>
          </w:p>
        </w:tc>
      </w:tr>
    </w:tbl>
    <w:p>
      <w:pPr>
        <w:pStyle w:val="Heading1"/>
      </w:pPr>
      <w:bookmarkStart w:name="s14" w:id="1"/>
      <w:r>
        <w:rPr>
          <w:rFonts w:ascii="Arial" w:cs="Arial" w:eastAsia="Arial" w:hAnsi="Arial"/>
        </w:rPr>
        <w:t xml:space="preserve">14. Limitations and Future Work</w:t>
      </w:r>
      <w:bookmarkEnd w:id="1"/>
    </w:p>
    <w:p>
      <w:pPr>
        <w:pStyle w:val="Heading2"/>
      </w:pPr>
      <w:r>
        <w:rPr>
          <w:rFonts w:ascii="Arial" w:cs="Arial" w:eastAsia="Arial" w:hAnsi="Arial"/>
        </w:rPr>
        <w:t xml:space="preserve">14.1 Limitations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Static customer table:</w:t>
      </w:r>
      <w:r>
        <w:rPr>
          <w:rFonts w:ascii="Arial" w:cs="Arial" w:eastAsia="Arial" w:hAnsi="Arial"/>
          <w:color w:val="26323F"/>
          <w:sz w:val="21"/>
          <w:szCs w:val="21"/>
        </w:rPr>
        <w:t xml:space="preserve"> Dim_Customer is calculated at refresh and does not respond to the Year, Quarter and State slicers.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Lapsed definition:</w:t>
      </w:r>
      <w:r>
        <w:rPr>
          <w:rFonts w:ascii="Arial" w:cs="Arial" w:eastAsia="Arial" w:hAnsi="Arial"/>
          <w:color w:val="26323F"/>
          <w:sz w:val="21"/>
          <w:szCs w:val="21"/>
        </w:rPr>
        <w:t xml:space="preserve"> customers are called lapsed relative to 31 August 2018, the last date in the data. Some of them may have returned afterwards.</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Small states:</w:t>
      </w:r>
      <w:r>
        <w:rPr>
          <w:rFonts w:ascii="Arial" w:cs="Arial" w:eastAsia="Arial" w:hAnsi="Arial"/>
          <w:color w:val="26323F"/>
          <w:sz w:val="21"/>
          <w:szCs w:val="21"/>
        </w:rPr>
        <w:t xml:space="preserve"> RR, AP and AC have only 40, 67 and 80 delivered orders in the period, so their average delivery times are less reliable.</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Delivered orders only:</w:t>
      </w:r>
      <w:r>
        <w:rPr>
          <w:rFonts w:ascii="Arial" w:cs="Arial" w:eastAsia="Arial" w:hAnsi="Arial"/>
          <w:color w:val="26323F"/>
          <w:sz w:val="21"/>
          <w:szCs w:val="21"/>
        </w:rPr>
        <w:t xml:space="preserve"> cancelled and unavailable orders are not analysed.</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Review scores:</w:t>
      </w:r>
      <w:r>
        <w:rPr>
          <w:rFonts w:ascii="Arial" w:cs="Arial" w:eastAsia="Arial" w:hAnsi="Arial"/>
          <w:color w:val="26323F"/>
          <w:sz w:val="21"/>
          <w:szCs w:val="21"/>
        </w:rPr>
        <w:t xml:space="preserve"> scores are averaged per order, and orders without a review are excluded from the average.</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Correlation, not causation:</w:t>
      </w:r>
      <w:r>
        <w:rPr>
          <w:rFonts w:ascii="Arial" w:cs="Arial" w:eastAsia="Arial" w:hAnsi="Arial"/>
          <w:color w:val="26323F"/>
          <w:sz w:val="21"/>
          <w:szCs w:val="21"/>
        </w:rPr>
        <w:t xml:space="preserve"> the link between late delivery and low reviews is observed in the data, but other factors may also play a role.</w:t>
      </w:r>
    </w:p>
    <w:p>
      <w:pPr>
        <w:pStyle w:val="ListParagraph"/>
        <w:numPr>
          <w:ilvl w:val="0"/>
          <w:numId w:val="2"/>
        </w:numPr>
        <w:spacing w:after="60" w:line="288"/>
      </w:pPr>
      <w:r>
        <w:rPr>
          <w:rFonts w:ascii="Arial" w:cs="Arial" w:eastAsia="Arial" w:hAnsi="Arial"/>
          <w:color w:val="26323F"/>
          <w:sz w:val="21"/>
          <w:szCs w:val="21"/>
        </w:rPr>
        <w:t xml:space="preserve"/>
      </w:r>
      <w:r>
        <w:rPr>
          <w:rFonts w:ascii="Arial" w:cs="Arial" w:eastAsia="Arial" w:hAnsi="Arial"/>
          <w:b/>
          <w:bCs/>
          <w:color w:val="26323F"/>
          <w:sz w:val="21"/>
          <w:szCs w:val="21"/>
        </w:rPr>
        <w:t xml:space="preserve">Currency:</w:t>
      </w:r>
      <w:r>
        <w:rPr>
          <w:rFonts w:ascii="Arial" w:cs="Arial" w:eastAsia="Arial" w:hAnsi="Arial"/>
          <w:color w:val="26323F"/>
          <w:sz w:val="21"/>
          <w:szCs w:val="21"/>
        </w:rPr>
        <w:t xml:space="preserve"> all amounts are in Brazilian Real and are not converted.</w:t>
      </w:r>
    </w:p>
    <w:p>
      <w:pPr>
        <w:pStyle w:val="Heading2"/>
      </w:pPr>
      <w:r>
        <w:rPr>
          <w:rFonts w:ascii="Arial" w:cs="Arial" w:eastAsia="Arial" w:hAnsi="Arial"/>
        </w:rPr>
        <w:t xml:space="preserve">14.2 Future work</w:t>
      </w:r>
    </w:p>
    <w:p>
      <w:pPr>
        <w:pStyle w:val="ListParagraph"/>
        <w:numPr>
          <w:ilvl w:val="0"/>
          <w:numId w:val="2"/>
        </w:numPr>
        <w:spacing w:after="60" w:line="288"/>
      </w:pPr>
      <w:r>
        <w:rPr>
          <w:rFonts w:ascii="Arial" w:cs="Arial" w:eastAsia="Arial" w:hAnsi="Arial"/>
          <w:color w:val="26323F"/>
          <w:sz w:val="21"/>
          <w:szCs w:val="21"/>
        </w:rPr>
        <w:t xml:space="preserve">Test whether late delivery reduces the probability of a second purchase, using a cohort analysis.</w:t>
      </w:r>
    </w:p>
    <w:p>
      <w:pPr>
        <w:pStyle w:val="ListParagraph"/>
        <w:numPr>
          <w:ilvl w:val="0"/>
          <w:numId w:val="2"/>
        </w:numPr>
        <w:spacing w:after="60" w:line="288"/>
      </w:pPr>
      <w:r>
        <w:rPr>
          <w:rFonts w:ascii="Arial" w:cs="Arial" w:eastAsia="Arial" w:hAnsi="Arial"/>
          <w:color w:val="26323F"/>
          <w:sz w:val="21"/>
          <w:szCs w:val="21"/>
        </w:rPr>
        <w:t xml:space="preserve">Analyse payment methods and instalments using the imported payments table.</w:t>
      </w:r>
    </w:p>
    <w:p>
      <w:pPr>
        <w:pStyle w:val="ListParagraph"/>
        <w:numPr>
          <w:ilvl w:val="0"/>
          <w:numId w:val="2"/>
        </w:numPr>
        <w:spacing w:after="60" w:line="288"/>
      </w:pPr>
      <w:r>
        <w:rPr>
          <w:rFonts w:ascii="Arial" w:cs="Arial" w:eastAsia="Arial" w:hAnsi="Arial"/>
          <w:color w:val="26323F"/>
          <w:sz w:val="21"/>
          <w:szCs w:val="21"/>
        </w:rPr>
        <w:t xml:space="preserve">Add text analysis of review comments to explain low scores.</w:t>
      </w:r>
    </w:p>
    <w:p>
      <w:pPr>
        <w:pStyle w:val="ListParagraph"/>
        <w:numPr>
          <w:ilvl w:val="0"/>
          <w:numId w:val="2"/>
        </w:numPr>
        <w:spacing w:after="60" w:line="288"/>
      </w:pPr>
      <w:r>
        <w:rPr>
          <w:rFonts w:ascii="Arial" w:cs="Arial" w:eastAsia="Arial" w:hAnsi="Arial"/>
          <w:color w:val="26323F"/>
          <w:sz w:val="21"/>
          <w:szCs w:val="21"/>
        </w:rPr>
        <w:t xml:space="preserve">Analyse seller-level delivery performance and add a geographic map.</w:t>
      </w:r>
    </w:p>
    <w:p>
      <w:pPr>
        <w:pStyle w:val="ListParagraph"/>
        <w:numPr>
          <w:ilvl w:val="0"/>
          <w:numId w:val="2"/>
        </w:numPr>
        <w:spacing w:after="60" w:line="288"/>
      </w:pPr>
      <w:r>
        <w:rPr>
          <w:rFonts w:ascii="Arial" w:cs="Arial" w:eastAsia="Arial" w:hAnsi="Arial"/>
          <w:color w:val="26323F"/>
          <w:sz w:val="21"/>
          <w:szCs w:val="21"/>
        </w:rPr>
        <w:t xml:space="preserve">Publish the report to the Power BI Service with scheduled refresh, and use Python for forecasting or cohort retention.</w:t>
      </w:r>
    </w:p>
    <w:p>
      <w:pPr>
        <w:pStyle w:val="Heading1"/>
      </w:pPr>
      <w:bookmarkStart w:name="s15" w:id="1"/>
      <w:r>
        <w:rPr>
          <w:rFonts w:ascii="Arial" w:cs="Arial" w:eastAsia="Arial" w:hAnsi="Arial"/>
        </w:rPr>
        <w:t xml:space="preserve">15. Repository Structure and How to Reproduce</w:t>
      </w:r>
      <w:bookmarkEnd w:id="1"/>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Olist-Ecommerce-Analytics-Dashboard/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README.md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dashboard/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Ecommerce_Dashboard.pbix</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Ecommerce_Dashboard.pdf</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sql/</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|-- 01_setup_and_view.sql</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|-- 02_validation_queries.sql</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|-- 03_analysis_queries.sql</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|-- 04_delivery_view.sql</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excel/</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Ecommerce_Validation.xlsx</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screenshots/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docs/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Ecommerce_Analytics_Project_Report.docx</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 Ecommerce_Analytics_Project_Report.pdf</w:t>
      </w:r>
    </w:p>
    <w:p>
      <w:pPr>
        <w:spacing w:after="120"/>
      </w:pPr>
    </w:p>
    <w:p>
      <w:pPr>
        <w:spacing w:after="120" w:before="0" w:line="300"/>
      </w:pPr>
      <w:r>
        <w:rPr>
          <w:rFonts w:ascii="Arial" w:cs="Arial" w:eastAsia="Arial" w:hAnsi="Arial"/>
          <w:color w:val="26323F"/>
          <w:sz w:val="21"/>
          <w:szCs w:val="21"/>
        </w:rPr>
        <w:t xml:space="preserve">The raw Kaggle CSV files are not stored in the repository. The dataset is credited to Olist and linked in the README.</w:t>
      </w:r>
    </w:p>
    <w:p>
      <w:pPr>
        <w:pStyle w:val="Heading3"/>
      </w:pPr>
      <w:r>
        <w:rPr>
          <w:rFonts w:ascii="Arial" w:cs="Arial" w:eastAsia="Arial" w:hAnsi="Arial"/>
        </w:rPr>
        <w:t xml:space="preserve">How to reproduce</w:t>
      </w:r>
    </w:p>
    <w:p>
      <w:pPr>
        <w:pStyle w:val="ListParagraph"/>
        <w:numPr>
          <w:ilvl w:val="0"/>
          <w:numId w:val="3"/>
        </w:numPr>
        <w:spacing w:after="70" w:line="288"/>
      </w:pPr>
      <w:r>
        <w:rPr>
          <w:rFonts w:ascii="Arial" w:cs="Arial" w:eastAsia="Arial" w:hAnsi="Arial"/>
          <w:color w:val="26323F"/>
          <w:sz w:val="21"/>
          <w:szCs w:val="21"/>
        </w:rPr>
        <w:t xml:space="preserve">Download the Olist Brazilian E-Commerce dataset from Kaggle.</w:t>
      </w:r>
    </w:p>
    <w:p>
      <w:pPr>
        <w:pStyle w:val="ListParagraph"/>
        <w:numPr>
          <w:ilvl w:val="0"/>
          <w:numId w:val="3"/>
        </w:numPr>
        <w:spacing w:after="70" w:line="288"/>
      </w:pPr>
      <w:r>
        <w:rPr>
          <w:rFonts w:ascii="Arial" w:cs="Arial" w:eastAsia="Arial" w:hAnsi="Arial"/>
          <w:color w:val="26323F"/>
          <w:sz w:val="21"/>
          <w:szCs w:val="21"/>
        </w:rPr>
        <w:t xml:space="preserve">Create a SQL Server database named olist_ecommerce and import the eight CSV files with the same table names.</w:t>
      </w:r>
    </w:p>
    <w:p>
      <w:pPr>
        <w:pStyle w:val="ListParagraph"/>
        <w:numPr>
          <w:ilvl w:val="0"/>
          <w:numId w:val="3"/>
        </w:numPr>
        <w:spacing w:after="70" w:line="288"/>
      </w:pPr>
      <w:r>
        <w:rPr>
          <w:rFonts w:ascii="Arial" w:cs="Arial" w:eastAsia="Arial" w:hAnsi="Arial"/>
          <w:color w:val="26323F"/>
          <w:sz w:val="21"/>
          <w:szCs w:val="21"/>
        </w:rPr>
        <w:t xml:space="preserve">Run 01_setup_and_view.sql, 02_validation_queries.sql and 04_delivery_view.sql in SSMS, and compare the results with the expected counts in this report.</w:t>
      </w:r>
    </w:p>
    <w:p>
      <w:pPr>
        <w:pStyle w:val="ListParagraph"/>
        <w:numPr>
          <w:ilvl w:val="0"/>
          <w:numId w:val="3"/>
        </w:numPr>
        <w:spacing w:after="70" w:line="288"/>
      </w:pPr>
      <w:r>
        <w:rPr>
          <w:rFonts w:ascii="Arial" w:cs="Arial" w:eastAsia="Arial" w:hAnsi="Arial"/>
          <w:color w:val="26323F"/>
          <w:sz w:val="21"/>
          <w:szCs w:val="21"/>
        </w:rPr>
        <w:t xml:space="preserve">Open Ecommerce_Dashboard.pbix in Power BI Desktop and point the SQL Server data source to your instance.</w:t>
      </w:r>
    </w:p>
    <w:p>
      <w:pPr>
        <w:pStyle w:val="ListParagraph"/>
        <w:numPr>
          <w:ilvl w:val="0"/>
          <w:numId w:val="3"/>
        </w:numPr>
        <w:spacing w:after="70" w:line="288"/>
      </w:pPr>
      <w:r>
        <w:rPr>
          <w:rFonts w:ascii="Arial" w:cs="Arial" w:eastAsia="Arial" w:hAnsi="Arial"/>
          <w:color w:val="26323F"/>
          <w:sz w:val="21"/>
          <w:szCs w:val="21"/>
        </w:rPr>
        <w:t xml:space="preserve">Refresh the data and check the headline KPIs on the Key Insights page against Section 12.</w:t>
      </w:r>
    </w:p>
    <w:p>
      <w:pPr>
        <w:pStyle w:val="Heading1"/>
        <w:pageBreakBefore/>
      </w:pPr>
      <w:bookmarkStart w:name="sA" w:id="1"/>
      <w:r>
        <w:rPr>
          <w:rFonts w:ascii="Arial" w:cs="Arial" w:eastAsia="Arial" w:hAnsi="Arial"/>
        </w:rPr>
        <w:t xml:space="preserve">Appendix A: SQL Scripts</w:t>
      </w:r>
      <w:bookmarkEnd w:id="1"/>
    </w:p>
    <w:p>
      <w:pPr>
        <w:pStyle w:val="Heading3"/>
      </w:pPr>
      <w:r>
        <w:rPr>
          <w:rFonts w:ascii="Arial" w:cs="Arial" w:eastAsia="Arial" w:hAnsi="Arial"/>
        </w:rPr>
        <w:t xml:space="preserve">A.1 Fix for the category translation table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USE olist_ecommerce;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GO</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EXEC sp_rename 'dbo.product_category_name_translation.column1',</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'product_category_name', 'COLUMN';</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EXEC sp_rename 'dbo.product_category_name_translation.column2',</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'product_category_name_english', 'COLUMN';</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GO</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DELETE FROM dbo.product_category_name_translation</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WHERE product_category_name = 'product_category_name';</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GO</w:t>
      </w:r>
    </w:p>
    <w:p>
      <w:pPr>
        <w:spacing w:after="120"/>
      </w:pPr>
    </w:p>
    <w:p>
      <w:pPr>
        <w:pStyle w:val="Heading3"/>
      </w:pPr>
      <w:r>
        <w:rPr>
          <w:rFonts w:ascii="Arial" w:cs="Arial" w:eastAsia="Arial" w:hAnsi="Arial"/>
        </w:rPr>
        <w:t xml:space="preserve">A.2 Item-level view</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CREATE OR ALTER VIEW dbo.vw_order_items AS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SELECT o.order_id, c.customer_unique_id, c.customer_state, c.customer_city,</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o.order_status, o.order_purchase_timestamp,</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o.order_delivered_customer_date, o.order_estimated_delivery_date,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oi.product_id, oi.seller_id, oi.price, oi.freight_value,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COALESCE(t.product_category_name_english,</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p.product_category_name, 'unknown') AS category</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FROM dbo.olist_orders_dataset o</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JOIN dbo.olist_customers_dataset c    ON o.customer_id = c.customer_id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JOIN dbo.olist_order_items_dataset oi ON o.order_id = oi.order_id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LEFT JOIN dbo.olist_products_dataset p ON oi.product_id = p.product_id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LEFT JOIN dbo.product_category_name_translation t</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ON p.product_category_name = t.product_category_name</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WHERE o.order_status = 'delivered';</w:t>
      </w:r>
    </w:p>
    <w:p>
      <w:pPr>
        <w:spacing w:after="120"/>
      </w:pPr>
    </w:p>
    <w:p>
      <w:pPr>
        <w:pStyle w:val="Heading3"/>
      </w:pPr>
      <w:r>
        <w:rPr>
          <w:rFonts w:ascii="Arial" w:cs="Arial" w:eastAsia="Arial" w:hAnsi="Arial"/>
        </w:rPr>
        <w:t xml:space="preserve">A.3 Order-level view</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CREATE OR ALTER VIEW dbo.vw_orders AS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SELECT o.order_id, c.customer_unique_id, c.customer_state,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o.order_purchase_timestamp, o.order_delivered_customer_date,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o.order_estimated_delivery_date,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DATEDIFF(DAY, o.order_purchase_timestamp,</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o.order_delivered_customer_date) AS delivery_days,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DATEDIFF(DAY, o.order_estimated_delivery_date,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o.order_delivered_customer_date) AS delay_days,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CASE WHEN o.order_delivered_customer_date &gt;</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o.order_estimated_delivery_date THEN 1 ELSE 0 END AS is_late,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r.review_score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FROM dbo.olist_orders_dataset o</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JOIN dbo.olist_customers_dataset c ON o.customer_id = c.customer_id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LEFT JOIN (SELECT order_id, AVG(CAST(review_score AS FLOAT)) AS review_score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FROM dbo.olist_order_reviews_dataset GROUP BY order_id) r</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ON o.order_id = r.order_id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WHERE o.order_status = 'delivered'</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AND o.order_delivered_customer_date IS NOT NULL;</w:t>
      </w:r>
    </w:p>
    <w:p>
      <w:pPr>
        <w:spacing w:after="120"/>
      </w:pPr>
    </w:p>
    <w:p>
      <w:pPr>
        <w:pStyle w:val="Heading3"/>
      </w:pPr>
      <w:r>
        <w:rPr>
          <w:rFonts w:ascii="Arial" w:cs="Arial" w:eastAsia="Arial" w:hAnsi="Arial"/>
        </w:rPr>
        <w:t xml:space="preserve">A.4 Repeat customer validation</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SELECT SUM(CASE WHEN n &gt; 1 THEN 1 ELSE 0 END) AS repeat_customers,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COUNT(*) AS customers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FROM (SELECT customer_unique_id, COUNT(DISTINCT order_id) AS n</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FROM dbo.vw_order_items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WHERE order_purchase_timestamp &gt;= '2017-01-01'</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AND order_purchase_timestamp &lt;  '2018-09-01'</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GROUP BY customer_unique_id) t;</w:t>
      </w:r>
    </w:p>
    <w:p>
      <w:pPr>
        <w:pStyle w:val="Heading1"/>
        <w:pageBreakBefore/>
      </w:pPr>
      <w:bookmarkStart w:name="sB" w:id="1"/>
      <w:r>
        <w:rPr>
          <w:rFonts w:ascii="Arial" w:cs="Arial" w:eastAsia="Arial" w:hAnsi="Arial"/>
        </w:rPr>
        <w:t xml:space="preserve">Appendix B: DAX Code</w:t>
      </w:r>
      <w:bookmarkEnd w:id="1"/>
    </w:p>
    <w:p>
      <w:pPr>
        <w:pStyle w:val="Heading3"/>
      </w:pPr>
      <w:r>
        <w:rPr>
          <w:rFonts w:ascii="Arial" w:cs="Arial" w:eastAsia="Arial" w:hAnsi="Arial"/>
        </w:rPr>
        <w:t xml:space="preserve">B.1 Date table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Dim_Date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ADDCOLUMNS(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CALENDAR(DATE(2016,1,1), DATE(2018,12,31)),</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"Year", YEAR([Date]),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"Month Number", MONTH([Date]),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"Month Name", FORMAT([Date], "MMM"),</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"Year-Month", FORMAT([Date], "YYYY-MM"),</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"Quarter", "Q" &amp; QUARTER([Date])</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w:t>
      </w:r>
    </w:p>
    <w:p>
      <w:pPr>
        <w:spacing w:after="120"/>
      </w:pPr>
    </w:p>
    <w:p>
      <w:pPr>
        <w:pStyle w:val="Heading3"/>
      </w:pPr>
      <w:r>
        <w:rPr>
          <w:rFonts w:ascii="Arial" w:cs="Arial" w:eastAsia="Arial" w:hAnsi="Arial"/>
        </w:rPr>
        <w:t xml:space="preserve">B.2 Customer-level table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Dim_Customer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CALCULATETABLE(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SUMMARIZE(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Fact_OrderItems,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Fact_OrderItems[customer_unique_id],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"Orders", DISTINCTCOUNT(Fact_OrderItems[order_id]),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"Revenue", SUM(Fact_OrderItems[price]),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"First Order", MIN(Fact_OrderItems[Order 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"Last Order", MAX(Fact_OrderItems[Order 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Fact_OrderItems[Order Date] &gt;= DATE(2017,1,1),</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Fact_OrderItems[Order Date] &lt;= DATE(2018,8,31)</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w:t>
      </w:r>
    </w:p>
    <w:p>
      <w:pPr>
        <w:spacing w:after="120"/>
      </w:pPr>
    </w:p>
    <w:p>
      <w:pPr>
        <w:pStyle w:val="Heading3"/>
      </w:pPr>
      <w:r>
        <w:rPr>
          <w:rFonts w:ascii="Arial" w:cs="Arial" w:eastAsia="Arial" w:hAnsi="Arial"/>
        </w:rPr>
        <w:t xml:space="preserve">B.3 Customer columns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Customer Type = IF(Dim_Customer[Orders] &gt; 1, "Repeat", "One-time")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Recency Days = DATEDIFF(Dim_Customer[Last Order], DATE(2018,8,31), DAY)</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Customer Segment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SWITCH(</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TRUE(),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Dim_Customer[Orders] &gt; 1 &amp;&amp; Dim_Customer[Recency Days] &lt;= 180, "Loyal",</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Dim_Customer[Orders] &gt; 1, "Repeat - Lapsed",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Dim_Customer[Recency Days] &lt;= 90, "New - Recent",</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Dim_Customer[Revenue] &gt;= 200, "One-time - High Value",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"One-time - Lapsed"</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w:t>
      </w:r>
    </w:p>
    <w:p>
      <w:pPr>
        <w:spacing w:after="120"/>
      </w:pPr>
    </w:p>
    <w:p>
      <w:pPr>
        <w:pStyle w:val="Heading3"/>
      </w:pPr>
      <w:r>
        <w:rPr>
          <w:rFonts w:ascii="Arial" w:cs="Arial" w:eastAsia="Arial" w:hAnsi="Arial"/>
        </w:rPr>
        <w:t xml:space="preserve">B.4 Delivery status column (Fact_Orders)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Delivery Status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SWITCH(</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TRUE(),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Fact_Orders[is_late] = 0, "On time",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Fact_Orders[delay_days] &lt;= 3, "Late: up to 3 days",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Fact_Orders[delay_days] &lt;= 7, "Late: 4-7 days",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"Late: 8+ days"</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w:t>
      </w:r>
    </w:p>
    <w:p>
      <w:pPr>
        <w:spacing w:after="120"/>
      </w:pPr>
    </w:p>
    <w:p>
      <w:pPr>
        <w:pStyle w:val="Heading3"/>
      </w:pPr>
      <w:r>
        <w:rPr>
          <w:rFonts w:ascii="Arial" w:cs="Arial" w:eastAsia="Arial" w:hAnsi="Arial"/>
        </w:rPr>
        <w:t xml:space="preserve">B.5 Selected measures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Total Revenue = SUM(Fact_OrderItems[price])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Total Orders = DISTINCTCOUNT(Fact_OrderItems[order_id])</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AOV = DIVIDE([Total Revenue], [Total Orders])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Freight % of Revenue = DIVIDE([Total Freight], [Total Revenue])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Repeat Customers = CALCULATE(COUNTROWS(Dim_Customer), Dim_Customer[Orders] &gt; 1)</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Repeat Rate % = DIVIDE([Repeat Customers], [Customer Count])</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Late Orders = CALCULATE(COUNTROWS(Fact_Orders), Fact_Orders[is_late] = 1)</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Late Delivery % = DIVIDE([Late Orders], [Delivered Orders])</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On-time % = 1 - [Late Delivery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Low Review %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DIVIDE(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CALCULATE(COUNT(Fact_Orders[review_score]), Fact_Orders[review_score] &lt;= 2),</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COUNT(Fact_Orders[review_score]))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Latest MoM % =</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VAR v_MaxDate = MAX(Dim_Date[Date])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VAR v_CurStart = DATE(YEAR(v_MaxDate), MONTH(v_MaxDate), 1)</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VAR v_PrevStart = EDATE(v_CurStart, -1)</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VAR v_Cur = CALCULATE([Total Revenue], ALL(Dim_Date),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Dim_Date[Date] &gt;= v_CurStart, Dim_Date[Date] &lt;= v_MaxDate)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VAR v_Prev = CALCULATE([Total Revenue], ALL(Dim_Date),</w:t>
      </w:r>
    </w:p>
    <w:p>
      <w:pPr>
        <w:keepNext/>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    Dim_Date[Date] &gt;= v_PrevStart, Dim_Date[Date] &lt; v_CurStart)</w:t>
      </w:r>
    </w:p>
    <w:p>
      <w:pPr>
        <w:keepNext w:val="false"/>
        <w:keepLines/>
        <w:pBdr>
          <w:left w:val="single" w:color="1D4E89" w:sz="18" w:space="8"/>
        </w:pBdr>
        <w:shd w:fill="F4F6FA" w:color="auto" w:val="clear"/>
        <w:spacing w:after="0" w:line="240"/>
        <w:ind w:left="200"/>
      </w:pPr>
      <w:r>
        <w:rPr>
          <w:rFonts w:ascii="Courier New" w:cs="Courier New" w:eastAsia="Courier New" w:hAnsi="Courier New"/>
          <w:color w:val="1F2937"/>
          <w:sz w:val="16"/>
          <w:szCs w:val="16"/>
        </w:rPr>
        <w:t xml:space="preserve">RETURN DIVIDE(v_Cur - v_Prev, v_Prev)</w:t>
      </w:r>
    </w:p>
    <w:sectPr>
      <w:headerReference w:type="default" r:id="rId7"/>
      <w:headerReference w:type="first" r:id="rId8"/>
      <w:footerReference w:type="default" r:id="rId9"/>
      <w:footerReference w:type="first" r:id="rId10"/>
      <w:pgSz w:w="11906" w:h="16838" w:orient="portrait"/>
      <w:pgMar w:top="1300" w:right="1134" w:bottom="1200" w:left="1134"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pPr>
    <w:r>
      <w:rPr>
        <w:rFonts w:ascii="Arial" w:cs="Arial" w:eastAsia="Arial" w:hAnsi="Arial"/>
        <w:color w:val="5C6B7A"/>
        <w:sz w:val="16"/>
        <w:szCs w:val="16"/>
      </w:rPr>
      <w:t xml:space="preserve">Syed Ubedullah Basha</w:t>
    </w:r>
    <w:r>
      <w:rPr>
        <w:rFonts w:ascii="Arial" w:cs="Arial" w:eastAsia="Arial" w:hAnsi="Arial"/>
        <w:color w:val="5C6B7A"/>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6EF" w:sz="6" w:space="4"/>
      </w:pBdr>
      <w:spacing w:after="0"/>
      <w:jc w:val="right"/>
    </w:pPr>
    <w:r>
      <w:rPr>
        <w:rFonts w:ascii="Arial" w:cs="Arial" w:eastAsia="Arial" w:hAnsi="Arial"/>
        <w:color w:val="5C6B7A"/>
        <w:sz w:val="16"/>
        <w:szCs w:val="16"/>
      </w:rPr>
      <w:t xml:space="preserve">E-Commerce Sales &amp; Customer Analytics Dashboard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D4E89" w:sz="8" w:space="4"/>
      </w:pBdr>
      <w:spacing w:after="160" w:before="360"/>
      <w:outlineLvl w:val="0"/>
    </w:pPr>
    <w:rPr>
      <w:rFonts w:ascii="Arial" w:cs="Arial" w:eastAsia="Arial" w:hAnsi="Arial"/>
      <w:b/>
      <w:bCs/>
      <w:color w:val="0B2545"/>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1D4E89"/>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a6412765bf92c3bff29838260ab0be83034233b.png"/><Relationship Id="rId12" Type="http://schemas.openxmlformats.org/officeDocument/2006/relationships/image" Target="media/12e7cecfaee5a2d14cad27b20131fd4958bc2598.png"/><Relationship Id="rId13" Type="http://schemas.openxmlformats.org/officeDocument/2006/relationships/image" Target="media/de5a35c9e16ac2d4d80f31003c6c2da0209c01a2.png"/><Relationship Id="rId14" Type="http://schemas.openxmlformats.org/officeDocument/2006/relationships/image" Target="media/3390a3bf91f628855d85331d7b731d4d8384adaa.png"/><Relationship Id="rId15" Type="http://schemas.openxmlformats.org/officeDocument/2006/relationships/image" Target="media/e739fd532837004aeddb076bd07be2f891a5c76a.png"/><Relationship Id="rId16" Type="http://schemas.openxmlformats.org/officeDocument/2006/relationships/image" Target="media/3f67c4bcce30cff389039b29c068f94b3e1fc80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&amp; Customer Analytics Dashboard – Project Report</dc:title>
  <dc:creator>Syed Ubedullah Basha</dc:creator>
  <dc:description>End-to-end analytics project report using SQL Server, Excel and Power BI</dc:description>
  <cp:lastModifiedBy>Un-named</cp:lastModifiedBy>
  <cp:revision>1</cp:revision>
  <dcterms:created xsi:type="dcterms:W3CDTF">2026-10-23T12:05:45.720Z</dcterms:created>
  <dcterms:modified xsi:type="dcterms:W3CDTF">2026-10-23T12:05:45.730Z</dcterms:modified>
</cp:coreProperties>
</file>

<file path=docProps/custom.xml><?xml version="1.0" encoding="utf-8"?>
<Properties xmlns="http://schemas.openxmlformats.org/officeDocument/2006/custom-properties" xmlns:vt="http://schemas.openxmlformats.org/officeDocument/2006/docPropsVTypes"/>
</file>