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SovereignAI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PRODUCT SPECIFICATION DOCUMENT</w:t>
      </w:r>
    </w:p>
    <w:p>
      <w:pPr>
        <w:spacing w:after="60" w:before="60"/>
      </w:pPr>
      <w:r>
        <w:t xml:space="preserve"/>
      </w:r>
    </w:p>
    <w:p>
      <w:pPr>
        <w:pBdr>
          <w:bottom w:val="single" w:color="2E86AB" w:sz="12"/>
        </w:pBdr>
        <w:spacing w:after="20"/>
        <w:jc w:val="center"/>
      </w:pP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PRODUCT 07: LOSS RUN TRIAGE AGENT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Automated Loss Run Extraction, Analysis &amp; Underwriter Summary Generation</w:t>
      </w:r>
    </w:p>
    <w:p>
      <w:pPr>
        <w:spacing w:before="1000"/>
      </w:pPr>
    </w:p>
    <w:p>
      <w:pPr>
        <w:jc w:val="center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Fusion Business Solutions Inc.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Project Sovereign — Internal &amp; Confidential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Version 1.0  |  March 2026</w:t>
      </w:r>
    </w:p>
    <w:p>
      <w:pPr>
        <w:pageBreakBefore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Executive Summary</w:t>
      </w:r>
    </w:p>
    <w:p>
      <w:pPr>
        <w:pBdr>
          <w:bottom w:val="single" w:color="2E86AB" w:sz="6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The Loss Run Triage Agent ingests loss run PDFs from any carrier, extracts claims data into a standardized format, calculates frequency, severity, and loss ratios, and produces an underwriter-ready summary highlighting red flags — transforming a 2–4 hour analyst task into a 5-minute automated workflow.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Loss runs are required for virtually every commercial lines renewal and new business submission. The manual process of reading 5 years of loss runs across multiple carriers and distilling them into a coherent underwriter narrative is one of the most time-consuming and error-prone tasks in commercial lines account management.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Product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Loss Run Triage Agent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Product 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SV-LRT-07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Current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Planned — greenfield build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Loss run PDFs from any carrier (5-year history standard; 3-year minimum)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Underwriter summary PDF, structured claims JSON, red flag report, trend analysis charts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Lines Supported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GL, Commercial Auto, WC, Property, Professional Liability, Umbrella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Key Integration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Feeds into Proposal Generator + Renewal Intelligence Agent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Real-World Workflow</w:t>
      </w:r>
    </w:p>
    <w:p>
      <w:pPr>
        <w:pBdr>
          <w:bottom w:val="single" w:color="2E86AB" w:sz="6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 commercial lines account manager is preparing a renewal submission for an insured with complex loss history. Current manual process: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Request loss runs from 3 carriers covering 5 years. Wait 3–7 days for each carrier to respond (this is an industry problem — the agent cannot solve this, only speed up what happens after receipt).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Receive 5 PDFs in different formats — each carrier has its own loss run format with different column names, date formats, and summary structures.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Manually calculate: total incurred per year, average claim size, frequency (claims per $1M premium), severity (average claim cost), loss ratio (incurred / earned premium).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Identify large losses (&gt;$25K), open claims, and claims with reserves escalating over time — all manual scanning.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Write a narrative for the underwriter: 'The account had 14 claims over 5 years. 12 were slip-and-fall under $5K. The two large losses were...'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Check for trends: Is frequency increasing? Are reserves being released or added?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Time cost: 2–4 hours for a complex 5-carrier, 5-year loss run analysis. Error rate: Medium-high — calculation errors in manual spreadsheets are common. Underwriters penalize poorly organized submissions.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Product Flow &amp; Agent Architecture</w:t>
      </w:r>
    </w:p>
    <w:p>
      <w:pPr>
        <w:pBdr>
          <w:bottom w:val="single" w:color="2E86AB" w:sz="6" w:space="1"/>
        </w:pBdr>
        <w:spacing w:after="160" w:before="1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3.1 Loss Run Processing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200"/>
        <w:gridCol w:w="48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 / Technology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1. Ingestion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Loss run PDFs (1–10 files per job)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S3 upload + Lambda trigger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Job created; files stored per tenant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2. OCR + Parse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PDF files (often scanned / carrier-specific format)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AWS Textract (async) + PyMuPDF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Raw text with table structure preserved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3. Carrier Detection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Raw 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Classification LLM — identifies carrier, LOB, policy period from header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Carrier ID + policy period metadata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4. Claims Extraction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Raw text + carrier metadata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Gemini 2.5 Flash with carrier-aware prompts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ClaimsArray JSON: date, type, description, incurred, paid, reserve, status (open/closed)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5. Data Normalization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ClaimsArray JSON (multi-carrier)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Schema normalization engine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StandardizedClaimsDatabase JSON (all carriers, all years)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6. Statistical Analysis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StandardizedClaimsDatabase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Python analytics (pandas)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Frequency, severity, loss ratio, trend analysis, large loss identification, open claim reserves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7. Red Flag Detection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Analytics output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Rules engine + LLM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RedFlagReport: large losses, increasing frequency, escalating reserves, open claims, concentration risk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8. Underwriter Summary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All above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LLM writer (Claude Sonnet 4) + template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Narrative underwriter summary + data tables + trend charts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9. HITL 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Draft summary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Web UI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Account Manager reviews, edits narrative, approves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10. Output Delivery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Approved summary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PDF generator + AMS activity write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Summary PDF + AMS activity with attachment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3.2 Statistical Metrics Calculated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Underwriter Significance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Loss Frequency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Number of claims / $1M earned premium (annualized)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Primary underwriting signal — frequency carriers vs. severity carriers behave differently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Loss Severity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Total incurred losses / number of claims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High severity = large loss potential; low frequency/high severity = catastrophic exposure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Loss Ratio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Total incurred losses / earned premium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The core profitability metric. &gt;65% triggers underwriter concern for most lines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Pure Loss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Total incurred / total exposure (payroll for WC, revenue for GL)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Used for WC experience modification and GL rating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3-Year vs 5-Year Trend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YoY change in frequency and severity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Improving vs. deteriorating trend dramatically affects renewal pricing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Open Reserve Analysis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Total outstanding reserves / total incurred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High reserve-to-paid ratio = potential for adverse development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Large Loss Ratio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Losses &gt;$25K as % of total incurred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One large loss can distort frequency/severity metrics — must be disclosed separately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Claims Aging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Average days from occurrence to close by claim 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Slow-closing claims (&gt;2 years for GL slip-and-fall) signal litigation exposure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3.3 Red Flag Taxonomy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The system flags the following conditions for explicit disclosure in the underwriter summary: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Red Flag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Condition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 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Large Single Loss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&gt;$25K on any single claim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Describe loss in narrative; include status, subrogation potential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Deteriorating Frequency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&gt;20% increase in claims frequency year-over-year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Explain trend; note risk management actions taken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Open Claim with Growing Reserve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Reserve increased &gt;25% since last evaluation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Flag for underwriter disclosure; note current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Litigation Indicator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Claim description includes 'suit', 'attorney', 'legal', 'lawsuit'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Highlight in summary; producer must provide narrative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Catastrophic Loss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Any single claim &gt;$100K or total annual losses &gt;loss ratio 85%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Full disclosure required; remarket may be appropriate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Pattern Concentration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&gt;3 claims of same type (e.g., 4 slip-and-falls)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Pattern identification; recommend risk management intervention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Claims Within Last 90 Days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Recent claims not yet fully developed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Disclose; note reserves may change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Missing Years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Loss run gap in 5-year history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Flag gap; request from carrier or note in submission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Human-in-the-Loop (HITL) Design</w:t>
      </w:r>
    </w:p>
    <w:p>
      <w:pPr>
        <w:pBdr>
          <w:bottom w:val="single" w:color="2E86AB" w:sz="6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No data is written to any AMS or transmitted to any third party without explicit human approval. This is a platform-wide invariant across all SovereignAI products.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5.1 Approval Role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2000"/>
        <w:gridCol w:w="32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Minimum 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Mechanism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Escalation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View AI-generated output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Any authenticated 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Automatic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Download / share output document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CSR or above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One-click confirm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Write informational note to AMS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CSR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Single YES confirmation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Account Manager if uncertain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Write recommendation / advice note to AMS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Account 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Two-step: preview + confirm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Producer countersign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Override or dismiss AI finding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Account 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Mandatory written reason; permanently logged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Flagged to QA queue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Trigger any carrier communication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Producer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E&amp;O checklist + explicit confirm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Supervisor countersign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Mark item 'No Action — Accepted Risk'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Producer or 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Written reason required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Supervisor notified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5.2 HITL Queue Design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All AI outputs queue before any downstream action — no auto-push exceptions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Items color-coded: Critical (red / immediate), Warning (amber / 24hr SLA), Informational (green)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Each item shows: AI finding, source text citation, confidence score, recommended action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All queue interactions logged immutably: userId, timestamp, action, reason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SLA breach alerts via email + platform notification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Mobile-responsive queue — approvals available from any device</w:t>
      </w:r>
    </w:p>
    <w:p>
      <w:pPr>
        <w:spacing w:after="60" w:before="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Testing &amp; Quality Assurance</w:t>
      </w:r>
    </w:p>
    <w:p>
      <w:pPr>
        <w:pBdr>
          <w:bottom w:val="single" w:color="2E86AB" w:sz="6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Is Tested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 Criteria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Unit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Business logic, schema validators, calculation functions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Jest + PyTest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100% coverage on core business logic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LLM Accuracy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Extraction and analysis accuracy on golden dataset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200+ annotated real policies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&gt;97% field-level accuracy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Integration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API endpoints, AMS operations, queue processing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Postman + Newman (CI)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All critical paths pass; zero cross-tenant leakage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RPA Reliability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Playwright scripts complete target AMS navigation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Headless browser suite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&gt;99% completion; screenshot verification every step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Load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System performance under concurrent 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k6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P95 &lt;5s; P99 &lt;10s; no data corruption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Security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OWASP Top 10, tenant isolation, credential handling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OWASP ZAP + pen test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Zero critical/high findings before production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Compliance Audit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Audit logs, data retention, CCPA/PIPEDA deletion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Manual checklist audit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All mandatory fields present; deletion verified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E&amp;O Scenario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Real historical E&amp;O scenarios — does system find the gap?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10 anonymized real cases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Detects causative gap in 9/10 cases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Hosting &amp; Deployment Architecture</w:t>
      </w:r>
    </w:p>
    <w:p>
      <w:pPr>
        <w:pBdr>
          <w:bottom w:val="single" w:color="2E86AB" w:sz="6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C"/>
                <w:sz w:val="20"/>
                <w:szCs w:val="20"/>
              </w:rPr>
              <w:t xml:space="preserve">DEPLOYMENT MODEL: Single codebase with DEPLOYMENT_MODE environment variable switching between SaaS (AWS-hosted, cloud LLMs) and Enterprise (client infrastructure, Llama 3.3 on-premise). This is the GitLab/Mattermost pattern — one codebase, two deployment targets.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9.1 SaaS Deployment (AWS)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 Design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CloudFront + S3 (React SPA)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Multi-region CDN; automatic failover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API Gateway + Lambda (Node.js 20)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Multi-AZ; auto-scale to 10,000 concurrent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Processing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SQS + Lambda Workers (Python)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Per-tenant queue; DLQ; 3x retry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MongoDB Atlas M30+ (multi-AZ)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3-node replica set; &lt;30s automatic failover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Storage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S3 Standard-IA (AES-256)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99.999999999% durability; versioned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Cache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ElastiCache Redis (cluster mode)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Multi-AZ; auto-failover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Secrets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AWS Secrets Manager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Per-tenant isolation; 90-day auto-rotation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Auth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AWS Cognito + MFA + SAML SSO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SOC 2 compliant; SSO-ready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Monitoring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CloudWatch + Grafana + PagerDuty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99.9% uptime SLA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9.2 Enterprise Deployment (On-Premise)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Container Orchestration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Kubernetes via Helm chart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Single-command deploy on client K8s (EKS / AKS / bare metal)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LLM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vLLM + Llama 3.3 70B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Min GPU: 2x A100 80GB; no data leaves client infrastructure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MongoDB Community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Client-managed; FBSPL provides backup scripts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MinIO (S3-compatible)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Air-gapped; client-managed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Keycloak (OIDC/SAML)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Integrates with client Active Directory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Monitoring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Prometheus + Grafana (OSS)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All metrics stay within client infrastructure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10. Compliance, Audit &amp; Legal Framework</w:t>
      </w:r>
    </w:p>
    <w:p>
      <w:pPr>
        <w:pBdr>
          <w:bottom w:val="single" w:color="2E86AB" w:sz="6" w:space="1"/>
        </w:pBdr>
        <w:spacing w:after="160" w:before="1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10.1 Applicable Regulatory Frameworks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5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Framework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Jurisdiction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Requirement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SOC 2 Type II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US (all states)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Documented security controls; annual third-party audit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AWS controls + custom policy documentation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NAIC MDL-668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46 US states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Information security program; 72-hour breach notification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CloudWatch detection + automated breach workflow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CCPA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California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Right to deletion, data portability, opt-out of sale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Per-tenant deletion API + export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PIPEDA + Quebec Law 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Canada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Privacy by design; consent; 72-hour breach notification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Consent capture + Canada data residency (ca-central-1)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E&amp;O Documentation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All jurisdictions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Audit trail of all coverage advice and client communications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Immutable 7-year audit log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HIPAA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US Federal (if health lines)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PHI protection; BAA with cloud providers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AWS HIPAA-eligible services; BAA executed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ACORD Data Standards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US + Canada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Standard data formats for policy exchange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All data mapped to ACORD schema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State Insurance Regulations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All 50 US + CA provinces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 unauthorized practice of insurance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Mandatory disclaimer on all AI outputs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10.2 Mandatory Disclaimer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C"/>
                <w:sz w:val="20"/>
                <w:szCs w:val="20"/>
              </w:rPr>
              <w:t xml:space="preserve">DISCLAIMER: AI-generated output from SovereignAI is intended solely as a decision-support tool for licensed insurance professionals. It does not constitute insurance advice or a coverage determination. Licensed professionals are solely responsible for all coverage decisions and client communications. All findings must be independently verified before action is taken.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10.3 Audit Log Fields (All Products)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Every product shares the same audit schema: auditId, tenantId, userId, userRole, timestamp (UTC), actionType, jobId, llmModel, llmProvider, inputHash (SHA-256), outputHash (SHA-256), amsTarget, amsOperationType (API/RPA/None), overrideReason, ipAddress. All fields are immutable once written. Retention: 7 years minimum.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11. Team &amp; Timeline</w:t>
      </w:r>
    </w:p>
    <w:p>
      <w:pPr>
        <w:pBdr>
          <w:bottom w:val="single" w:color="2E86AB" w:sz="6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69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Phase 1: OCR + Extraction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Weeks 1–3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Textract pipeline, carrier-aware extraction prompts, 20-carrier format library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Phase 2: Analytics Engine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Weeks 5–7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Statistical calculations, trend analysis, large loss identification, red flag rules engine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Phase 3: Summary Generation + HITL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Weeks 8–11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LLM narrative generation, underwriter summary template, HITL review UI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Phase 4: Integration + Delivery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Weeks 12–15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Proposal Generator feed, Renewal Intelligence integration, AMS activity write, PDF output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Phase 5: Charts + Launch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Weeks 16–18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Trend charts (Chart.js), comparison visualizations, carrier format library expansion, launch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Team: 1 Backend Engineer, 1 LLM Engineer (shared), 0.5 Data/Analytics Engineer, 0.5 Frontend (shared). ~2.5 FTE dedicated.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Document prepared by: SovereignAI Product Team | Classification: Internal — Confidential | Version 1.0 | March 2026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/>
      </w:pBdr>
      <w:tabs>
        <w:tab w:val="right" w:pos="9360"/>
      </w:tabs>
    </w:pPr>
    <w:r>
      <w:rPr>
        <w:rFonts w:ascii="Arial" w:cs="Arial" w:eastAsia="Arial" w:hAnsi="Arial"/>
        <w:color w:val="555555"/>
        <w:sz w:val="16"/>
        <w:szCs w:val="16"/>
      </w:rPr>
      <w:t xml:space="preserve">SovereignAI — Project Sovereign | Internal &amp;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B3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2026-03-17T06:03:32.576Z</dcterms:created>
  <dcterms:modified xsi:type="dcterms:W3CDTF">2026-03-17T06:03:32.576Z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