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200" w:after="80"/>
        <w:jc w:val="center"/>
      </w:pPr>
      <w:r>
        <w:rPr>
          <w:rFonts w:ascii="Calibri" w:hAnsi="Calibri"/>
          <w:b/>
          <w:i w:val="0"/>
          <w:color w:val="1A3A5C"/>
          <w:sz w:val="44"/>
        </w:rPr>
        <w:t>Pakistan E-Commerce Review Intelligence Platform</w:t>
      </w:r>
    </w:p>
    <w:p>
      <w:pPr>
        <w:spacing w:before="80" w:after="80"/>
        <w:jc w:val="center"/>
      </w:pPr>
      <w:r>
        <w:rPr>
          <w:rFonts w:ascii="Calibri" w:hAnsi="Calibri"/>
          <w:b w:val="0"/>
          <w:i/>
          <w:color w:val="276FBF"/>
          <w:sz w:val="26"/>
        </w:rPr>
        <w:t>Aspect-Based Sentiment Analysis &amp; Fake Review Detection</w:t>
      </w:r>
    </w:p>
    <w:p>
      <w:pPr>
        <w:spacing w:before="80" w:after="80"/>
        <w:jc w:val="center"/>
      </w:pPr>
      <w:r>
        <w:rPr>
          <w:rFonts w:ascii="Calibri" w:hAnsi="Calibri"/>
          <w:b w:val="0"/>
          <w:i w:val="0"/>
          <w:color w:val="777777"/>
          <w:sz w:val="22"/>
        </w:rPr>
        <w:t>Course Project Report  ·  Natural Language Processing</w:t>
      </w:r>
    </w:p>
    <w:p>
      <w:pPr>
        <w:spacing w:before="80" w:after="320"/>
        <w:jc w:val="center"/>
      </w:pPr>
      <w:r>
        <w:rPr>
          <w:rFonts w:ascii="Calibri" w:hAnsi="Calibri"/>
          <w:b/>
          <w:i w:val="0"/>
          <w:color w:val="1A3A5C"/>
          <w:sz w:val="24"/>
        </w:rPr>
        <w:t>PART 2 — Business Report</w:t>
      </w:r>
    </w:p>
    <w:p>
      <w:pPr>
        <w:spacing w:after="280"/>
        <w:pBdr>
          <w:bottom w:val="single" w:sz="12" w:space="1" w:color="1A3A5C"/>
        </w:pBdr>
      </w:pPr>
    </w:p>
    <w:p>
      <w:pPr>
        <w:spacing w:before="360" w:after="80"/>
        <w:pBdr>
          <w:bottom w:val="single" w:sz="6" w:space="4" w:color="276FBF"/>
        </w:pBdr>
      </w:pPr>
      <w:r>
        <w:rPr>
          <w:rFonts w:ascii="Calibri" w:hAnsi="Calibri"/>
          <w:b/>
          <w:i w:val="0"/>
          <w:color w:val="1A3A5C"/>
          <w:sz w:val="32"/>
        </w:rPr>
        <w:t>1.  Market Relevance &amp; The Need</w:t>
      </w:r>
    </w:p>
    <w:p>
      <w:pPr>
        <w:spacing w:before="240" w:after="60"/>
      </w:pPr>
      <w:r>
        <w:rPr>
          <w:rFonts w:ascii="Calibri" w:hAnsi="Calibri"/>
          <w:b/>
          <w:i w:val="0"/>
          <w:color w:val="276FBF"/>
          <w:sz w:val="26"/>
        </w:rPr>
        <w:t>1.1  Pakistan's E-Commerce Explosion</w:t>
      </w:r>
    </w:p>
    <w:p>
      <w:pPr>
        <w:spacing w:before="0" w:after="120"/>
        <w:jc w:val="both"/>
      </w:pPr>
      <w:r>
        <w:rPr>
          <w:rFonts w:ascii="Calibri" w:hAnsi="Calibri"/>
          <w:b w:val="0"/>
          <w:i w:val="0"/>
          <w:color w:val="2C2C2C"/>
          <w:sz w:val="22"/>
        </w:rPr>
        <w:t>Pakistan's e-commerce sector is no longer an emerging trend — it is a rapidly maturing industry with serious commercial stakes. According to Payment and Commerce Market Intelligence (PCMI), the sector was valued at USD 7.7 billion in 2024, with retail e-commerce alone accounting for USD 5.4 billion of that figure. A 17% compound annual growth rate is projected through 2027, positioning Pakistan as one of South Asia's most dynamic digital commerce markets. Independent forecasts from ResearchAndMarkets extend this trajectory further, projecting the market will reach USD 20.41 billion by 2029.</w:t>
      </w:r>
    </w:p>
    <w:p>
      <w:pPr>
        <w:spacing w:before="0" w:after="120"/>
        <w:jc w:val="both"/>
      </w:pPr>
      <w:r>
        <w:rPr>
          <w:rFonts w:ascii="Calibri" w:hAnsi="Calibri"/>
          <w:b w:val="0"/>
          <w:i w:val="0"/>
          <w:color w:val="2C2C2C"/>
          <w:sz w:val="22"/>
        </w:rPr>
        <w:t>At the centre of this growth sits Daraz.pk — a wholly-owned subsidiary of Alibaba Group and the country's dominant marketplace. As of late 2024, Daraz hosts 34,500 active sellers, serves 9.4 million active users monthly, and generated approximately USD 926 million in revenue in 2025. Every one of those 34,500 sellers is a potential customer for a product that helps them understand their customers better.</w:t>
      </w:r>
    </w:p>
    <w:p>
      <w:pPr>
        <w:spacing w:before="240" w:after="60"/>
      </w:pPr>
      <w:r>
        <w:rPr>
          <w:rFonts w:ascii="Calibri" w:hAnsi="Calibri"/>
          <w:b/>
          <w:i w:val="0"/>
          <w:color w:val="276FBF"/>
          <w:sz w:val="26"/>
        </w:rPr>
        <w:t>1.2  The Fake Review Crisis — A Worsening Global Problem</w:t>
      </w:r>
    </w:p>
    <w:p>
      <w:pPr>
        <w:spacing w:before="0" w:after="120"/>
        <w:jc w:val="both"/>
      </w:pPr>
      <w:r>
        <w:rPr>
          <w:rFonts w:ascii="Calibri" w:hAnsi="Calibri"/>
          <w:b w:val="0"/>
          <w:i w:val="0"/>
          <w:color w:val="2C2C2C"/>
          <w:sz w:val="22"/>
        </w:rPr>
        <w:t>The fake review problem has reached a scale that demands dedicated tooling. Research compiled by Capital One Shopping found that fake reviews cost online consumers an estimated USD 770.7 billion in unwanted purchases in 2025, a figure projected to approach USD 1.07 trillion by 2030. Even on the world's most moderated platform — Amazon — studies identified 43% of reviews as fake or inauthentic in 2023. On less-regulated emerging-market platforms, the proportion is commonly higher.</w:t>
      </w:r>
    </w:p>
    <w:p>
      <w:pPr>
        <w:spacing w:before="0" w:after="120"/>
        <w:jc w:val="both"/>
      </w:pPr>
      <w:r>
        <w:rPr>
          <w:rFonts w:ascii="Calibri" w:hAnsi="Calibri"/>
          <w:b w:val="0"/>
          <w:i w:val="0"/>
          <w:color w:val="2C2C2C"/>
          <w:sz w:val="22"/>
        </w:rPr>
        <w:t>The consumer-facing response to this crisis — tools like Fakespot and ReviewMeta — has effectively collapsed. Fakespot, which had over 10 million users, was shut down on 1 July 2025 when Mozilla discontinued support. ReviewMeta went offline at the start of 2026 with no official comment. The two most widely used fake review detection tools in the world are now both gone. No equivalent B2B-focused tool exists for Daraz or any Pakistani platform. This is not merely a gap — it is a vacuum.</w:t>
      </w:r>
    </w:p>
    <w:p>
      <w:pPr>
        <w:spacing w:before="240" w:after="60"/>
      </w:pPr>
      <w:r>
        <w:rPr>
          <w:rFonts w:ascii="Calibri" w:hAnsi="Calibri"/>
          <w:b/>
          <w:i w:val="0"/>
          <w:color w:val="276FBF"/>
          <w:sz w:val="26"/>
        </w:rPr>
        <w:t>1.3  Why Sellers Cannot Afford to Ignore This</w:t>
      </w:r>
    </w:p>
    <w:p>
      <w:pPr>
        <w:pStyle w:val="ListBullet"/>
        <w:spacing w:before="20" w:after="60"/>
        <w:ind w:left="360"/>
      </w:pPr>
      <w:r>
        <w:rPr>
          <w:rFonts w:ascii="Calibri" w:hAnsi="Calibri"/>
          <w:b/>
          <w:i w:val="0"/>
          <w:color w:val="1A3A5C"/>
          <w:sz w:val="22"/>
        </w:rPr>
        <w:t xml:space="preserve">Revenue at Stake: </w:t>
      </w:r>
      <w:r>
        <w:rPr>
          <w:rFonts w:ascii="Calibri" w:hAnsi="Calibri"/>
          <w:b w:val="0"/>
          <w:i w:val="0"/>
          <w:color w:val="2C2C2C"/>
          <w:sz w:val="22"/>
        </w:rPr>
        <w:t>A single fraudulent extra star rating has been shown to raise demand for a product by up to 38%. Conversely, over half of all consumers report they will not purchase a product if they suspect its reviews are fake — meaning a seller whose review corpus is corrupted by competitors' fake negative reviews faces direct, measurable revenue loss.</w:t>
      </w:r>
    </w:p>
    <w:p>
      <w:pPr>
        <w:pStyle w:val="ListBullet"/>
        <w:spacing w:before="20" w:after="60"/>
        <w:ind w:left="360"/>
      </w:pPr>
      <w:r>
        <w:rPr>
          <w:rFonts w:ascii="Calibri" w:hAnsi="Calibri"/>
          <w:b/>
          <w:i w:val="0"/>
          <w:color w:val="1A3A5C"/>
          <w:sz w:val="22"/>
        </w:rPr>
        <w:t xml:space="preserve">Competitive Distortion: </w:t>
      </w:r>
      <w:r>
        <w:rPr>
          <w:rFonts w:ascii="Calibri" w:hAnsi="Calibri"/>
          <w:b w:val="0"/>
          <w:i w:val="0"/>
          <w:color w:val="2C2C2C"/>
          <w:sz w:val="22"/>
        </w:rPr>
        <w:t>Sellers who cannot distinguish genuine feedback from manipulated content are operating blind. They may invest in improving aspects of their product that customers have never actually complained about, while genuine structural issues go unaddressed.</w:t>
      </w:r>
    </w:p>
    <w:p>
      <w:pPr>
        <w:pStyle w:val="ListBullet"/>
        <w:spacing w:before="20" w:after="60"/>
        <w:ind w:left="360"/>
      </w:pPr>
      <w:r>
        <w:rPr>
          <w:rFonts w:ascii="Calibri" w:hAnsi="Calibri"/>
          <w:b/>
          <w:i w:val="0"/>
          <w:color w:val="1A3A5C"/>
          <w:sz w:val="22"/>
        </w:rPr>
        <w:t xml:space="preserve">Platform Trust Erosion: </w:t>
      </w:r>
      <w:r>
        <w:rPr>
          <w:rFonts w:ascii="Calibri" w:hAnsi="Calibri"/>
          <w:b w:val="0"/>
          <w:i w:val="0"/>
          <w:color w:val="2C2C2C"/>
          <w:sz w:val="22"/>
        </w:rPr>
        <w:t>65% of consumers globally report they do not trust ratings on e-commerce websites. In markets like Pakistan where consumer trust in digital commerce is still being built, the cost of this skepticism is disproportionately high.</w:t>
      </w:r>
    </w:p>
    <w:p>
      <w:pPr>
        <w:pStyle w:val="ListBullet"/>
        <w:spacing w:before="20" w:after="60"/>
        <w:ind w:left="360"/>
      </w:pPr>
      <w:r>
        <w:rPr>
          <w:rFonts w:ascii="Calibri" w:hAnsi="Calibri"/>
          <w:b/>
          <w:i w:val="0"/>
          <w:color w:val="1A3A5C"/>
          <w:sz w:val="22"/>
        </w:rPr>
        <w:t xml:space="preserve">No Urdu-Aware Alternative Exists: </w:t>
      </w:r>
      <w:r>
        <w:rPr>
          <w:rFonts w:ascii="Calibri" w:hAnsi="Calibri"/>
          <w:b w:val="0"/>
          <w:i w:val="0"/>
          <w:color w:val="2C2C2C"/>
          <w:sz w:val="22"/>
        </w:rPr>
        <w:t>A significant volume of Pakistani reviews is written in Roman Urdu, a code-mixed script that all existing English-centric NLP tools fail to process. This means the market is underserved not just commercially but linguistically.</w:t>
      </w:r>
    </w:p>
    <w:p>
      <w:pPr>
        <w:spacing w:before="360" w:after="80"/>
        <w:pBdr>
          <w:bottom w:val="single" w:sz="6" w:space="4" w:color="276FBF"/>
        </w:pBdr>
      </w:pPr>
      <w:r>
        <w:rPr>
          <w:rFonts w:ascii="Calibri" w:hAnsi="Calibri"/>
          <w:b/>
          <w:i w:val="0"/>
          <w:color w:val="1A3A5C"/>
          <w:sz w:val="32"/>
        </w:rPr>
        <w:t>2.  Target Market &amp; Customer Segments</w:t>
      </w:r>
    </w:p>
    <w:p>
      <w:pPr>
        <w:spacing w:before="0" w:after="120"/>
        <w:jc w:val="both"/>
      </w:pPr>
      <w:r>
        <w:rPr>
          <w:rFonts w:ascii="Calibri" w:hAnsi="Calibri"/>
          <w:b w:val="0"/>
          <w:i w:val="0"/>
          <w:color w:val="2C2C2C"/>
          <w:sz w:val="22"/>
        </w:rPr>
        <w:t>The platform targets B2B customers — businesses that sell on or operate within Pakistan's e-commerce ecosystem — rather than end consumers. The addressable market is segmented into three tiers of increasing size and decreasing willingness to pay per seat.</w:t>
      </w:r>
    </w:p>
    <w:p>
      <w:pPr>
        <w:spacing w:before="240" w:after="60"/>
      </w:pPr>
      <w:r>
        <w:rPr>
          <w:rFonts w:ascii="Calibri" w:hAnsi="Calibri"/>
          <w:b/>
          <w:i w:val="0"/>
          <w:color w:val="276FBF"/>
          <w:sz w:val="26"/>
        </w:rPr>
        <w:t>2.1  Primary Segment — Daraz Top Sellers &amp; Brands</w:t>
      </w:r>
    </w:p>
    <w:p>
      <w:pPr>
        <w:spacing w:before="0" w:after="120"/>
        <w:jc w:val="both"/>
      </w:pPr>
      <w:r>
        <w:rPr>
          <w:rFonts w:ascii="Calibri" w:hAnsi="Calibri"/>
          <w:b w:val="0"/>
          <w:i w:val="0"/>
          <w:color w:val="2C2C2C"/>
          <w:sz w:val="22"/>
        </w:rPr>
        <w:t>This is the beachhead segment: established sellers on Daraz.pk with significant product catalogues, meaningful review volumes, and existing budgets for seller tools. These are businesses generating PKR 5–50 million+ per month in GMV. They are sophisticated enough to understand what review intelligence is worth, and they feel the fake review problem most acutely. Daraz's 34,500 sellers provide a large initial pool, and the platform's top 10–15% (approximately 3,500–5,000 sellers) constitute an immediately reachable TAM.</w:t>
      </w:r>
    </w:p>
    <w:p>
      <w:pPr>
        <w:spacing w:before="240" w:after="60"/>
      </w:pPr>
      <w:r>
        <w:rPr>
          <w:rFonts w:ascii="Calibri" w:hAnsi="Calibri"/>
          <w:b/>
          <w:i w:val="0"/>
          <w:color w:val="276FBF"/>
          <w:sz w:val="26"/>
        </w:rPr>
        <w:t>2.2  Secondary Segment — Brands Selling on Multiple Channels</w:t>
      </w:r>
    </w:p>
    <w:p>
      <w:pPr>
        <w:spacing w:before="0" w:after="120"/>
        <w:jc w:val="both"/>
      </w:pPr>
      <w:r>
        <w:rPr>
          <w:rFonts w:ascii="Calibri" w:hAnsi="Calibri"/>
          <w:b w:val="0"/>
          <w:i w:val="0"/>
          <w:color w:val="2C2C2C"/>
          <w:sz w:val="22"/>
        </w:rPr>
        <w:t>As the platform expands its scraper layer to cover Shopify Pakistan stores, OLX, and potentially Amazon.ae (UAE-based Pakistani exporters), a second segment emerges: brands that maintain a presence across multiple marketplaces and need unified review intelligence in one dashboard. These customers command higher subscription tiers due to the multi-platform value delivered.</w:t>
      </w:r>
    </w:p>
    <w:p>
      <w:pPr>
        <w:spacing w:before="240" w:after="60"/>
      </w:pPr>
      <w:r>
        <w:rPr>
          <w:rFonts w:ascii="Calibri" w:hAnsi="Calibri"/>
          <w:b/>
          <w:i w:val="0"/>
          <w:color w:val="276FBF"/>
          <w:sz w:val="26"/>
        </w:rPr>
        <w:t>2.3  Tertiary Segment — Agencies &amp; Consultants</w:t>
      </w:r>
    </w:p>
    <w:p>
      <w:pPr>
        <w:spacing w:before="0" w:after="120"/>
        <w:jc w:val="both"/>
      </w:pPr>
      <w:r>
        <w:rPr>
          <w:rFonts w:ascii="Calibri" w:hAnsi="Calibri"/>
          <w:b w:val="0"/>
          <w:i w:val="0"/>
          <w:color w:val="2C2C2C"/>
          <w:sz w:val="22"/>
        </w:rPr>
        <w:t>Digital marketing agencies and e-commerce consultants in Pakistan who manage multiple seller accounts represent a high-value reseller channel. A single agency managing 20 brand accounts can represent 20 subscriptions, acquired through a single B2B relationship. An agency-tier plan with white-label options and multi-account management would serve this segment.</w:t>
      </w:r>
    </w:p>
    <w:p>
      <w:pPr>
        <w:spacing w:before="240" w:after="60"/>
      </w:pPr>
      <w:r>
        <w:rPr>
          <w:rFonts w:ascii="Calibri" w:hAnsi="Calibri"/>
          <w:b/>
          <w:i w:val="0"/>
          <w:color w:val="276FBF"/>
          <w:sz w:val="26"/>
        </w:rPr>
        <w:t>2.4  Addressable Market Sizing</w:t>
      </w:r>
    </w:p>
    <w:tbl>
      <w:tblPr>
        <w:tblStyle w:val="TableGrid"/>
        <w:tblW w:type="auto" w:w="0"/>
        <w:tblLook w:firstColumn="1" w:firstRow="1" w:lastColumn="0" w:lastRow="0" w:noHBand="0" w:noVBand="1" w:val="04A0"/>
      </w:tblPr>
      <w:tblGrid>
        <w:gridCol w:w="2232"/>
        <w:gridCol w:w="2232"/>
        <w:gridCol w:w="2232"/>
        <w:gridCol w:w="2232"/>
      </w:tblGrid>
      <w:tr>
        <w:tc>
          <w:tcPr>
            <w:tcW w:type="dxa" w:w="5"/>
            <w:shd w:val="clear" w:color="auto" w:fill="1A3A5C"/>
            <w:tcMar>
              <w:top w:w="80" w:type="dxa"/>
              <w:bottom w:w="80" w:type="dxa"/>
              <w:left w:w="120" w:type="dxa"/>
              <w:right w:w="120" w:type="dxa"/>
            </w:tcMar>
          </w:tcPr>
          <w:p>
            <w:pPr>
              <w:jc w:val="center"/>
            </w:pPr>
            <w:r>
              <w:rPr>
                <w:rFonts w:ascii="Calibri" w:hAnsi="Calibri"/>
                <w:b/>
                <w:i w:val="0"/>
                <w:color w:val="FFFFFF"/>
                <w:sz w:val="20"/>
              </w:rPr>
              <w:t>Segment</w:t>
            </w:r>
          </w:p>
        </w:tc>
        <w:tc>
          <w:tcPr>
            <w:tcW w:type="dxa" w:w="3"/>
            <w:shd w:val="clear" w:color="auto" w:fill="1A3A5C"/>
            <w:tcMar>
              <w:top w:w="80" w:type="dxa"/>
              <w:bottom w:w="80" w:type="dxa"/>
              <w:left w:w="120" w:type="dxa"/>
              <w:right w:w="120" w:type="dxa"/>
            </w:tcMar>
          </w:tcPr>
          <w:p>
            <w:pPr>
              <w:jc w:val="center"/>
            </w:pPr>
            <w:r>
              <w:rPr>
                <w:rFonts w:ascii="Calibri" w:hAnsi="Calibri"/>
                <w:b/>
                <w:i w:val="0"/>
                <w:color w:val="FFFFFF"/>
                <w:sz w:val="20"/>
              </w:rPr>
              <w:t>Est. Addressable</w:t>
              <w:br/>
              <w:t>Accounts</w:t>
            </w:r>
          </w:p>
        </w:tc>
        <w:tc>
          <w:tcPr>
            <w:tcW w:type="dxa" w:w="3"/>
            <w:shd w:val="clear" w:color="auto" w:fill="1A3A5C"/>
            <w:tcMar>
              <w:top w:w="80" w:type="dxa"/>
              <w:bottom w:w="80" w:type="dxa"/>
              <w:left w:w="120" w:type="dxa"/>
              <w:right w:w="120" w:type="dxa"/>
            </w:tcMar>
          </w:tcPr>
          <w:p>
            <w:pPr>
              <w:jc w:val="center"/>
            </w:pPr>
            <w:r>
              <w:rPr>
                <w:rFonts w:ascii="Calibri" w:hAnsi="Calibri"/>
                <w:b/>
                <w:i w:val="0"/>
                <w:color w:val="FFFFFF"/>
                <w:sz w:val="20"/>
              </w:rPr>
              <w:t>Target</w:t>
              <w:br/>
              <w:t>Penetration</w:t>
            </w:r>
          </w:p>
        </w:tc>
        <w:tc>
          <w:tcPr>
            <w:tcW w:type="dxa" w:w="7"/>
            <w:shd w:val="clear" w:color="auto" w:fill="1A3A5C"/>
            <w:tcMar>
              <w:top w:w="80" w:type="dxa"/>
              <w:bottom w:w="80" w:type="dxa"/>
              <w:left w:w="120" w:type="dxa"/>
              <w:right w:w="120" w:type="dxa"/>
            </w:tcMar>
          </w:tcPr>
          <w:p>
            <w:pPr>
              <w:jc w:val="center"/>
            </w:pPr>
            <w:r>
              <w:rPr>
                <w:rFonts w:ascii="Calibri" w:hAnsi="Calibri"/>
                <w:b/>
                <w:i w:val="0"/>
                <w:color w:val="FFFFFF"/>
                <w:sz w:val="20"/>
              </w:rPr>
              <w:t>Rationale</w:t>
            </w:r>
          </w:p>
        </w:tc>
      </w:tr>
      <w:tr>
        <w:tc>
          <w:tcPr>
            <w:tcW w:type="dxa" w:w="5"/>
            <w:shd w:val="clear" w:color="auto" w:fill="EEF3FA"/>
            <w:tcMar>
              <w:top w:w="80" w:type="dxa"/>
              <w:bottom w:w="80" w:type="dxa"/>
              <w:left w:w="120" w:type="dxa"/>
              <w:right w:w="120" w:type="dxa"/>
            </w:tcMar>
          </w:tcPr>
          <w:p>
            <w:pPr>
              <w:jc w:val="left"/>
            </w:pPr>
            <w:r>
              <w:rPr>
                <w:rFonts w:ascii="Calibri" w:hAnsi="Calibri"/>
                <w:b w:val="0"/>
                <w:i w:val="0"/>
                <w:color w:val="2C2C2C"/>
                <w:sz w:val="20"/>
              </w:rPr>
              <w:t>Daraz Top Sellers</w:t>
            </w:r>
          </w:p>
        </w:tc>
        <w:tc>
          <w:tcPr>
            <w:tcW w:type="dxa" w:w="3"/>
            <w:shd w:val="clear" w:color="auto" w:fill="EEF3FA"/>
            <w:tcMar>
              <w:top w:w="80" w:type="dxa"/>
              <w:bottom w:w="80" w:type="dxa"/>
              <w:left w:w="120" w:type="dxa"/>
              <w:right w:w="120" w:type="dxa"/>
            </w:tcMar>
          </w:tcPr>
          <w:p>
            <w:pPr>
              <w:jc w:val="left"/>
            </w:pPr>
            <w:r>
              <w:rPr>
                <w:rFonts w:ascii="Calibri" w:hAnsi="Calibri"/>
                <w:b w:val="0"/>
                <w:i w:val="0"/>
                <w:color w:val="2C2C2C"/>
                <w:sz w:val="20"/>
              </w:rPr>
              <w:t>~5,000</w:t>
            </w:r>
          </w:p>
        </w:tc>
        <w:tc>
          <w:tcPr>
            <w:tcW w:type="dxa" w:w="3"/>
            <w:shd w:val="clear" w:color="auto" w:fill="EEF3FA"/>
            <w:tcMar>
              <w:top w:w="80" w:type="dxa"/>
              <w:bottom w:w="80" w:type="dxa"/>
              <w:left w:w="120" w:type="dxa"/>
              <w:right w:w="120" w:type="dxa"/>
            </w:tcMar>
          </w:tcPr>
          <w:p>
            <w:pPr>
              <w:jc w:val="left"/>
            </w:pPr>
            <w:r>
              <w:rPr>
                <w:rFonts w:ascii="Calibri" w:hAnsi="Calibri"/>
                <w:b w:val="0"/>
                <w:i w:val="0"/>
                <w:color w:val="2C2C2C"/>
                <w:sz w:val="20"/>
              </w:rPr>
              <w:t>5–10%  (250–500)</w:t>
            </w:r>
          </w:p>
        </w:tc>
        <w:tc>
          <w:tcPr>
            <w:tcW w:type="dxa" w:w="7"/>
            <w:shd w:val="clear" w:color="auto" w:fill="EEF3FA"/>
            <w:tcMar>
              <w:top w:w="80" w:type="dxa"/>
              <w:bottom w:w="80" w:type="dxa"/>
              <w:left w:w="120" w:type="dxa"/>
              <w:right w:w="120" w:type="dxa"/>
            </w:tcMar>
          </w:tcPr>
          <w:p>
            <w:pPr>
              <w:jc w:val="left"/>
            </w:pPr>
            <w:r>
              <w:rPr>
                <w:rFonts w:ascii="Calibri" w:hAnsi="Calibri"/>
                <w:b w:val="0"/>
                <w:i w:val="0"/>
                <w:color w:val="2C2C2C"/>
                <w:sz w:val="20"/>
              </w:rPr>
              <w:t>Early adopter sellers with pain-point awareness; direct outreach via Daraz seller community.</w:t>
            </w:r>
          </w:p>
        </w:tc>
      </w:tr>
      <w:tr>
        <w:tc>
          <w:tcPr>
            <w:tcW w:type="dxa" w:w="5"/>
            <w:shd w:val="clear" w:color="auto" w:fill="FFFFFF"/>
            <w:tcMar>
              <w:top w:w="80" w:type="dxa"/>
              <w:bottom w:w="80" w:type="dxa"/>
              <w:left w:w="120" w:type="dxa"/>
              <w:right w:w="120" w:type="dxa"/>
            </w:tcMar>
          </w:tcPr>
          <w:p>
            <w:pPr>
              <w:jc w:val="left"/>
            </w:pPr>
            <w:r>
              <w:rPr>
                <w:rFonts w:ascii="Calibri" w:hAnsi="Calibri"/>
                <w:b w:val="0"/>
                <w:i w:val="0"/>
                <w:color w:val="2C2C2C"/>
                <w:sz w:val="20"/>
              </w:rPr>
              <w:t>Multi-platform brands</w:t>
            </w:r>
          </w:p>
        </w:tc>
        <w:tc>
          <w:tcPr>
            <w:tcW w:type="dxa" w:w="3"/>
            <w:shd w:val="clear" w:color="auto" w:fill="FFFFFF"/>
            <w:tcMar>
              <w:top w:w="80" w:type="dxa"/>
              <w:bottom w:w="80" w:type="dxa"/>
              <w:left w:w="120" w:type="dxa"/>
              <w:right w:w="120" w:type="dxa"/>
            </w:tcMar>
          </w:tcPr>
          <w:p>
            <w:pPr>
              <w:jc w:val="left"/>
            </w:pPr>
            <w:r>
              <w:rPr>
                <w:rFonts w:ascii="Calibri" w:hAnsi="Calibri"/>
                <w:b w:val="0"/>
                <w:i w:val="0"/>
                <w:color w:val="2C2C2C"/>
                <w:sz w:val="20"/>
              </w:rPr>
              <w:t>~2,000</w:t>
            </w:r>
          </w:p>
        </w:tc>
        <w:tc>
          <w:tcPr>
            <w:tcW w:type="dxa" w:w="3"/>
            <w:shd w:val="clear" w:color="auto" w:fill="FFFFFF"/>
            <w:tcMar>
              <w:top w:w="80" w:type="dxa"/>
              <w:bottom w:w="80" w:type="dxa"/>
              <w:left w:w="120" w:type="dxa"/>
              <w:right w:w="120" w:type="dxa"/>
            </w:tcMar>
          </w:tcPr>
          <w:p>
            <w:pPr>
              <w:jc w:val="left"/>
            </w:pPr>
            <w:r>
              <w:rPr>
                <w:rFonts w:ascii="Calibri" w:hAnsi="Calibri"/>
                <w:b w:val="0"/>
                <w:i w:val="0"/>
                <w:color w:val="2C2C2C"/>
                <w:sz w:val="20"/>
              </w:rPr>
              <w:t>3–5%  (60–100)</w:t>
            </w:r>
          </w:p>
        </w:tc>
        <w:tc>
          <w:tcPr>
            <w:tcW w:type="dxa" w:w="7"/>
            <w:shd w:val="clear" w:color="auto" w:fill="FFFFFF"/>
            <w:tcMar>
              <w:top w:w="80" w:type="dxa"/>
              <w:bottom w:w="80" w:type="dxa"/>
              <w:left w:w="120" w:type="dxa"/>
              <w:right w:w="120" w:type="dxa"/>
            </w:tcMar>
          </w:tcPr>
          <w:p>
            <w:pPr>
              <w:jc w:val="left"/>
            </w:pPr>
            <w:r>
              <w:rPr>
                <w:rFonts w:ascii="Calibri" w:hAnsi="Calibri"/>
                <w:b w:val="0"/>
                <w:i w:val="0"/>
                <w:color w:val="2C2C2C"/>
                <w:sz w:val="20"/>
              </w:rPr>
              <w:t>Higher willingness to pay; serve after establishing product-market fit on Daraz.</w:t>
            </w:r>
          </w:p>
        </w:tc>
      </w:tr>
      <w:tr>
        <w:tc>
          <w:tcPr>
            <w:tcW w:type="dxa" w:w="5"/>
            <w:shd w:val="clear" w:color="auto" w:fill="EEF3FA"/>
            <w:tcMar>
              <w:top w:w="80" w:type="dxa"/>
              <w:bottom w:w="80" w:type="dxa"/>
              <w:left w:w="120" w:type="dxa"/>
              <w:right w:w="120" w:type="dxa"/>
            </w:tcMar>
          </w:tcPr>
          <w:p>
            <w:pPr>
              <w:jc w:val="left"/>
            </w:pPr>
            <w:r>
              <w:rPr>
                <w:rFonts w:ascii="Calibri" w:hAnsi="Calibri"/>
                <w:b w:val="0"/>
                <w:i w:val="0"/>
                <w:color w:val="2C2C2C"/>
                <w:sz w:val="20"/>
              </w:rPr>
              <w:t>Digital agencies</w:t>
            </w:r>
          </w:p>
        </w:tc>
        <w:tc>
          <w:tcPr>
            <w:tcW w:type="dxa" w:w="3"/>
            <w:shd w:val="clear" w:color="auto" w:fill="EEF3FA"/>
            <w:tcMar>
              <w:top w:w="80" w:type="dxa"/>
              <w:bottom w:w="80" w:type="dxa"/>
              <w:left w:w="120" w:type="dxa"/>
              <w:right w:w="120" w:type="dxa"/>
            </w:tcMar>
          </w:tcPr>
          <w:p>
            <w:pPr>
              <w:jc w:val="left"/>
            </w:pPr>
            <w:r>
              <w:rPr>
                <w:rFonts w:ascii="Calibri" w:hAnsi="Calibri"/>
                <w:b w:val="0"/>
                <w:i w:val="0"/>
                <w:color w:val="2C2C2C"/>
                <w:sz w:val="20"/>
              </w:rPr>
              <w:t>~500</w:t>
            </w:r>
          </w:p>
        </w:tc>
        <w:tc>
          <w:tcPr>
            <w:tcW w:type="dxa" w:w="3"/>
            <w:shd w:val="clear" w:color="auto" w:fill="EEF3FA"/>
            <w:tcMar>
              <w:top w:w="80" w:type="dxa"/>
              <w:bottom w:w="80" w:type="dxa"/>
              <w:left w:w="120" w:type="dxa"/>
              <w:right w:w="120" w:type="dxa"/>
            </w:tcMar>
          </w:tcPr>
          <w:p>
            <w:pPr>
              <w:jc w:val="left"/>
            </w:pPr>
            <w:r>
              <w:rPr>
                <w:rFonts w:ascii="Calibri" w:hAnsi="Calibri"/>
                <w:b w:val="0"/>
                <w:i w:val="0"/>
                <w:color w:val="2C2C2C"/>
                <w:sz w:val="20"/>
              </w:rPr>
              <w:t>10–15%  (50–75)</w:t>
            </w:r>
          </w:p>
        </w:tc>
        <w:tc>
          <w:tcPr>
            <w:tcW w:type="dxa" w:w="7"/>
            <w:shd w:val="clear" w:color="auto" w:fill="EEF3FA"/>
            <w:tcMar>
              <w:top w:w="80" w:type="dxa"/>
              <w:bottom w:w="80" w:type="dxa"/>
              <w:left w:w="120" w:type="dxa"/>
              <w:right w:w="120" w:type="dxa"/>
            </w:tcMar>
          </w:tcPr>
          <w:p>
            <w:pPr>
              <w:jc w:val="left"/>
            </w:pPr>
            <w:r>
              <w:rPr>
                <w:rFonts w:ascii="Calibri" w:hAnsi="Calibri"/>
                <w:b w:val="0"/>
                <w:i w:val="0"/>
                <w:color w:val="2C2C2C"/>
                <w:sz w:val="20"/>
              </w:rPr>
              <w:t>Agency-tier pricing; high LTV per account; serves as organic referral channel.</w:t>
            </w:r>
          </w:p>
        </w:tc>
      </w:tr>
      <w:tr>
        <w:tc>
          <w:tcPr>
            <w:tcW w:type="dxa" w:w="5"/>
            <w:shd w:val="clear" w:color="auto" w:fill="FFFFFF"/>
            <w:tcMar>
              <w:top w:w="80" w:type="dxa"/>
              <w:bottom w:w="80" w:type="dxa"/>
              <w:left w:w="120" w:type="dxa"/>
              <w:right w:w="120" w:type="dxa"/>
            </w:tcMar>
          </w:tcPr>
          <w:p>
            <w:pPr>
              <w:jc w:val="left"/>
            </w:pPr>
            <w:r>
              <w:rPr>
                <w:rFonts w:ascii="Calibri" w:hAnsi="Calibri"/>
                <w:b/>
                <w:i w:val="0"/>
                <w:color w:val="1A3A5C"/>
                <w:sz w:val="20"/>
              </w:rPr>
              <w:t>Total Year 1 Target</w:t>
            </w:r>
          </w:p>
        </w:tc>
        <w:tc>
          <w:tcPr>
            <w:tcW w:type="dxa" w:w="3"/>
            <w:shd w:val="clear" w:color="auto" w:fill="FFFFFF"/>
            <w:tcMar>
              <w:top w:w="80" w:type="dxa"/>
              <w:bottom w:w="80" w:type="dxa"/>
              <w:left w:w="120" w:type="dxa"/>
              <w:right w:w="120" w:type="dxa"/>
            </w:tcMar>
          </w:tcPr>
          <w:p>
            <w:pPr>
              <w:jc w:val="left"/>
            </w:pPr>
            <w:r>
              <w:rPr>
                <w:rFonts w:ascii="Calibri" w:hAnsi="Calibri"/>
                <w:b/>
                <w:i w:val="0"/>
                <w:color w:val="1A3A5C"/>
                <w:sz w:val="20"/>
              </w:rPr>
              <w:t>—</w:t>
            </w:r>
          </w:p>
        </w:tc>
        <w:tc>
          <w:tcPr>
            <w:tcW w:type="dxa" w:w="3"/>
            <w:shd w:val="clear" w:color="auto" w:fill="FFFFFF"/>
            <w:tcMar>
              <w:top w:w="80" w:type="dxa"/>
              <w:bottom w:w="80" w:type="dxa"/>
              <w:left w:w="120" w:type="dxa"/>
              <w:right w:w="120" w:type="dxa"/>
            </w:tcMar>
          </w:tcPr>
          <w:p>
            <w:pPr>
              <w:jc w:val="left"/>
            </w:pPr>
            <w:r>
              <w:rPr>
                <w:rFonts w:ascii="Calibri" w:hAnsi="Calibri"/>
                <w:b/>
                <w:i w:val="0"/>
                <w:color w:val="1A3A5C"/>
                <w:sz w:val="20"/>
              </w:rPr>
              <w:t>360–675 accounts</w:t>
            </w:r>
          </w:p>
        </w:tc>
        <w:tc>
          <w:tcPr>
            <w:tcW w:type="dxa" w:w="7"/>
            <w:shd w:val="clear" w:color="auto" w:fill="FFFFFF"/>
            <w:tcMar>
              <w:top w:w="80" w:type="dxa"/>
              <w:bottom w:w="80" w:type="dxa"/>
              <w:left w:w="120" w:type="dxa"/>
              <w:right w:w="120" w:type="dxa"/>
            </w:tcMar>
          </w:tcPr>
          <w:p>
            <w:pPr>
              <w:jc w:val="left"/>
            </w:pPr>
            <w:r>
              <w:rPr>
                <w:rFonts w:ascii="Calibri" w:hAnsi="Calibri"/>
                <w:b/>
                <w:i w:val="0"/>
                <w:color w:val="1A3A5C"/>
                <w:sz w:val="20"/>
              </w:rPr>
              <w:t>Conservative scenario yields ~400 paid accounts; aggressive yields ~700.</w:t>
            </w:r>
          </w:p>
        </w:tc>
      </w:tr>
    </w:tbl>
    <w:p/>
    <w:p>
      <w:pPr>
        <w:spacing w:before="360" w:after="80"/>
        <w:pBdr>
          <w:bottom w:val="single" w:sz="6" w:space="4" w:color="276FBF"/>
        </w:pBdr>
      </w:pPr>
      <w:r>
        <w:rPr>
          <w:rFonts w:ascii="Calibri" w:hAnsi="Calibri"/>
          <w:b/>
          <w:i w:val="0"/>
          <w:color w:val="1A3A5C"/>
          <w:sz w:val="32"/>
        </w:rPr>
        <w:t>3.  Revenue Model</w:t>
      </w:r>
    </w:p>
    <w:p>
      <w:pPr>
        <w:spacing w:before="0" w:after="120"/>
        <w:jc w:val="both"/>
      </w:pPr>
      <w:r>
        <w:rPr>
          <w:rFonts w:ascii="Calibri" w:hAnsi="Calibri"/>
          <w:b w:val="0"/>
          <w:i w:val="0"/>
          <w:color w:val="2C2C2C"/>
          <w:sz w:val="22"/>
        </w:rPr>
        <w:t>The platform uses a freemium B2B SaaS model as its primary revenue engine, supplemented by transactional and professional services revenue streams. This structure is designed specifically for the Pakistani SME market: the free tier reduces adoption friction, the Growth tier captures the majority of revenue, and the Pro and Enterprise tiers generate disproportionate LTV from power users.</w:t>
      </w:r>
    </w:p>
    <w:p>
      <w:pPr>
        <w:spacing w:before="240" w:after="60"/>
      </w:pPr>
      <w:r>
        <w:rPr>
          <w:rFonts w:ascii="Calibri" w:hAnsi="Calibri"/>
          <w:b/>
          <w:i w:val="0"/>
          <w:color w:val="276FBF"/>
          <w:sz w:val="26"/>
        </w:rPr>
        <w:t>3.1  Subscription Tiers</w:t>
      </w: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4"/>
            <w:shd w:val="clear" w:color="auto" w:fill="1A3A5C"/>
            <w:tcMar>
              <w:top w:w="80" w:type="dxa"/>
              <w:bottom w:w="80" w:type="dxa"/>
              <w:left w:w="120" w:type="dxa"/>
              <w:right w:w="120" w:type="dxa"/>
            </w:tcMar>
          </w:tcPr>
          <w:p>
            <w:pPr>
              <w:jc w:val="center"/>
            </w:pPr>
            <w:r>
              <w:rPr>
                <w:rFonts w:ascii="Calibri" w:hAnsi="Calibri"/>
                <w:b/>
                <w:i w:val="0"/>
                <w:color w:val="FFFFFF"/>
                <w:sz w:val="20"/>
              </w:rPr>
              <w:t>Feature</w:t>
            </w:r>
          </w:p>
        </w:tc>
        <w:tc>
          <w:tcPr>
            <w:tcW w:type="dxa" w:w="3"/>
            <w:shd w:val="clear" w:color="auto" w:fill="1A3A5C"/>
            <w:tcMar>
              <w:top w:w="80" w:type="dxa"/>
              <w:bottom w:w="80" w:type="dxa"/>
              <w:left w:w="120" w:type="dxa"/>
              <w:right w:w="120" w:type="dxa"/>
            </w:tcMar>
          </w:tcPr>
          <w:p>
            <w:pPr>
              <w:jc w:val="center"/>
            </w:pPr>
            <w:r>
              <w:rPr>
                <w:rFonts w:ascii="Calibri" w:hAnsi="Calibri"/>
                <w:b/>
                <w:i w:val="0"/>
                <w:color w:val="FFFFFF"/>
                <w:sz w:val="20"/>
              </w:rPr>
              <w:t>Free</w:t>
            </w:r>
          </w:p>
        </w:tc>
        <w:tc>
          <w:tcPr>
            <w:tcW w:type="dxa" w:w="3"/>
            <w:shd w:val="clear" w:color="auto" w:fill="1A3A5C"/>
            <w:tcMar>
              <w:top w:w="80" w:type="dxa"/>
              <w:bottom w:w="80" w:type="dxa"/>
              <w:left w:w="120" w:type="dxa"/>
              <w:right w:w="120" w:type="dxa"/>
            </w:tcMar>
          </w:tcPr>
          <w:p>
            <w:pPr>
              <w:jc w:val="center"/>
            </w:pPr>
            <w:r>
              <w:rPr>
                <w:rFonts w:ascii="Calibri" w:hAnsi="Calibri"/>
                <w:b/>
                <w:i w:val="0"/>
                <w:color w:val="FFFFFF"/>
                <w:sz w:val="20"/>
              </w:rPr>
              <w:t>Growth</w:t>
              <w:br/>
              <w:t>PKR 4,500/mo</w:t>
            </w:r>
          </w:p>
        </w:tc>
        <w:tc>
          <w:tcPr>
            <w:tcW w:type="dxa" w:w="3"/>
            <w:shd w:val="clear" w:color="auto" w:fill="1A3A5C"/>
            <w:tcMar>
              <w:top w:w="80" w:type="dxa"/>
              <w:bottom w:w="80" w:type="dxa"/>
              <w:left w:w="120" w:type="dxa"/>
              <w:right w:w="120" w:type="dxa"/>
            </w:tcMar>
          </w:tcPr>
          <w:p>
            <w:pPr>
              <w:jc w:val="center"/>
            </w:pPr>
            <w:r>
              <w:rPr>
                <w:rFonts w:ascii="Calibri" w:hAnsi="Calibri"/>
                <w:b/>
                <w:i w:val="0"/>
                <w:color w:val="FFFFFF"/>
                <w:sz w:val="20"/>
              </w:rPr>
              <w:t>Pro</w:t>
              <w:br/>
              <w:t>PKR 12,000/mo</w:t>
            </w:r>
          </w:p>
        </w:tc>
        <w:tc>
          <w:tcPr>
            <w:tcW w:type="dxa" w:w="6"/>
            <w:shd w:val="clear" w:color="auto" w:fill="1A3A5C"/>
            <w:tcMar>
              <w:top w:w="80" w:type="dxa"/>
              <w:bottom w:w="80" w:type="dxa"/>
              <w:left w:w="120" w:type="dxa"/>
              <w:right w:w="120" w:type="dxa"/>
            </w:tcMar>
          </w:tcPr>
          <w:p>
            <w:pPr>
              <w:jc w:val="center"/>
            </w:pPr>
            <w:r>
              <w:rPr>
                <w:rFonts w:ascii="Calibri" w:hAnsi="Calibri"/>
                <w:b/>
                <w:i w:val="0"/>
                <w:color w:val="FFFFFF"/>
                <w:sz w:val="20"/>
              </w:rPr>
              <w:t>Enterprise</w:t>
              <w:br/>
              <w:t>Custom</w:t>
            </w:r>
          </w:p>
        </w:tc>
      </w:tr>
      <w:tr>
        <w:tc>
          <w:tcPr>
            <w:tcW w:type="dxa" w:w="4"/>
            <w:shd w:val="clear" w:color="auto" w:fill="EEF3FA"/>
            <w:tcMar>
              <w:top w:w="80" w:type="dxa"/>
              <w:bottom w:w="80" w:type="dxa"/>
              <w:left w:w="120" w:type="dxa"/>
              <w:right w:w="120" w:type="dxa"/>
            </w:tcMar>
          </w:tcPr>
          <w:p>
            <w:pPr>
              <w:jc w:val="left"/>
            </w:pPr>
            <w:r>
              <w:rPr>
                <w:rFonts w:ascii="Calibri" w:hAnsi="Calibri"/>
                <w:b/>
                <w:i w:val="0"/>
                <w:color w:val="2C2C2C"/>
                <w:sz w:val="20"/>
              </w:rPr>
              <w:t>Reviews / month</w:t>
            </w:r>
          </w:p>
        </w:tc>
        <w:tc>
          <w:tcPr>
            <w:tcW w:type="dxa" w:w="3"/>
            <w:shd w:val="clear" w:color="auto" w:fill="EEF3FA"/>
            <w:tcMar>
              <w:top w:w="80" w:type="dxa"/>
              <w:bottom w:w="80" w:type="dxa"/>
              <w:left w:w="120" w:type="dxa"/>
              <w:right w:w="120" w:type="dxa"/>
            </w:tcMar>
          </w:tcPr>
          <w:p>
            <w:pPr>
              <w:jc w:val="left"/>
            </w:pPr>
            <w:r>
              <w:rPr>
                <w:rFonts w:ascii="Calibri" w:hAnsi="Calibri"/>
                <w:b w:val="0"/>
                <w:i w:val="0"/>
                <w:color w:val="2C2C2C"/>
                <w:sz w:val="20"/>
              </w:rPr>
              <w:t>100</w:t>
            </w:r>
          </w:p>
        </w:tc>
        <w:tc>
          <w:tcPr>
            <w:tcW w:type="dxa" w:w="3"/>
            <w:shd w:val="clear" w:color="auto" w:fill="EEF3FA"/>
            <w:tcMar>
              <w:top w:w="80" w:type="dxa"/>
              <w:bottom w:w="80" w:type="dxa"/>
              <w:left w:w="120" w:type="dxa"/>
              <w:right w:w="120" w:type="dxa"/>
            </w:tcMar>
          </w:tcPr>
          <w:p>
            <w:pPr>
              <w:jc w:val="left"/>
            </w:pPr>
            <w:r>
              <w:rPr>
                <w:rFonts w:ascii="Calibri" w:hAnsi="Calibri"/>
                <w:b w:val="0"/>
                <w:i w:val="0"/>
                <w:color w:val="2C2C2C"/>
                <w:sz w:val="20"/>
              </w:rPr>
              <w:t>5,000</w:t>
            </w:r>
          </w:p>
        </w:tc>
        <w:tc>
          <w:tcPr>
            <w:tcW w:type="dxa" w:w="3"/>
            <w:shd w:val="clear" w:color="auto" w:fill="EEF3FA"/>
            <w:tcMar>
              <w:top w:w="80" w:type="dxa"/>
              <w:bottom w:w="80" w:type="dxa"/>
              <w:left w:w="120" w:type="dxa"/>
              <w:right w:w="120" w:type="dxa"/>
            </w:tcMar>
          </w:tcPr>
          <w:p>
            <w:pPr>
              <w:jc w:val="left"/>
            </w:pPr>
            <w:r>
              <w:rPr>
                <w:rFonts w:ascii="Calibri" w:hAnsi="Calibri"/>
                <w:b w:val="0"/>
                <w:i w:val="0"/>
                <w:color w:val="2C2C2C"/>
                <w:sz w:val="20"/>
              </w:rPr>
              <w:t>Unlimited</w:t>
            </w:r>
          </w:p>
        </w:tc>
        <w:tc>
          <w:tcPr>
            <w:tcW w:type="dxa" w:w="6"/>
            <w:shd w:val="clear" w:color="auto" w:fill="EEF3FA"/>
            <w:tcMar>
              <w:top w:w="80" w:type="dxa"/>
              <w:bottom w:w="80" w:type="dxa"/>
              <w:left w:w="120" w:type="dxa"/>
              <w:right w:w="120" w:type="dxa"/>
            </w:tcMar>
          </w:tcPr>
          <w:p>
            <w:pPr>
              <w:jc w:val="left"/>
            </w:pPr>
            <w:r>
              <w:rPr>
                <w:rFonts w:ascii="Calibri" w:hAnsi="Calibri"/>
                <w:b w:val="0"/>
                <w:i w:val="0"/>
                <w:color w:val="2C2C2C"/>
                <w:sz w:val="20"/>
              </w:rPr>
              <w:t>Unlimited</w:t>
            </w:r>
          </w:p>
        </w:tc>
      </w:tr>
      <w:tr>
        <w:tc>
          <w:tcPr>
            <w:tcW w:type="dxa" w:w="4"/>
            <w:shd w:val="clear" w:color="auto" w:fill="FFFFFF"/>
            <w:tcMar>
              <w:top w:w="80" w:type="dxa"/>
              <w:bottom w:w="80" w:type="dxa"/>
              <w:left w:w="120" w:type="dxa"/>
              <w:right w:w="120" w:type="dxa"/>
            </w:tcMar>
          </w:tcPr>
          <w:p>
            <w:pPr>
              <w:jc w:val="left"/>
            </w:pPr>
            <w:r>
              <w:rPr>
                <w:rFonts w:ascii="Calibri" w:hAnsi="Calibri"/>
                <w:b/>
                <w:i w:val="0"/>
                <w:color w:val="2C2C2C"/>
                <w:sz w:val="20"/>
              </w:rPr>
              <w:t>Products tracked</w:t>
            </w:r>
          </w:p>
        </w:tc>
        <w:tc>
          <w:tcPr>
            <w:tcW w:type="dxa" w:w="3"/>
            <w:shd w:val="clear" w:color="auto" w:fill="FFFFFF"/>
            <w:tcMar>
              <w:top w:w="80" w:type="dxa"/>
              <w:bottom w:w="80" w:type="dxa"/>
              <w:left w:w="120" w:type="dxa"/>
              <w:right w:w="120" w:type="dxa"/>
            </w:tcMar>
          </w:tcPr>
          <w:p>
            <w:pPr>
              <w:jc w:val="left"/>
            </w:pPr>
            <w:r>
              <w:rPr>
                <w:rFonts w:ascii="Calibri" w:hAnsi="Calibri"/>
                <w:b w:val="0"/>
                <w:i w:val="0"/>
                <w:color w:val="2C2C2C"/>
                <w:sz w:val="20"/>
              </w:rPr>
              <w:t>1</w:t>
            </w:r>
          </w:p>
        </w:tc>
        <w:tc>
          <w:tcPr>
            <w:tcW w:type="dxa" w:w="3"/>
            <w:shd w:val="clear" w:color="auto" w:fill="FFFFFF"/>
            <w:tcMar>
              <w:top w:w="80" w:type="dxa"/>
              <w:bottom w:w="80" w:type="dxa"/>
              <w:left w:w="120" w:type="dxa"/>
              <w:right w:w="120" w:type="dxa"/>
            </w:tcMar>
          </w:tcPr>
          <w:p>
            <w:pPr>
              <w:jc w:val="left"/>
            </w:pPr>
            <w:r>
              <w:rPr>
                <w:rFonts w:ascii="Calibri" w:hAnsi="Calibri"/>
                <w:b w:val="0"/>
                <w:i w:val="0"/>
                <w:color w:val="2C2C2C"/>
                <w:sz w:val="20"/>
              </w:rPr>
              <w:t>10</w:t>
            </w:r>
          </w:p>
        </w:tc>
        <w:tc>
          <w:tcPr>
            <w:tcW w:type="dxa" w:w="3"/>
            <w:shd w:val="clear" w:color="auto" w:fill="FFFFFF"/>
            <w:tcMar>
              <w:top w:w="80" w:type="dxa"/>
              <w:bottom w:w="80" w:type="dxa"/>
              <w:left w:w="120" w:type="dxa"/>
              <w:right w:w="120" w:type="dxa"/>
            </w:tcMar>
          </w:tcPr>
          <w:p>
            <w:pPr>
              <w:jc w:val="left"/>
            </w:pPr>
            <w:r>
              <w:rPr>
                <w:rFonts w:ascii="Calibri" w:hAnsi="Calibri"/>
                <w:b w:val="0"/>
                <w:i w:val="0"/>
                <w:color w:val="2C2C2C"/>
                <w:sz w:val="20"/>
              </w:rPr>
              <w:t>Unlimited</w:t>
            </w:r>
          </w:p>
        </w:tc>
        <w:tc>
          <w:tcPr>
            <w:tcW w:type="dxa" w:w="6"/>
            <w:shd w:val="clear" w:color="auto" w:fill="FFFFFF"/>
            <w:tcMar>
              <w:top w:w="80" w:type="dxa"/>
              <w:bottom w:w="80" w:type="dxa"/>
              <w:left w:w="120" w:type="dxa"/>
              <w:right w:w="120" w:type="dxa"/>
            </w:tcMar>
          </w:tcPr>
          <w:p>
            <w:pPr>
              <w:jc w:val="left"/>
            </w:pPr>
            <w:r>
              <w:rPr>
                <w:rFonts w:ascii="Calibri" w:hAnsi="Calibri"/>
                <w:b w:val="0"/>
                <w:i w:val="0"/>
                <w:color w:val="2C2C2C"/>
                <w:sz w:val="20"/>
              </w:rPr>
              <w:t>Unlimited</w:t>
            </w:r>
          </w:p>
        </w:tc>
      </w:tr>
      <w:tr>
        <w:tc>
          <w:tcPr>
            <w:tcW w:type="dxa" w:w="4"/>
            <w:shd w:val="clear" w:color="auto" w:fill="EEF3FA"/>
            <w:tcMar>
              <w:top w:w="80" w:type="dxa"/>
              <w:bottom w:w="80" w:type="dxa"/>
              <w:left w:w="120" w:type="dxa"/>
              <w:right w:w="120" w:type="dxa"/>
            </w:tcMar>
          </w:tcPr>
          <w:p>
            <w:pPr>
              <w:jc w:val="left"/>
            </w:pPr>
            <w:r>
              <w:rPr>
                <w:rFonts w:ascii="Calibri" w:hAnsi="Calibri"/>
                <w:b/>
                <w:i w:val="0"/>
                <w:color w:val="2C2C2C"/>
                <w:sz w:val="20"/>
              </w:rPr>
              <w:t>ABSA (aspects)</w:t>
            </w:r>
          </w:p>
        </w:tc>
        <w:tc>
          <w:tcPr>
            <w:tcW w:type="dxa" w:w="3"/>
            <w:shd w:val="clear" w:color="auto" w:fill="EEF3FA"/>
            <w:tcMar>
              <w:top w:w="80" w:type="dxa"/>
              <w:bottom w:w="80" w:type="dxa"/>
              <w:left w:w="120" w:type="dxa"/>
              <w:right w:w="120" w:type="dxa"/>
            </w:tcMar>
          </w:tcPr>
          <w:p>
            <w:pPr>
              <w:jc w:val="left"/>
            </w:pPr>
            <w:r>
              <w:rPr>
                <w:rFonts w:ascii="Calibri" w:hAnsi="Calibri"/>
                <w:b w:val="0"/>
                <w:i w:val="0"/>
                <w:color w:val="2C2C2C"/>
                <w:sz w:val="20"/>
              </w:rPr>
              <w:t>Basic</w:t>
            </w:r>
          </w:p>
        </w:tc>
        <w:tc>
          <w:tcPr>
            <w:tcW w:type="dxa" w:w="3"/>
            <w:shd w:val="clear" w:color="auto" w:fill="EEF3FA"/>
            <w:tcMar>
              <w:top w:w="80" w:type="dxa"/>
              <w:bottom w:w="80" w:type="dxa"/>
              <w:left w:w="120" w:type="dxa"/>
              <w:right w:w="120" w:type="dxa"/>
            </w:tcMar>
          </w:tcPr>
          <w:p>
            <w:pPr>
              <w:jc w:val="left"/>
            </w:pPr>
            <w:r>
              <w:rPr>
                <w:rFonts w:ascii="Calibri" w:hAnsi="Calibri"/>
                <w:b w:val="0"/>
                <w:i w:val="0"/>
                <w:color w:val="2C2C2C"/>
                <w:sz w:val="20"/>
              </w:rPr>
              <w:t>Full 6-aspect</w:t>
            </w:r>
          </w:p>
        </w:tc>
        <w:tc>
          <w:tcPr>
            <w:tcW w:type="dxa" w:w="3"/>
            <w:shd w:val="clear" w:color="auto" w:fill="EEF3FA"/>
            <w:tcMar>
              <w:top w:w="80" w:type="dxa"/>
              <w:bottom w:w="80" w:type="dxa"/>
              <w:left w:w="120" w:type="dxa"/>
              <w:right w:w="120" w:type="dxa"/>
            </w:tcMar>
          </w:tcPr>
          <w:p>
            <w:pPr>
              <w:jc w:val="left"/>
            </w:pPr>
            <w:r>
              <w:rPr>
                <w:rFonts w:ascii="Calibri" w:hAnsi="Calibri"/>
                <w:b w:val="0"/>
                <w:i w:val="0"/>
                <w:color w:val="2C2C2C"/>
                <w:sz w:val="20"/>
              </w:rPr>
              <w:t>Full + custom</w:t>
            </w:r>
          </w:p>
        </w:tc>
        <w:tc>
          <w:tcPr>
            <w:tcW w:type="dxa" w:w="6"/>
            <w:shd w:val="clear" w:color="auto" w:fill="EEF3FA"/>
            <w:tcMar>
              <w:top w:w="80" w:type="dxa"/>
              <w:bottom w:w="80" w:type="dxa"/>
              <w:left w:w="120" w:type="dxa"/>
              <w:right w:w="120" w:type="dxa"/>
            </w:tcMar>
          </w:tcPr>
          <w:p>
            <w:pPr>
              <w:jc w:val="left"/>
            </w:pPr>
            <w:r>
              <w:rPr>
                <w:rFonts w:ascii="Calibri" w:hAnsi="Calibri"/>
                <w:b w:val="0"/>
                <w:i w:val="0"/>
                <w:color w:val="2C2C2C"/>
                <w:sz w:val="20"/>
              </w:rPr>
              <w:t>Custom taxonomy</w:t>
            </w:r>
          </w:p>
        </w:tc>
      </w:tr>
      <w:tr>
        <w:tc>
          <w:tcPr>
            <w:tcW w:type="dxa" w:w="4"/>
            <w:shd w:val="clear" w:color="auto" w:fill="FFFFFF"/>
            <w:tcMar>
              <w:top w:w="80" w:type="dxa"/>
              <w:bottom w:w="80" w:type="dxa"/>
              <w:left w:w="120" w:type="dxa"/>
              <w:right w:w="120" w:type="dxa"/>
            </w:tcMar>
          </w:tcPr>
          <w:p>
            <w:pPr>
              <w:jc w:val="left"/>
            </w:pPr>
            <w:r>
              <w:rPr>
                <w:rFonts w:ascii="Calibri" w:hAnsi="Calibri"/>
                <w:b/>
                <w:i w:val="0"/>
                <w:color w:val="2C2C2C"/>
                <w:sz w:val="20"/>
              </w:rPr>
              <w:t>Fake review score</w:t>
            </w:r>
          </w:p>
        </w:tc>
        <w:tc>
          <w:tcPr>
            <w:tcW w:type="dxa" w:w="3"/>
            <w:shd w:val="clear" w:color="auto" w:fill="FFFFFF"/>
            <w:tcMar>
              <w:top w:w="80" w:type="dxa"/>
              <w:bottom w:w="80" w:type="dxa"/>
              <w:left w:w="120" w:type="dxa"/>
              <w:right w:w="120" w:type="dxa"/>
            </w:tcMar>
          </w:tcPr>
          <w:p>
            <w:pPr>
              <w:jc w:val="left"/>
            </w:pPr>
            <w:r>
              <w:rPr>
                <w:rFonts w:ascii="Calibri" w:hAnsi="Calibri"/>
                <w:b w:val="0"/>
                <w:i w:val="0"/>
                <w:color w:val="2C2C2C"/>
                <w:sz w:val="20"/>
              </w:rPr>
              <w:t>—</w:t>
            </w:r>
          </w:p>
        </w:tc>
        <w:tc>
          <w:tcPr>
            <w:tcW w:type="dxa" w:w="3"/>
            <w:shd w:val="clear" w:color="auto" w:fill="FFFFFF"/>
            <w:tcMar>
              <w:top w:w="80" w:type="dxa"/>
              <w:bottom w:w="80" w:type="dxa"/>
              <w:left w:w="120" w:type="dxa"/>
              <w:right w:w="120" w:type="dxa"/>
            </w:tcMar>
          </w:tcPr>
          <w:p>
            <w:pPr>
              <w:jc w:val="left"/>
            </w:pPr>
            <w:r>
              <w:rPr>
                <w:rFonts w:ascii="Calibri" w:hAnsi="Calibri"/>
                <w:b w:val="0"/>
                <w:i w:val="0"/>
                <w:color w:val="2C2C2C"/>
                <w:sz w:val="20"/>
              </w:rPr>
              <w:t>✓</w:t>
            </w:r>
          </w:p>
        </w:tc>
        <w:tc>
          <w:tcPr>
            <w:tcW w:type="dxa" w:w="3"/>
            <w:shd w:val="clear" w:color="auto" w:fill="FFFFFF"/>
            <w:tcMar>
              <w:top w:w="80" w:type="dxa"/>
              <w:bottom w:w="80" w:type="dxa"/>
              <w:left w:w="120" w:type="dxa"/>
              <w:right w:w="120" w:type="dxa"/>
            </w:tcMar>
          </w:tcPr>
          <w:p>
            <w:pPr>
              <w:jc w:val="left"/>
            </w:pPr>
            <w:r>
              <w:rPr>
                <w:rFonts w:ascii="Calibri" w:hAnsi="Calibri"/>
                <w:b w:val="0"/>
                <w:i w:val="0"/>
                <w:color w:val="2C2C2C"/>
                <w:sz w:val="20"/>
              </w:rPr>
              <w:t>✓</w:t>
            </w:r>
          </w:p>
        </w:tc>
        <w:tc>
          <w:tcPr>
            <w:tcW w:type="dxa" w:w="6"/>
            <w:shd w:val="clear" w:color="auto" w:fill="FFFFFF"/>
            <w:tcMar>
              <w:top w:w="80" w:type="dxa"/>
              <w:bottom w:w="80" w:type="dxa"/>
              <w:left w:w="120" w:type="dxa"/>
              <w:right w:w="120" w:type="dxa"/>
            </w:tcMar>
          </w:tcPr>
          <w:p>
            <w:pPr>
              <w:jc w:val="left"/>
            </w:pPr>
            <w:r>
              <w:rPr>
                <w:rFonts w:ascii="Calibri" w:hAnsi="Calibri"/>
                <w:b w:val="0"/>
                <w:i w:val="0"/>
                <w:color w:val="2C2C2C"/>
                <w:sz w:val="20"/>
              </w:rPr>
              <w:t>✓</w:t>
            </w:r>
          </w:p>
        </w:tc>
      </w:tr>
      <w:tr>
        <w:tc>
          <w:tcPr>
            <w:tcW w:type="dxa" w:w="4"/>
            <w:shd w:val="clear" w:color="auto" w:fill="EEF3FA"/>
            <w:tcMar>
              <w:top w:w="80" w:type="dxa"/>
              <w:bottom w:w="80" w:type="dxa"/>
              <w:left w:w="120" w:type="dxa"/>
              <w:right w:w="120" w:type="dxa"/>
            </w:tcMar>
          </w:tcPr>
          <w:p>
            <w:pPr>
              <w:jc w:val="left"/>
            </w:pPr>
            <w:r>
              <w:rPr>
                <w:rFonts w:ascii="Calibri" w:hAnsi="Calibri"/>
                <w:b/>
                <w:i w:val="0"/>
                <w:color w:val="2C2C2C"/>
                <w:sz w:val="20"/>
              </w:rPr>
              <w:t>Roman Urdu NLP</w:t>
            </w:r>
          </w:p>
        </w:tc>
        <w:tc>
          <w:tcPr>
            <w:tcW w:type="dxa" w:w="3"/>
            <w:shd w:val="clear" w:color="auto" w:fill="EEF3FA"/>
            <w:tcMar>
              <w:top w:w="80" w:type="dxa"/>
              <w:bottom w:w="80" w:type="dxa"/>
              <w:left w:w="120" w:type="dxa"/>
              <w:right w:w="120" w:type="dxa"/>
            </w:tcMar>
          </w:tcPr>
          <w:p>
            <w:pPr>
              <w:jc w:val="left"/>
            </w:pPr>
            <w:r>
              <w:rPr>
                <w:rFonts w:ascii="Calibri" w:hAnsi="Calibri"/>
                <w:b w:val="0"/>
                <w:i w:val="0"/>
                <w:color w:val="2C2C2C"/>
                <w:sz w:val="20"/>
              </w:rPr>
              <w:t>—</w:t>
            </w:r>
          </w:p>
        </w:tc>
        <w:tc>
          <w:tcPr>
            <w:tcW w:type="dxa" w:w="3"/>
            <w:shd w:val="clear" w:color="auto" w:fill="EEF3FA"/>
            <w:tcMar>
              <w:top w:w="80" w:type="dxa"/>
              <w:bottom w:w="80" w:type="dxa"/>
              <w:left w:w="120" w:type="dxa"/>
              <w:right w:w="120" w:type="dxa"/>
            </w:tcMar>
          </w:tcPr>
          <w:p>
            <w:pPr>
              <w:jc w:val="left"/>
            </w:pPr>
            <w:r>
              <w:rPr>
                <w:rFonts w:ascii="Calibri" w:hAnsi="Calibri"/>
                <w:b w:val="0"/>
                <w:i w:val="0"/>
                <w:color w:val="2C2C2C"/>
                <w:sz w:val="20"/>
              </w:rPr>
              <w:t>✓</w:t>
            </w:r>
          </w:p>
        </w:tc>
        <w:tc>
          <w:tcPr>
            <w:tcW w:type="dxa" w:w="3"/>
            <w:shd w:val="clear" w:color="auto" w:fill="EEF3FA"/>
            <w:tcMar>
              <w:top w:w="80" w:type="dxa"/>
              <w:bottom w:w="80" w:type="dxa"/>
              <w:left w:w="120" w:type="dxa"/>
              <w:right w:w="120" w:type="dxa"/>
            </w:tcMar>
          </w:tcPr>
          <w:p>
            <w:pPr>
              <w:jc w:val="left"/>
            </w:pPr>
            <w:r>
              <w:rPr>
                <w:rFonts w:ascii="Calibri" w:hAnsi="Calibri"/>
                <w:b w:val="0"/>
                <w:i w:val="0"/>
                <w:color w:val="2C2C2C"/>
                <w:sz w:val="20"/>
              </w:rPr>
              <w:t>✓</w:t>
            </w:r>
          </w:p>
        </w:tc>
        <w:tc>
          <w:tcPr>
            <w:tcW w:type="dxa" w:w="6"/>
            <w:shd w:val="clear" w:color="auto" w:fill="EEF3FA"/>
            <w:tcMar>
              <w:top w:w="80" w:type="dxa"/>
              <w:bottom w:w="80" w:type="dxa"/>
              <w:left w:w="120" w:type="dxa"/>
              <w:right w:w="120" w:type="dxa"/>
            </w:tcMar>
          </w:tcPr>
          <w:p>
            <w:pPr>
              <w:jc w:val="left"/>
            </w:pPr>
            <w:r>
              <w:rPr>
                <w:rFonts w:ascii="Calibri" w:hAnsi="Calibri"/>
                <w:b w:val="0"/>
                <w:i w:val="0"/>
                <w:color w:val="2C2C2C"/>
                <w:sz w:val="20"/>
              </w:rPr>
              <w:t>✓</w:t>
            </w:r>
          </w:p>
        </w:tc>
      </w:tr>
      <w:tr>
        <w:tc>
          <w:tcPr>
            <w:tcW w:type="dxa" w:w="4"/>
            <w:shd w:val="clear" w:color="auto" w:fill="FFFFFF"/>
            <w:tcMar>
              <w:top w:w="80" w:type="dxa"/>
              <w:bottom w:w="80" w:type="dxa"/>
              <w:left w:w="120" w:type="dxa"/>
              <w:right w:w="120" w:type="dxa"/>
            </w:tcMar>
          </w:tcPr>
          <w:p>
            <w:pPr>
              <w:jc w:val="left"/>
            </w:pPr>
            <w:r>
              <w:rPr>
                <w:rFonts w:ascii="Calibri" w:hAnsi="Calibri"/>
                <w:b/>
                <w:i w:val="0"/>
                <w:color w:val="2C2C2C"/>
                <w:sz w:val="20"/>
              </w:rPr>
              <w:t>Competitor compare</w:t>
            </w:r>
          </w:p>
        </w:tc>
        <w:tc>
          <w:tcPr>
            <w:tcW w:type="dxa" w:w="3"/>
            <w:shd w:val="clear" w:color="auto" w:fill="FFFFFF"/>
            <w:tcMar>
              <w:top w:w="80" w:type="dxa"/>
              <w:bottom w:w="80" w:type="dxa"/>
              <w:left w:w="120" w:type="dxa"/>
              <w:right w:w="120" w:type="dxa"/>
            </w:tcMar>
          </w:tcPr>
          <w:p>
            <w:pPr>
              <w:jc w:val="left"/>
            </w:pPr>
            <w:r>
              <w:rPr>
                <w:rFonts w:ascii="Calibri" w:hAnsi="Calibri"/>
                <w:b w:val="0"/>
                <w:i w:val="0"/>
                <w:color w:val="2C2C2C"/>
                <w:sz w:val="20"/>
              </w:rPr>
              <w:t>—</w:t>
            </w:r>
          </w:p>
        </w:tc>
        <w:tc>
          <w:tcPr>
            <w:tcW w:type="dxa" w:w="3"/>
            <w:shd w:val="clear" w:color="auto" w:fill="FFFFFF"/>
            <w:tcMar>
              <w:top w:w="80" w:type="dxa"/>
              <w:bottom w:w="80" w:type="dxa"/>
              <w:left w:w="120" w:type="dxa"/>
              <w:right w:w="120" w:type="dxa"/>
            </w:tcMar>
          </w:tcPr>
          <w:p>
            <w:pPr>
              <w:jc w:val="left"/>
            </w:pPr>
            <w:r>
              <w:rPr>
                <w:rFonts w:ascii="Calibri" w:hAnsi="Calibri"/>
                <w:b w:val="0"/>
                <w:i w:val="0"/>
                <w:color w:val="2C2C2C"/>
                <w:sz w:val="20"/>
              </w:rPr>
              <w:t>—</w:t>
            </w:r>
          </w:p>
        </w:tc>
        <w:tc>
          <w:tcPr>
            <w:tcW w:type="dxa" w:w="3"/>
            <w:shd w:val="clear" w:color="auto" w:fill="FFFFFF"/>
            <w:tcMar>
              <w:top w:w="80" w:type="dxa"/>
              <w:bottom w:w="80" w:type="dxa"/>
              <w:left w:w="120" w:type="dxa"/>
              <w:right w:w="120" w:type="dxa"/>
            </w:tcMar>
          </w:tcPr>
          <w:p>
            <w:pPr>
              <w:jc w:val="left"/>
            </w:pPr>
            <w:r>
              <w:rPr>
                <w:rFonts w:ascii="Calibri" w:hAnsi="Calibri"/>
                <w:b w:val="0"/>
                <w:i w:val="0"/>
                <w:color w:val="2C2C2C"/>
                <w:sz w:val="20"/>
              </w:rPr>
              <w:t>✓ (5 rivals)</w:t>
            </w:r>
          </w:p>
        </w:tc>
        <w:tc>
          <w:tcPr>
            <w:tcW w:type="dxa" w:w="6"/>
            <w:shd w:val="clear" w:color="auto" w:fill="FFFFFF"/>
            <w:tcMar>
              <w:top w:w="80" w:type="dxa"/>
              <w:bottom w:w="80" w:type="dxa"/>
              <w:left w:w="120" w:type="dxa"/>
              <w:right w:w="120" w:type="dxa"/>
            </w:tcMar>
          </w:tcPr>
          <w:p>
            <w:pPr>
              <w:jc w:val="left"/>
            </w:pPr>
            <w:r>
              <w:rPr>
                <w:rFonts w:ascii="Calibri" w:hAnsi="Calibri"/>
                <w:b w:val="0"/>
                <w:i w:val="0"/>
                <w:color w:val="2C2C2C"/>
                <w:sz w:val="20"/>
              </w:rPr>
              <w:t>✓ Unlimited</w:t>
            </w:r>
          </w:p>
        </w:tc>
      </w:tr>
      <w:tr>
        <w:tc>
          <w:tcPr>
            <w:tcW w:type="dxa" w:w="4"/>
            <w:shd w:val="clear" w:color="auto" w:fill="EEF3FA"/>
            <w:tcMar>
              <w:top w:w="80" w:type="dxa"/>
              <w:bottom w:w="80" w:type="dxa"/>
              <w:left w:w="120" w:type="dxa"/>
              <w:right w:w="120" w:type="dxa"/>
            </w:tcMar>
          </w:tcPr>
          <w:p>
            <w:pPr>
              <w:jc w:val="left"/>
            </w:pPr>
            <w:r>
              <w:rPr>
                <w:rFonts w:ascii="Calibri" w:hAnsi="Calibri"/>
                <w:b/>
                <w:i w:val="0"/>
                <w:color w:val="2C2C2C"/>
                <w:sz w:val="20"/>
              </w:rPr>
              <w:t>API access</w:t>
            </w:r>
          </w:p>
        </w:tc>
        <w:tc>
          <w:tcPr>
            <w:tcW w:type="dxa" w:w="3"/>
            <w:shd w:val="clear" w:color="auto" w:fill="EEF3FA"/>
            <w:tcMar>
              <w:top w:w="80" w:type="dxa"/>
              <w:bottom w:w="80" w:type="dxa"/>
              <w:left w:w="120" w:type="dxa"/>
              <w:right w:w="120" w:type="dxa"/>
            </w:tcMar>
          </w:tcPr>
          <w:p>
            <w:pPr>
              <w:jc w:val="left"/>
            </w:pPr>
            <w:r>
              <w:rPr>
                <w:rFonts w:ascii="Calibri" w:hAnsi="Calibri"/>
                <w:b w:val="0"/>
                <w:i w:val="0"/>
                <w:color w:val="2C2C2C"/>
                <w:sz w:val="20"/>
              </w:rPr>
              <w:t>—</w:t>
            </w:r>
          </w:p>
        </w:tc>
        <w:tc>
          <w:tcPr>
            <w:tcW w:type="dxa" w:w="3"/>
            <w:shd w:val="clear" w:color="auto" w:fill="EEF3FA"/>
            <w:tcMar>
              <w:top w:w="80" w:type="dxa"/>
              <w:bottom w:w="80" w:type="dxa"/>
              <w:left w:w="120" w:type="dxa"/>
              <w:right w:w="120" w:type="dxa"/>
            </w:tcMar>
          </w:tcPr>
          <w:p>
            <w:pPr>
              <w:jc w:val="left"/>
            </w:pPr>
            <w:r>
              <w:rPr>
                <w:rFonts w:ascii="Calibri" w:hAnsi="Calibri"/>
                <w:b w:val="0"/>
                <w:i w:val="0"/>
                <w:color w:val="2C2C2C"/>
                <w:sz w:val="20"/>
              </w:rPr>
              <w:t>—</w:t>
            </w:r>
          </w:p>
        </w:tc>
        <w:tc>
          <w:tcPr>
            <w:tcW w:type="dxa" w:w="3"/>
            <w:shd w:val="clear" w:color="auto" w:fill="EEF3FA"/>
            <w:tcMar>
              <w:top w:w="80" w:type="dxa"/>
              <w:bottom w:w="80" w:type="dxa"/>
              <w:left w:w="120" w:type="dxa"/>
              <w:right w:w="120" w:type="dxa"/>
            </w:tcMar>
          </w:tcPr>
          <w:p>
            <w:pPr>
              <w:jc w:val="left"/>
            </w:pPr>
            <w:r>
              <w:rPr>
                <w:rFonts w:ascii="Calibri" w:hAnsi="Calibri"/>
                <w:b w:val="0"/>
                <w:i w:val="0"/>
                <w:color w:val="2C2C2C"/>
                <w:sz w:val="20"/>
              </w:rPr>
              <w:t>✓</w:t>
            </w:r>
          </w:p>
        </w:tc>
        <w:tc>
          <w:tcPr>
            <w:tcW w:type="dxa" w:w="6"/>
            <w:shd w:val="clear" w:color="auto" w:fill="EEF3FA"/>
            <w:tcMar>
              <w:top w:w="80" w:type="dxa"/>
              <w:bottom w:w="80" w:type="dxa"/>
              <w:left w:w="120" w:type="dxa"/>
              <w:right w:w="120" w:type="dxa"/>
            </w:tcMar>
          </w:tcPr>
          <w:p>
            <w:pPr>
              <w:jc w:val="left"/>
            </w:pPr>
            <w:r>
              <w:rPr>
                <w:rFonts w:ascii="Calibri" w:hAnsi="Calibri"/>
                <w:b w:val="0"/>
                <w:i w:val="0"/>
                <w:color w:val="2C2C2C"/>
                <w:sz w:val="20"/>
              </w:rPr>
              <w:t>✓</w:t>
            </w:r>
          </w:p>
        </w:tc>
      </w:tr>
      <w:tr>
        <w:tc>
          <w:tcPr>
            <w:tcW w:type="dxa" w:w="4"/>
            <w:shd w:val="clear" w:color="auto" w:fill="FFFFFF"/>
            <w:tcMar>
              <w:top w:w="80" w:type="dxa"/>
              <w:bottom w:w="80" w:type="dxa"/>
              <w:left w:w="120" w:type="dxa"/>
              <w:right w:w="120" w:type="dxa"/>
            </w:tcMar>
          </w:tcPr>
          <w:p>
            <w:pPr>
              <w:jc w:val="left"/>
            </w:pPr>
            <w:r>
              <w:rPr>
                <w:rFonts w:ascii="Calibri" w:hAnsi="Calibri"/>
                <w:b/>
                <w:i w:val="0"/>
                <w:color w:val="2C2C2C"/>
                <w:sz w:val="20"/>
              </w:rPr>
              <w:t>CSV / data export</w:t>
            </w:r>
          </w:p>
        </w:tc>
        <w:tc>
          <w:tcPr>
            <w:tcW w:type="dxa" w:w="3"/>
            <w:shd w:val="clear" w:color="auto" w:fill="FFFFFF"/>
            <w:tcMar>
              <w:top w:w="80" w:type="dxa"/>
              <w:bottom w:w="80" w:type="dxa"/>
              <w:left w:w="120" w:type="dxa"/>
              <w:right w:w="120" w:type="dxa"/>
            </w:tcMar>
          </w:tcPr>
          <w:p>
            <w:pPr>
              <w:jc w:val="left"/>
            </w:pPr>
            <w:r>
              <w:rPr>
                <w:rFonts w:ascii="Calibri" w:hAnsi="Calibri"/>
                <w:b w:val="0"/>
                <w:i w:val="0"/>
                <w:color w:val="2C2C2C"/>
                <w:sz w:val="20"/>
              </w:rPr>
              <w:t>—</w:t>
            </w:r>
          </w:p>
        </w:tc>
        <w:tc>
          <w:tcPr>
            <w:tcW w:type="dxa" w:w="3"/>
            <w:shd w:val="clear" w:color="auto" w:fill="FFFFFF"/>
            <w:tcMar>
              <w:top w:w="80" w:type="dxa"/>
              <w:bottom w:w="80" w:type="dxa"/>
              <w:left w:w="120" w:type="dxa"/>
              <w:right w:w="120" w:type="dxa"/>
            </w:tcMar>
          </w:tcPr>
          <w:p>
            <w:pPr>
              <w:jc w:val="left"/>
            </w:pPr>
            <w:r>
              <w:rPr>
                <w:rFonts w:ascii="Calibri" w:hAnsi="Calibri"/>
                <w:b w:val="0"/>
                <w:i w:val="0"/>
                <w:color w:val="2C2C2C"/>
                <w:sz w:val="20"/>
              </w:rPr>
              <w:t>✓</w:t>
            </w:r>
          </w:p>
        </w:tc>
        <w:tc>
          <w:tcPr>
            <w:tcW w:type="dxa" w:w="3"/>
            <w:shd w:val="clear" w:color="auto" w:fill="FFFFFF"/>
            <w:tcMar>
              <w:top w:w="80" w:type="dxa"/>
              <w:bottom w:w="80" w:type="dxa"/>
              <w:left w:w="120" w:type="dxa"/>
              <w:right w:w="120" w:type="dxa"/>
            </w:tcMar>
          </w:tcPr>
          <w:p>
            <w:pPr>
              <w:jc w:val="left"/>
            </w:pPr>
            <w:r>
              <w:rPr>
                <w:rFonts w:ascii="Calibri" w:hAnsi="Calibri"/>
                <w:b w:val="0"/>
                <w:i w:val="0"/>
                <w:color w:val="2C2C2C"/>
                <w:sz w:val="20"/>
              </w:rPr>
              <w:t>✓</w:t>
            </w:r>
          </w:p>
        </w:tc>
        <w:tc>
          <w:tcPr>
            <w:tcW w:type="dxa" w:w="6"/>
            <w:shd w:val="clear" w:color="auto" w:fill="FFFFFF"/>
            <w:tcMar>
              <w:top w:w="80" w:type="dxa"/>
              <w:bottom w:w="80" w:type="dxa"/>
              <w:left w:w="120" w:type="dxa"/>
              <w:right w:w="120" w:type="dxa"/>
            </w:tcMar>
          </w:tcPr>
          <w:p>
            <w:pPr>
              <w:jc w:val="left"/>
            </w:pPr>
            <w:r>
              <w:rPr>
                <w:rFonts w:ascii="Calibri" w:hAnsi="Calibri"/>
                <w:b w:val="0"/>
                <w:i w:val="0"/>
                <w:color w:val="2C2C2C"/>
                <w:sz w:val="20"/>
              </w:rPr>
              <w:t>✓</w:t>
            </w:r>
          </w:p>
        </w:tc>
      </w:tr>
      <w:tr>
        <w:tc>
          <w:tcPr>
            <w:tcW w:type="dxa" w:w="4"/>
            <w:shd w:val="clear" w:color="auto" w:fill="EEF3FA"/>
            <w:tcMar>
              <w:top w:w="80" w:type="dxa"/>
              <w:bottom w:w="80" w:type="dxa"/>
              <w:left w:w="120" w:type="dxa"/>
              <w:right w:w="120" w:type="dxa"/>
            </w:tcMar>
          </w:tcPr>
          <w:p>
            <w:pPr>
              <w:jc w:val="left"/>
            </w:pPr>
            <w:r>
              <w:rPr>
                <w:rFonts w:ascii="Calibri" w:hAnsi="Calibri"/>
                <w:b/>
                <w:i w:val="0"/>
                <w:color w:val="2C2C2C"/>
                <w:sz w:val="20"/>
              </w:rPr>
              <w:t>Trend alerts</w:t>
            </w:r>
          </w:p>
        </w:tc>
        <w:tc>
          <w:tcPr>
            <w:tcW w:type="dxa" w:w="3"/>
            <w:shd w:val="clear" w:color="auto" w:fill="EEF3FA"/>
            <w:tcMar>
              <w:top w:w="80" w:type="dxa"/>
              <w:bottom w:w="80" w:type="dxa"/>
              <w:left w:w="120" w:type="dxa"/>
              <w:right w:w="120" w:type="dxa"/>
            </w:tcMar>
          </w:tcPr>
          <w:p>
            <w:pPr>
              <w:jc w:val="left"/>
            </w:pPr>
            <w:r>
              <w:rPr>
                <w:rFonts w:ascii="Calibri" w:hAnsi="Calibri"/>
                <w:b w:val="0"/>
                <w:i w:val="0"/>
                <w:color w:val="2C2C2C"/>
                <w:sz w:val="20"/>
              </w:rPr>
              <w:t>—</w:t>
            </w:r>
          </w:p>
        </w:tc>
        <w:tc>
          <w:tcPr>
            <w:tcW w:type="dxa" w:w="3"/>
            <w:shd w:val="clear" w:color="auto" w:fill="EEF3FA"/>
            <w:tcMar>
              <w:top w:w="80" w:type="dxa"/>
              <w:bottom w:w="80" w:type="dxa"/>
              <w:left w:w="120" w:type="dxa"/>
              <w:right w:w="120" w:type="dxa"/>
            </w:tcMar>
          </w:tcPr>
          <w:p>
            <w:pPr>
              <w:jc w:val="left"/>
            </w:pPr>
            <w:r>
              <w:rPr>
                <w:rFonts w:ascii="Calibri" w:hAnsi="Calibri"/>
                <w:b w:val="0"/>
                <w:i w:val="0"/>
                <w:color w:val="2C2C2C"/>
                <w:sz w:val="20"/>
              </w:rPr>
              <w:t>Email only</w:t>
            </w:r>
          </w:p>
        </w:tc>
        <w:tc>
          <w:tcPr>
            <w:tcW w:type="dxa" w:w="3"/>
            <w:shd w:val="clear" w:color="auto" w:fill="EEF3FA"/>
            <w:tcMar>
              <w:top w:w="80" w:type="dxa"/>
              <w:bottom w:w="80" w:type="dxa"/>
              <w:left w:w="120" w:type="dxa"/>
              <w:right w:w="120" w:type="dxa"/>
            </w:tcMar>
          </w:tcPr>
          <w:p>
            <w:pPr>
              <w:jc w:val="left"/>
            </w:pPr>
            <w:r>
              <w:rPr>
                <w:rFonts w:ascii="Calibri" w:hAnsi="Calibri"/>
                <w:b w:val="0"/>
                <w:i w:val="0"/>
                <w:color w:val="2C2C2C"/>
                <w:sz w:val="20"/>
              </w:rPr>
              <w:t>Email + SMS</w:t>
            </w:r>
          </w:p>
        </w:tc>
        <w:tc>
          <w:tcPr>
            <w:tcW w:type="dxa" w:w="6"/>
            <w:shd w:val="clear" w:color="auto" w:fill="EEF3FA"/>
            <w:tcMar>
              <w:top w:w="80" w:type="dxa"/>
              <w:bottom w:w="80" w:type="dxa"/>
              <w:left w:w="120" w:type="dxa"/>
              <w:right w:w="120" w:type="dxa"/>
            </w:tcMar>
          </w:tcPr>
          <w:p>
            <w:pPr>
              <w:jc w:val="left"/>
            </w:pPr>
            <w:r>
              <w:rPr>
                <w:rFonts w:ascii="Calibri" w:hAnsi="Calibri"/>
                <w:b w:val="0"/>
                <w:i w:val="0"/>
                <w:color w:val="2C2C2C"/>
                <w:sz w:val="20"/>
              </w:rPr>
              <w:t>Custom webhooks</w:t>
            </w:r>
          </w:p>
        </w:tc>
      </w:tr>
      <w:tr>
        <w:tc>
          <w:tcPr>
            <w:tcW w:type="dxa" w:w="4"/>
            <w:shd w:val="clear" w:color="auto" w:fill="FFFFFF"/>
            <w:tcMar>
              <w:top w:w="80" w:type="dxa"/>
              <w:bottom w:w="80" w:type="dxa"/>
              <w:left w:w="120" w:type="dxa"/>
              <w:right w:w="120" w:type="dxa"/>
            </w:tcMar>
          </w:tcPr>
          <w:p>
            <w:pPr>
              <w:jc w:val="left"/>
            </w:pPr>
            <w:r>
              <w:rPr>
                <w:rFonts w:ascii="Calibri" w:hAnsi="Calibri"/>
                <w:b/>
                <w:i w:val="0"/>
                <w:color w:val="2C2C2C"/>
                <w:sz w:val="20"/>
              </w:rPr>
              <w:t>White-label</w:t>
            </w:r>
          </w:p>
        </w:tc>
        <w:tc>
          <w:tcPr>
            <w:tcW w:type="dxa" w:w="3"/>
            <w:shd w:val="clear" w:color="auto" w:fill="FFFFFF"/>
            <w:tcMar>
              <w:top w:w="80" w:type="dxa"/>
              <w:bottom w:w="80" w:type="dxa"/>
              <w:left w:w="120" w:type="dxa"/>
              <w:right w:w="120" w:type="dxa"/>
            </w:tcMar>
          </w:tcPr>
          <w:p>
            <w:pPr>
              <w:jc w:val="left"/>
            </w:pPr>
            <w:r>
              <w:rPr>
                <w:rFonts w:ascii="Calibri" w:hAnsi="Calibri"/>
                <w:b w:val="0"/>
                <w:i w:val="0"/>
                <w:color w:val="2C2C2C"/>
                <w:sz w:val="20"/>
              </w:rPr>
              <w:t>—</w:t>
            </w:r>
          </w:p>
        </w:tc>
        <w:tc>
          <w:tcPr>
            <w:tcW w:type="dxa" w:w="3"/>
            <w:shd w:val="clear" w:color="auto" w:fill="FFFFFF"/>
            <w:tcMar>
              <w:top w:w="80" w:type="dxa"/>
              <w:bottom w:w="80" w:type="dxa"/>
              <w:left w:w="120" w:type="dxa"/>
              <w:right w:w="120" w:type="dxa"/>
            </w:tcMar>
          </w:tcPr>
          <w:p>
            <w:pPr>
              <w:jc w:val="left"/>
            </w:pPr>
            <w:r>
              <w:rPr>
                <w:rFonts w:ascii="Calibri" w:hAnsi="Calibri"/>
                <w:b w:val="0"/>
                <w:i w:val="0"/>
                <w:color w:val="2C2C2C"/>
                <w:sz w:val="20"/>
              </w:rPr>
              <w:t>—</w:t>
            </w:r>
          </w:p>
        </w:tc>
        <w:tc>
          <w:tcPr>
            <w:tcW w:type="dxa" w:w="3"/>
            <w:shd w:val="clear" w:color="auto" w:fill="FFFFFF"/>
            <w:tcMar>
              <w:top w:w="80" w:type="dxa"/>
              <w:bottom w:w="80" w:type="dxa"/>
              <w:left w:w="120" w:type="dxa"/>
              <w:right w:w="120" w:type="dxa"/>
            </w:tcMar>
          </w:tcPr>
          <w:p>
            <w:pPr>
              <w:jc w:val="left"/>
            </w:pPr>
            <w:r>
              <w:rPr>
                <w:rFonts w:ascii="Calibri" w:hAnsi="Calibri"/>
                <w:b w:val="0"/>
                <w:i w:val="0"/>
                <w:color w:val="2C2C2C"/>
                <w:sz w:val="20"/>
              </w:rPr>
              <w:t>—</w:t>
            </w:r>
          </w:p>
        </w:tc>
        <w:tc>
          <w:tcPr>
            <w:tcW w:type="dxa" w:w="6"/>
            <w:shd w:val="clear" w:color="auto" w:fill="FFFFFF"/>
            <w:tcMar>
              <w:top w:w="80" w:type="dxa"/>
              <w:bottom w:w="80" w:type="dxa"/>
              <w:left w:w="120" w:type="dxa"/>
              <w:right w:w="120" w:type="dxa"/>
            </w:tcMar>
          </w:tcPr>
          <w:p>
            <w:pPr>
              <w:jc w:val="left"/>
            </w:pPr>
            <w:r>
              <w:rPr>
                <w:rFonts w:ascii="Calibri" w:hAnsi="Calibri"/>
                <w:b w:val="0"/>
                <w:i w:val="0"/>
                <w:color w:val="2C2C2C"/>
                <w:sz w:val="20"/>
              </w:rPr>
              <w:t>✓</w:t>
            </w:r>
          </w:p>
        </w:tc>
      </w:tr>
      <w:tr>
        <w:tc>
          <w:tcPr>
            <w:tcW w:type="dxa" w:w="4"/>
            <w:shd w:val="clear" w:color="auto" w:fill="EEF3FA"/>
            <w:tcMar>
              <w:top w:w="80" w:type="dxa"/>
              <w:bottom w:w="80" w:type="dxa"/>
              <w:left w:w="120" w:type="dxa"/>
              <w:right w:w="120" w:type="dxa"/>
            </w:tcMar>
          </w:tcPr>
          <w:p>
            <w:pPr>
              <w:jc w:val="left"/>
            </w:pPr>
            <w:r>
              <w:rPr>
                <w:rFonts w:ascii="Calibri" w:hAnsi="Calibri"/>
                <w:b/>
                <w:i w:val="0"/>
                <w:color w:val="2C2C2C"/>
                <w:sz w:val="20"/>
              </w:rPr>
              <w:t>Support</w:t>
            </w:r>
          </w:p>
        </w:tc>
        <w:tc>
          <w:tcPr>
            <w:tcW w:type="dxa" w:w="3"/>
            <w:shd w:val="clear" w:color="auto" w:fill="EEF3FA"/>
            <w:tcMar>
              <w:top w:w="80" w:type="dxa"/>
              <w:bottom w:w="80" w:type="dxa"/>
              <w:left w:w="120" w:type="dxa"/>
              <w:right w:w="120" w:type="dxa"/>
            </w:tcMar>
          </w:tcPr>
          <w:p>
            <w:pPr>
              <w:jc w:val="left"/>
            </w:pPr>
            <w:r>
              <w:rPr>
                <w:rFonts w:ascii="Calibri" w:hAnsi="Calibri"/>
                <w:b w:val="0"/>
                <w:i w:val="0"/>
                <w:color w:val="2C2C2C"/>
                <w:sz w:val="20"/>
              </w:rPr>
              <w:t>Community</w:t>
            </w:r>
          </w:p>
        </w:tc>
        <w:tc>
          <w:tcPr>
            <w:tcW w:type="dxa" w:w="3"/>
            <w:shd w:val="clear" w:color="auto" w:fill="EEF3FA"/>
            <w:tcMar>
              <w:top w:w="80" w:type="dxa"/>
              <w:bottom w:w="80" w:type="dxa"/>
              <w:left w:w="120" w:type="dxa"/>
              <w:right w:w="120" w:type="dxa"/>
            </w:tcMar>
          </w:tcPr>
          <w:p>
            <w:pPr>
              <w:jc w:val="left"/>
            </w:pPr>
            <w:r>
              <w:rPr>
                <w:rFonts w:ascii="Calibri" w:hAnsi="Calibri"/>
                <w:b w:val="0"/>
                <w:i w:val="0"/>
                <w:color w:val="2C2C2C"/>
                <w:sz w:val="20"/>
              </w:rPr>
              <w:t>Email</w:t>
            </w:r>
          </w:p>
        </w:tc>
        <w:tc>
          <w:tcPr>
            <w:tcW w:type="dxa" w:w="3"/>
            <w:shd w:val="clear" w:color="auto" w:fill="EEF3FA"/>
            <w:tcMar>
              <w:top w:w="80" w:type="dxa"/>
              <w:bottom w:w="80" w:type="dxa"/>
              <w:left w:w="120" w:type="dxa"/>
              <w:right w:w="120" w:type="dxa"/>
            </w:tcMar>
          </w:tcPr>
          <w:p>
            <w:pPr>
              <w:jc w:val="left"/>
            </w:pPr>
            <w:r>
              <w:rPr>
                <w:rFonts w:ascii="Calibri" w:hAnsi="Calibri"/>
                <w:b w:val="0"/>
                <w:i w:val="0"/>
                <w:color w:val="2C2C2C"/>
                <w:sz w:val="20"/>
              </w:rPr>
              <w:t>Priority email</w:t>
            </w:r>
          </w:p>
        </w:tc>
        <w:tc>
          <w:tcPr>
            <w:tcW w:type="dxa" w:w="6"/>
            <w:shd w:val="clear" w:color="auto" w:fill="EEF3FA"/>
            <w:tcMar>
              <w:top w:w="80" w:type="dxa"/>
              <w:bottom w:w="80" w:type="dxa"/>
              <w:left w:w="120" w:type="dxa"/>
              <w:right w:w="120" w:type="dxa"/>
            </w:tcMar>
          </w:tcPr>
          <w:p>
            <w:pPr>
              <w:jc w:val="left"/>
            </w:pPr>
            <w:r>
              <w:rPr>
                <w:rFonts w:ascii="Calibri" w:hAnsi="Calibri"/>
                <w:b w:val="0"/>
                <w:i w:val="0"/>
                <w:color w:val="2C2C2C"/>
                <w:sz w:val="20"/>
              </w:rPr>
              <w:t>Dedicated CSM</w:t>
            </w:r>
          </w:p>
        </w:tc>
      </w:tr>
    </w:tbl>
    <w:p/>
    <w:p>
      <w:pPr>
        <w:spacing w:before="240" w:after="60"/>
      </w:pPr>
      <w:r>
        <w:rPr>
          <w:rFonts w:ascii="Calibri" w:hAnsi="Calibri"/>
          <w:b/>
          <w:i w:val="0"/>
          <w:color w:val="276FBF"/>
          <w:sz w:val="26"/>
        </w:rPr>
        <w:t>3.2  Pricing Rationale</w:t>
      </w:r>
    </w:p>
    <w:p>
      <w:pPr>
        <w:spacing w:before="0" w:after="120"/>
        <w:jc w:val="both"/>
      </w:pPr>
      <w:r>
        <w:rPr>
          <w:rFonts w:ascii="Calibri" w:hAnsi="Calibri"/>
          <w:b w:val="0"/>
          <w:i w:val="0"/>
          <w:color w:val="2C2C2C"/>
          <w:sz w:val="22"/>
        </w:rPr>
        <w:t>The Growth tier at PKR 4,500/month (~USD 16) is priced as a deliberate undercut relative to global competitors. Yotpo's entry paid plan begins at USD 169/month (PKR ~47,000), and Bazaarvoice enterprise contracts start at USD 3,000–10,000/month — both entirely inaccessible to Pakistani SMEs. The platform's locally-appropriate pricing model is a structural advantage, not just a discount: it reflects the cost base of self-hosted LLM inference and local infrastructure, enabling sustainable margins at PKR price points that global tools cannot match.</w:t>
      </w:r>
    </w:p>
    <w:p>
      <w:pPr>
        <w:spacing w:before="240" w:after="60"/>
      </w:pPr>
      <w:r>
        <w:rPr>
          <w:rFonts w:ascii="Calibri" w:hAnsi="Calibri"/>
          <w:b/>
          <w:i w:val="0"/>
          <w:color w:val="276FBF"/>
          <w:sz w:val="26"/>
        </w:rPr>
        <w:t>3.3  Additional Revenue Streams</w:t>
      </w:r>
    </w:p>
    <w:p>
      <w:pPr>
        <w:pStyle w:val="ListBullet"/>
        <w:spacing w:before="20" w:after="60"/>
        <w:ind w:left="360"/>
      </w:pPr>
      <w:r>
        <w:rPr>
          <w:rFonts w:ascii="Calibri" w:hAnsi="Calibri"/>
          <w:b/>
          <w:i w:val="0"/>
          <w:color w:val="1A3A5C"/>
          <w:sz w:val="22"/>
        </w:rPr>
        <w:t xml:space="preserve">One-Time Audit Reports (PKR 8,000–25,000): </w:t>
      </w:r>
      <w:r>
        <w:rPr>
          <w:rFonts w:ascii="Calibri" w:hAnsi="Calibri"/>
          <w:b w:val="0"/>
          <w:i w:val="0"/>
          <w:color w:val="2C2C2C"/>
          <w:sz w:val="22"/>
        </w:rPr>
        <w:t>A seller pays a flat fee for a deep-dive, PDF-formatted analysis of their entire product line's review health. This serves as a low-commitment entry point for sellers who are not yet ready to subscribe, and as an upsell path into the Growth tier.</w:t>
      </w:r>
    </w:p>
    <w:p>
      <w:pPr>
        <w:pStyle w:val="ListBullet"/>
        <w:spacing w:before="20" w:after="60"/>
        <w:ind w:left="360"/>
      </w:pPr>
      <w:r>
        <w:rPr>
          <w:rFonts w:ascii="Calibri" w:hAnsi="Calibri"/>
          <w:b/>
          <w:i w:val="0"/>
          <w:color w:val="1A3A5C"/>
          <w:sz w:val="22"/>
        </w:rPr>
        <w:t xml:space="preserve">API Access (Metered): </w:t>
      </w:r>
      <w:r>
        <w:rPr>
          <w:rFonts w:ascii="Calibri" w:hAnsi="Calibri"/>
          <w:b w:val="0"/>
          <w:i w:val="0"/>
          <w:color w:val="2C2C2C"/>
          <w:sz w:val="22"/>
        </w:rPr>
        <w:t>Pro and Enterprise subscribers can access the platform's NLP pipeline programmatically. Additional API calls beyond the included allowance are billed at PKR 2/1,000 reviews. This opens a developer and research customer segment.</w:t>
      </w:r>
    </w:p>
    <w:p>
      <w:pPr>
        <w:pStyle w:val="ListBullet"/>
        <w:spacing w:before="20" w:after="60"/>
        <w:ind w:left="360"/>
      </w:pPr>
      <w:r>
        <w:rPr>
          <w:rFonts w:ascii="Calibri" w:hAnsi="Calibri"/>
          <w:b/>
          <w:i w:val="0"/>
          <w:color w:val="1A3A5C"/>
          <w:sz w:val="22"/>
        </w:rPr>
        <w:t xml:space="preserve">Competitor Intelligence Add-On (PKR 2,500/month): </w:t>
      </w:r>
      <w:r>
        <w:rPr>
          <w:rFonts w:ascii="Calibri" w:hAnsi="Calibri"/>
          <w:b w:val="0"/>
          <w:i w:val="0"/>
          <w:color w:val="2C2C2C"/>
          <w:sz w:val="22"/>
        </w:rPr>
        <w:t>Available as a standalone add-on for Growth subscribers who want competitor benchmarking without upgrading to Pro. Increases ARPU without forcing plan upgrades.</w:t>
      </w:r>
    </w:p>
    <w:p>
      <w:pPr>
        <w:pStyle w:val="ListBullet"/>
        <w:spacing w:before="20" w:after="60"/>
        <w:ind w:left="360"/>
      </w:pPr>
      <w:r>
        <w:rPr>
          <w:rFonts w:ascii="Calibri" w:hAnsi="Calibri"/>
          <w:b/>
          <w:i w:val="0"/>
          <w:color w:val="1A3A5C"/>
          <w:sz w:val="22"/>
        </w:rPr>
        <w:t xml:space="preserve">Agency Reseller Programme: </w:t>
      </w:r>
      <w:r>
        <w:rPr>
          <w:rFonts w:ascii="Calibri" w:hAnsi="Calibri"/>
          <w:b w:val="0"/>
          <w:i w:val="0"/>
          <w:color w:val="2C2C2C"/>
          <w:sz w:val="22"/>
        </w:rPr>
        <w:t>Agencies managing multiple brand accounts receive volume pricing in exchange for committing to a minimum number of seats. Revenue is guaranteed; customer acquisition cost is near-zero for each account the agency brings.</w:t>
      </w:r>
    </w:p>
    <w:p>
      <w:pPr>
        <w:spacing w:before="240" w:after="60"/>
      </w:pPr>
      <w:r>
        <w:rPr>
          <w:rFonts w:ascii="Calibri" w:hAnsi="Calibri"/>
          <w:b/>
          <w:i w:val="0"/>
          <w:color w:val="276FBF"/>
          <w:sz w:val="26"/>
        </w:rPr>
        <w:t>3.4  Year 1 Revenue Projection</w:t>
      </w:r>
    </w:p>
    <w:p>
      <w:pPr>
        <w:spacing w:before="0" w:after="120"/>
        <w:jc w:val="both"/>
      </w:pPr>
      <w:r>
        <w:rPr>
          <w:rFonts w:ascii="Calibri" w:hAnsi="Calibri"/>
          <w:b w:val="0"/>
          <w:i w:val="0"/>
          <w:color w:val="2C2C2C"/>
          <w:sz w:val="22"/>
        </w:rPr>
        <w:t>Under a conservative scenario of 400 paid accounts with an average mix of 60% Growth and 40% Pro tier, and an average ARPU of approximately PKR 6,500/month, the platform would generate approximately PKR 31.2 million (USD ~110,000) in annual recurring revenue. Audit report sales and API revenue would contribute an estimated additional PKR 3–5 million. This is a student project, so exact projections carry significant uncertainty; the model is presented to demonstrate financial viability of the structure, not as a formal financial forecast.</w:t>
      </w:r>
    </w:p>
    <w:p>
      <w:pPr>
        <w:spacing w:before="360" w:after="80"/>
        <w:pBdr>
          <w:bottom w:val="single" w:sz="6" w:space="4" w:color="276FBF"/>
        </w:pBdr>
      </w:pPr>
      <w:r>
        <w:rPr>
          <w:rFonts w:ascii="Calibri" w:hAnsi="Calibri"/>
          <w:b/>
          <w:i w:val="0"/>
          <w:color w:val="1A3A5C"/>
          <w:sz w:val="32"/>
        </w:rPr>
        <w:t>4.  Go-To-Market Strategy</w:t>
      </w:r>
    </w:p>
    <w:p>
      <w:pPr>
        <w:spacing w:before="0" w:after="120"/>
        <w:jc w:val="both"/>
      </w:pPr>
      <w:r>
        <w:rPr>
          <w:rFonts w:ascii="Calibri" w:hAnsi="Calibri"/>
          <w:b w:val="0"/>
          <w:i w:val="0"/>
          <w:color w:val="2C2C2C"/>
          <w:sz w:val="22"/>
        </w:rPr>
        <w:t>A product solving a B2B problem in an emerging market requires a trust-first, community-led acquisition strategy. Pakistani sellers are sceptical of new SaaS products — many have been burned by tools that failed to deliver or could not support local languages. The go-to-market strategy is designed to lower the cost of trust-building.</w:t>
      </w:r>
    </w:p>
    <w:p>
      <w:pPr>
        <w:spacing w:before="240" w:after="60"/>
      </w:pPr>
      <w:r>
        <w:rPr>
          <w:rFonts w:ascii="Calibri" w:hAnsi="Calibri"/>
          <w:b/>
          <w:i w:val="0"/>
          <w:color w:val="276FBF"/>
          <w:sz w:val="26"/>
        </w:rPr>
        <w:t>4.1  Phase 1 — Community Seeding (Months 1–3)</w:t>
      </w:r>
    </w:p>
    <w:p>
      <w:pPr>
        <w:pStyle w:val="ListBullet"/>
        <w:spacing w:before="20" w:after="60"/>
        <w:ind w:left="360"/>
      </w:pPr>
      <w:r>
        <w:rPr>
          <w:rFonts w:ascii="Calibri" w:hAnsi="Calibri"/>
          <w:b/>
          <w:i w:val="0"/>
          <w:color w:val="1A3A5C"/>
          <w:sz w:val="22"/>
        </w:rPr>
        <w:t xml:space="preserve">Daraz Seller Community Infiltration: </w:t>
      </w:r>
      <w:r>
        <w:rPr>
          <w:rFonts w:ascii="Calibri" w:hAnsi="Calibri"/>
          <w:b w:val="0"/>
          <w:i w:val="0"/>
          <w:color w:val="2C2C2C"/>
          <w:sz w:val="22"/>
        </w:rPr>
        <w:t>Pakistan has an active ecosystem of Daraz seller Facebook groups, WhatsApp communities, and YouTube channels. The team will offer free Pro-tier access to 20–30 influential sellers in exchange for honest testimonials and case studies. Real seller data — 'we found 34% of our positive reviews were fake and fixed our packaging after seeing ABSA results' — is the most powerful marketing asset in this market.</w:t>
      </w:r>
    </w:p>
    <w:p>
      <w:pPr>
        <w:pStyle w:val="ListBullet"/>
        <w:spacing w:before="20" w:after="60"/>
        <w:ind w:left="360"/>
      </w:pPr>
      <w:r>
        <w:rPr>
          <w:rFonts w:ascii="Calibri" w:hAnsi="Calibri"/>
          <w:b/>
          <w:i w:val="0"/>
          <w:color w:val="1A3A5C"/>
          <w:sz w:val="22"/>
        </w:rPr>
        <w:t xml:space="preserve">Free Audit as Lead Generation: </w:t>
      </w:r>
      <w:r>
        <w:rPr>
          <w:rFonts w:ascii="Calibri" w:hAnsi="Calibri"/>
          <w:b w:val="0"/>
          <w:i w:val="0"/>
          <w:color w:val="2C2C2C"/>
          <w:sz w:val="22"/>
        </w:rPr>
        <w:t>Sellers can submit their Daraz store URL and receive a free, publicly-visible Trust Score report within 24 hours. No registration required. This creates shareable, data-backed content that spreads organically in seller communities and drives inbound signups.</w:t>
      </w:r>
    </w:p>
    <w:p>
      <w:pPr>
        <w:pStyle w:val="ListBullet"/>
        <w:spacing w:before="20" w:after="60"/>
        <w:ind w:left="360"/>
      </w:pPr>
      <w:r>
        <w:rPr>
          <w:rFonts w:ascii="Calibri" w:hAnsi="Calibri"/>
          <w:b/>
          <w:i w:val="0"/>
          <w:color w:val="1A3A5C"/>
          <w:sz w:val="22"/>
        </w:rPr>
        <w:t xml:space="preserve">Content Marketing in Urdu: </w:t>
      </w:r>
      <w:r>
        <w:rPr>
          <w:rFonts w:ascii="Calibri" w:hAnsi="Calibri"/>
          <w:b w:val="0"/>
          <w:i w:val="0"/>
          <w:color w:val="2C2C2C"/>
          <w:sz w:val="22"/>
        </w:rPr>
        <w:t>Blog posts and short-form video content in Urdu and Roman Urdu explaining 'how to spot fake reviews on Daraz' will rank for high-intent search queries that no competitor currently targets. This is a zero-cost SEO moat.</w:t>
      </w:r>
    </w:p>
    <w:p>
      <w:pPr>
        <w:spacing w:before="240" w:after="60"/>
      </w:pPr>
      <w:r>
        <w:rPr>
          <w:rFonts w:ascii="Calibri" w:hAnsi="Calibri"/>
          <w:b/>
          <w:i w:val="0"/>
          <w:color w:val="276FBF"/>
          <w:sz w:val="26"/>
        </w:rPr>
        <w:t>4.2  Phase 2 — Direct Sales &amp; Partnership (Months 3–9)</w:t>
      </w:r>
    </w:p>
    <w:p>
      <w:pPr>
        <w:pStyle w:val="ListBullet"/>
        <w:spacing w:before="20" w:after="60"/>
        <w:ind w:left="360"/>
      </w:pPr>
      <w:r>
        <w:rPr>
          <w:rFonts w:ascii="Calibri" w:hAnsi="Calibri"/>
          <w:b/>
          <w:i w:val="0"/>
          <w:color w:val="1A3A5C"/>
          <w:sz w:val="22"/>
        </w:rPr>
        <w:t xml:space="preserve">Direct Outreach to Daraz Top Sellers: </w:t>
      </w:r>
      <w:r>
        <w:rPr>
          <w:rFonts w:ascii="Calibri" w:hAnsi="Calibri"/>
          <w:b w:val="0"/>
          <w:i w:val="0"/>
          <w:color w:val="2C2C2C"/>
          <w:sz w:val="22"/>
        </w:rPr>
        <w:t>Daraz publishes seller leaderboards and featured seller pages. Direct outreach via LinkedIn and email to the top 500 sellers, personalised with a free preview of their own product's Trust Score, creates a high-conversion sales motion.</w:t>
      </w:r>
    </w:p>
    <w:p>
      <w:pPr>
        <w:pStyle w:val="ListBullet"/>
        <w:spacing w:before="20" w:after="60"/>
        <w:ind w:left="360"/>
      </w:pPr>
      <w:r>
        <w:rPr>
          <w:rFonts w:ascii="Calibri" w:hAnsi="Calibri"/>
          <w:b/>
          <w:i w:val="0"/>
          <w:color w:val="1A3A5C"/>
          <w:sz w:val="22"/>
        </w:rPr>
        <w:t xml:space="preserve">Agency Partnership Programme: </w:t>
      </w:r>
      <w:r>
        <w:rPr>
          <w:rFonts w:ascii="Calibri" w:hAnsi="Calibri"/>
          <w:b w:val="0"/>
          <w:i w:val="0"/>
          <w:color w:val="2C2C2C"/>
          <w:sz w:val="22"/>
        </w:rPr>
        <w:t>Identify the 10–15 largest e-commerce marketing agencies in Lahore, Karachi, and Islamabad and offer white-label or co-branded versions of the dashboard. Each agency becomes a distribution channel for dozens of brand accounts.</w:t>
      </w:r>
    </w:p>
    <w:p>
      <w:pPr>
        <w:pStyle w:val="ListBullet"/>
        <w:spacing w:before="20" w:after="60"/>
        <w:ind w:left="360"/>
      </w:pPr>
      <w:r>
        <w:rPr>
          <w:rFonts w:ascii="Calibri" w:hAnsi="Calibri"/>
          <w:b/>
          <w:i w:val="0"/>
          <w:color w:val="1A3A5C"/>
          <w:sz w:val="22"/>
        </w:rPr>
        <w:t xml:space="preserve">Alibaba.com PK Exporters: </w:t>
      </w:r>
      <w:r>
        <w:rPr>
          <w:rFonts w:ascii="Calibri" w:hAnsi="Calibri"/>
          <w:b w:val="0"/>
          <w:i w:val="0"/>
          <w:color w:val="2C2C2C"/>
          <w:sz w:val="22"/>
        </w:rPr>
        <w:t>Pakistani exporters selling on Alibaba.com's international marketplace are a highly motivated segment: they receive reviews in English and need structured intelligence to compete against Chinese sellers. The platform's English-language ABSA pipeline already serves this use case without modification.</w:t>
      </w:r>
    </w:p>
    <w:p>
      <w:pPr>
        <w:spacing w:before="240" w:after="60"/>
      </w:pPr>
      <w:r>
        <w:rPr>
          <w:rFonts w:ascii="Calibri" w:hAnsi="Calibri"/>
          <w:b/>
          <w:i w:val="0"/>
          <w:color w:val="276FBF"/>
          <w:sz w:val="26"/>
        </w:rPr>
        <w:t>4.3  Phase 3 — Product-Led Growth (Months 9–18)</w:t>
      </w:r>
    </w:p>
    <w:p>
      <w:pPr>
        <w:spacing w:before="0" w:after="120"/>
        <w:jc w:val="both"/>
      </w:pPr>
      <w:r>
        <w:rPr>
          <w:rFonts w:ascii="Calibri" w:hAnsi="Calibri"/>
          <w:b w:val="0"/>
          <w:i w:val="0"/>
          <w:color w:val="2C2C2C"/>
          <w:sz w:val="22"/>
        </w:rPr>
        <w:t>As the free tier accumulates users, a product-led growth loop activates: free-tier users who hit the 100-review monthly cap are prompted to upgrade with a preview of what additional insights their remaining reviews would yield. The conversion mechanism is not pressure — it is demonstrated value. This mirrors the freemium playbook successfully executed by tools like Notion, Calendly, and HubSpot.</w:t>
      </w:r>
    </w:p>
    <w:p>
      <w:pPr>
        <w:spacing w:before="360" w:after="80"/>
        <w:pBdr>
          <w:bottom w:val="single" w:sz="6" w:space="4" w:color="276FBF"/>
        </w:pBdr>
      </w:pPr>
      <w:r>
        <w:rPr>
          <w:rFonts w:ascii="Calibri" w:hAnsi="Calibri"/>
          <w:b/>
          <w:i w:val="0"/>
          <w:color w:val="1A3A5C"/>
          <w:sz w:val="32"/>
        </w:rPr>
        <w:t>5.  Competitive Landscape</w:t>
      </w:r>
    </w:p>
    <w:p>
      <w:pPr>
        <w:spacing w:before="0" w:after="120"/>
        <w:jc w:val="both"/>
      </w:pPr>
      <w:r>
        <w:rPr>
          <w:rFonts w:ascii="Calibri" w:hAnsi="Calibri"/>
          <w:b w:val="0"/>
          <w:i w:val="0"/>
          <w:color w:val="2C2C2C"/>
          <w:sz w:val="22"/>
        </w:rPr>
        <w:t>The competitive landscape can be divided into three categories: global enterprise tools, now-defunct consumer tools, and indirect local alternatives. The analysis reveals that no direct competitor operates in Pakistan's market with the feature combination this platform offers.</w:t>
      </w:r>
    </w:p>
    <w:p>
      <w:pPr>
        <w:spacing w:before="240" w:after="60"/>
      </w:pPr>
      <w:r>
        <w:rPr>
          <w:rFonts w:ascii="Calibri" w:hAnsi="Calibri"/>
          <w:b/>
          <w:i w:val="0"/>
          <w:color w:val="276FBF"/>
          <w:sz w:val="26"/>
        </w:rPr>
        <w:t>5.1  Competitor Analysis Table</w:t>
      </w:r>
    </w:p>
    <w:tbl>
      <w:tblPr>
        <w:tblStyle w:val="TableGrid"/>
        <w:tblW w:type="auto" w:w="0"/>
        <w:tblLook w:firstColumn="1" w:firstRow="1" w:lastColumn="0" w:lastRow="0" w:noHBand="0" w:noVBand="1" w:val="04A0"/>
      </w:tblPr>
      <w:tblGrid>
        <w:gridCol w:w="1488"/>
        <w:gridCol w:w="1488"/>
        <w:gridCol w:w="1488"/>
        <w:gridCol w:w="1488"/>
        <w:gridCol w:w="1488"/>
        <w:gridCol w:w="1488"/>
      </w:tblGrid>
      <w:tr>
        <w:tc>
          <w:tcPr>
            <w:tcW w:type="dxa" w:w="4"/>
            <w:shd w:val="clear" w:color="auto" w:fill="1A3A5C"/>
            <w:tcMar>
              <w:top w:w="80" w:type="dxa"/>
              <w:bottom w:w="80" w:type="dxa"/>
              <w:left w:w="120" w:type="dxa"/>
              <w:right w:w="120" w:type="dxa"/>
            </w:tcMar>
          </w:tcPr>
          <w:p>
            <w:pPr>
              <w:jc w:val="center"/>
            </w:pPr>
            <w:r>
              <w:rPr>
                <w:rFonts w:ascii="Calibri" w:hAnsi="Calibri"/>
                <w:b/>
                <w:i w:val="0"/>
                <w:color w:val="FFFFFF"/>
                <w:sz w:val="20"/>
              </w:rPr>
              <w:t>Competitor</w:t>
            </w:r>
          </w:p>
        </w:tc>
        <w:tc>
          <w:tcPr>
            <w:tcW w:type="dxa" w:w="2"/>
            <w:shd w:val="clear" w:color="auto" w:fill="1A3A5C"/>
            <w:tcMar>
              <w:top w:w="80" w:type="dxa"/>
              <w:bottom w:w="80" w:type="dxa"/>
              <w:left w:w="120" w:type="dxa"/>
              <w:right w:w="120" w:type="dxa"/>
            </w:tcMar>
          </w:tcPr>
          <w:p>
            <w:pPr>
              <w:jc w:val="center"/>
            </w:pPr>
            <w:r>
              <w:rPr>
                <w:rFonts w:ascii="Calibri" w:hAnsi="Calibri"/>
                <w:b/>
                <w:i w:val="0"/>
                <w:color w:val="FFFFFF"/>
                <w:sz w:val="20"/>
              </w:rPr>
              <w:t>ABSA</w:t>
            </w:r>
          </w:p>
        </w:tc>
        <w:tc>
          <w:tcPr>
            <w:tcW w:type="dxa" w:w="2"/>
            <w:shd w:val="clear" w:color="auto" w:fill="1A3A5C"/>
            <w:tcMar>
              <w:top w:w="80" w:type="dxa"/>
              <w:bottom w:w="80" w:type="dxa"/>
              <w:left w:w="120" w:type="dxa"/>
              <w:right w:w="120" w:type="dxa"/>
            </w:tcMar>
          </w:tcPr>
          <w:p>
            <w:pPr>
              <w:jc w:val="center"/>
            </w:pPr>
            <w:r>
              <w:rPr>
                <w:rFonts w:ascii="Calibri" w:hAnsi="Calibri"/>
                <w:b/>
                <w:i w:val="0"/>
                <w:color w:val="FFFFFF"/>
                <w:sz w:val="20"/>
              </w:rPr>
              <w:t>Fake</w:t>
              <w:br/>
              <w:t>Detection</w:t>
            </w:r>
          </w:p>
        </w:tc>
        <w:tc>
          <w:tcPr>
            <w:tcW w:type="dxa" w:w="2"/>
            <w:shd w:val="clear" w:color="auto" w:fill="1A3A5C"/>
            <w:tcMar>
              <w:top w:w="80" w:type="dxa"/>
              <w:bottom w:w="80" w:type="dxa"/>
              <w:left w:w="120" w:type="dxa"/>
              <w:right w:w="120" w:type="dxa"/>
            </w:tcMar>
          </w:tcPr>
          <w:p>
            <w:pPr>
              <w:jc w:val="center"/>
            </w:pPr>
            <w:r>
              <w:rPr>
                <w:rFonts w:ascii="Calibri" w:hAnsi="Calibri"/>
                <w:b/>
                <w:i w:val="0"/>
                <w:color w:val="FFFFFF"/>
                <w:sz w:val="20"/>
              </w:rPr>
              <w:t>Urdu/</w:t>
              <w:br/>
              <w:t>Roman Urdu</w:t>
            </w:r>
          </w:p>
        </w:tc>
        <w:tc>
          <w:tcPr>
            <w:tcW w:type="dxa" w:w="2"/>
            <w:shd w:val="clear" w:color="auto" w:fill="1A3A5C"/>
            <w:tcMar>
              <w:top w:w="80" w:type="dxa"/>
              <w:bottom w:w="80" w:type="dxa"/>
              <w:left w:w="120" w:type="dxa"/>
              <w:right w:w="120" w:type="dxa"/>
            </w:tcMar>
          </w:tcPr>
          <w:p>
            <w:pPr>
              <w:jc w:val="center"/>
            </w:pPr>
            <w:r>
              <w:rPr>
                <w:rFonts w:ascii="Calibri" w:hAnsi="Calibri"/>
                <w:b/>
                <w:i w:val="0"/>
                <w:color w:val="FFFFFF"/>
                <w:sz w:val="20"/>
              </w:rPr>
              <w:t>Daraz</w:t>
              <w:br/>
              <w:t>Integration</w:t>
            </w:r>
          </w:p>
        </w:tc>
        <w:tc>
          <w:tcPr>
            <w:tcW w:type="dxa" w:w="5"/>
            <w:shd w:val="clear" w:color="auto" w:fill="1A3A5C"/>
            <w:tcMar>
              <w:top w:w="80" w:type="dxa"/>
              <w:bottom w:w="80" w:type="dxa"/>
              <w:left w:w="120" w:type="dxa"/>
              <w:right w:w="120" w:type="dxa"/>
            </w:tcMar>
          </w:tcPr>
          <w:p>
            <w:pPr>
              <w:jc w:val="center"/>
            </w:pPr>
            <w:r>
              <w:rPr>
                <w:rFonts w:ascii="Calibri" w:hAnsi="Calibri"/>
                <w:b/>
                <w:i w:val="0"/>
                <w:color w:val="FFFFFF"/>
                <w:sz w:val="20"/>
              </w:rPr>
              <w:t>Pricing</w:t>
              <w:br/>
              <w:t>Access</w:t>
            </w:r>
          </w:p>
        </w:tc>
      </w:tr>
      <w:tr>
        <w:tc>
          <w:tcPr>
            <w:tcW w:type="dxa" w:w="4"/>
            <w:shd w:val="clear" w:color="auto" w:fill="EEF3FA"/>
            <w:tcMar>
              <w:top w:w="80" w:type="dxa"/>
              <w:bottom w:w="80" w:type="dxa"/>
              <w:left w:w="120" w:type="dxa"/>
              <w:right w:w="120" w:type="dxa"/>
            </w:tcMar>
          </w:tcPr>
          <w:p>
            <w:pPr>
              <w:jc w:val="left"/>
            </w:pPr>
            <w:r>
              <w:rPr>
                <w:rFonts w:ascii="Calibri" w:hAnsi="Calibri"/>
                <w:b w:val="0"/>
                <w:i w:val="0"/>
                <w:color w:val="2C2C2C"/>
                <w:sz w:val="20"/>
              </w:rPr>
              <w:t>Yotpo</w:t>
            </w:r>
          </w:p>
        </w:tc>
        <w:tc>
          <w:tcPr>
            <w:tcW w:type="dxa" w:w="2"/>
            <w:shd w:val="clear" w:color="auto" w:fill="EEF3FA"/>
            <w:tcMar>
              <w:top w:w="80" w:type="dxa"/>
              <w:bottom w:w="80" w:type="dxa"/>
              <w:left w:w="120" w:type="dxa"/>
              <w:right w:w="120" w:type="dxa"/>
            </w:tcMar>
          </w:tcPr>
          <w:p>
            <w:pPr>
              <w:jc w:val="left"/>
            </w:pPr>
            <w:r>
              <w:rPr>
                <w:rFonts w:ascii="Calibri" w:hAnsi="Calibri"/>
                <w:b w:val="0"/>
                <w:i w:val="0"/>
                <w:color w:val="2C2C2C"/>
                <w:sz w:val="20"/>
              </w:rPr>
              <w:t>Partial</w:t>
            </w:r>
          </w:p>
        </w:tc>
        <w:tc>
          <w:tcPr>
            <w:tcW w:type="dxa" w:w="2"/>
            <w:shd w:val="clear" w:color="auto" w:fill="EEF3FA"/>
            <w:tcMar>
              <w:top w:w="80" w:type="dxa"/>
              <w:bottom w:w="80" w:type="dxa"/>
              <w:left w:w="120" w:type="dxa"/>
              <w:right w:w="120" w:type="dxa"/>
            </w:tcMar>
          </w:tcPr>
          <w:p>
            <w:pPr>
              <w:jc w:val="left"/>
            </w:pPr>
            <w:r>
              <w:rPr>
                <w:rFonts w:ascii="Calibri" w:hAnsi="Calibri"/>
                <w:b w:val="0"/>
                <w:i w:val="0"/>
                <w:color w:val="2C2C2C"/>
                <w:sz w:val="20"/>
              </w:rPr>
              <w:t>✗</w:t>
            </w:r>
          </w:p>
        </w:tc>
        <w:tc>
          <w:tcPr>
            <w:tcW w:type="dxa" w:w="2"/>
            <w:shd w:val="clear" w:color="auto" w:fill="EEF3FA"/>
            <w:tcMar>
              <w:top w:w="80" w:type="dxa"/>
              <w:bottom w:w="80" w:type="dxa"/>
              <w:left w:w="120" w:type="dxa"/>
              <w:right w:w="120" w:type="dxa"/>
            </w:tcMar>
          </w:tcPr>
          <w:p>
            <w:pPr>
              <w:jc w:val="left"/>
            </w:pPr>
            <w:r>
              <w:rPr>
                <w:rFonts w:ascii="Calibri" w:hAnsi="Calibri"/>
                <w:b w:val="0"/>
                <w:i w:val="0"/>
                <w:color w:val="2C2C2C"/>
                <w:sz w:val="20"/>
              </w:rPr>
              <w:t>✗</w:t>
            </w:r>
          </w:p>
        </w:tc>
        <w:tc>
          <w:tcPr>
            <w:tcW w:type="dxa" w:w="2"/>
            <w:shd w:val="clear" w:color="auto" w:fill="EEF3FA"/>
            <w:tcMar>
              <w:top w:w="80" w:type="dxa"/>
              <w:bottom w:w="80" w:type="dxa"/>
              <w:left w:w="120" w:type="dxa"/>
              <w:right w:w="120" w:type="dxa"/>
            </w:tcMar>
          </w:tcPr>
          <w:p>
            <w:pPr>
              <w:jc w:val="left"/>
            </w:pPr>
            <w:r>
              <w:rPr>
                <w:rFonts w:ascii="Calibri" w:hAnsi="Calibri"/>
                <w:b w:val="0"/>
                <w:i w:val="0"/>
                <w:color w:val="2C2C2C"/>
                <w:sz w:val="20"/>
              </w:rPr>
              <w:t>✗</w:t>
            </w:r>
          </w:p>
        </w:tc>
        <w:tc>
          <w:tcPr>
            <w:tcW w:type="dxa" w:w="5"/>
            <w:shd w:val="clear" w:color="auto" w:fill="EEF3FA"/>
            <w:tcMar>
              <w:top w:w="80" w:type="dxa"/>
              <w:bottom w:w="80" w:type="dxa"/>
              <w:left w:w="120" w:type="dxa"/>
              <w:right w:w="120" w:type="dxa"/>
            </w:tcMar>
          </w:tcPr>
          <w:p>
            <w:pPr>
              <w:jc w:val="left"/>
            </w:pPr>
            <w:r>
              <w:rPr>
                <w:rFonts w:ascii="Calibri" w:hAnsi="Calibri"/>
                <w:b w:val="0"/>
                <w:i w:val="0"/>
                <w:color w:val="2C2C2C"/>
                <w:sz w:val="20"/>
              </w:rPr>
              <w:t>$169–$699/mo (USD). Pakistani SMEs priced out.</w:t>
            </w:r>
          </w:p>
        </w:tc>
      </w:tr>
      <w:tr>
        <w:tc>
          <w:tcPr>
            <w:tcW w:type="dxa" w:w="4"/>
            <w:shd w:val="clear" w:color="auto" w:fill="FFFFFF"/>
            <w:tcMar>
              <w:top w:w="80" w:type="dxa"/>
              <w:bottom w:w="80" w:type="dxa"/>
              <w:left w:w="120" w:type="dxa"/>
              <w:right w:w="120" w:type="dxa"/>
            </w:tcMar>
          </w:tcPr>
          <w:p>
            <w:pPr>
              <w:jc w:val="left"/>
            </w:pPr>
            <w:r>
              <w:rPr>
                <w:rFonts w:ascii="Calibri" w:hAnsi="Calibri"/>
                <w:b w:val="0"/>
                <w:i w:val="0"/>
                <w:color w:val="2C2C2C"/>
                <w:sz w:val="20"/>
              </w:rPr>
              <w:t>Bazaarvoice</w:t>
            </w:r>
          </w:p>
        </w:tc>
        <w:tc>
          <w:tcPr>
            <w:tcW w:type="dxa" w:w="2"/>
            <w:shd w:val="clear" w:color="auto" w:fill="FFFFFF"/>
            <w:tcMar>
              <w:top w:w="80" w:type="dxa"/>
              <w:bottom w:w="80" w:type="dxa"/>
              <w:left w:w="120" w:type="dxa"/>
              <w:right w:w="120" w:type="dxa"/>
            </w:tcMar>
          </w:tcPr>
          <w:p>
            <w:pPr>
              <w:jc w:val="left"/>
            </w:pPr>
            <w:r>
              <w:rPr>
                <w:rFonts w:ascii="Calibri" w:hAnsi="Calibri"/>
                <w:b w:val="0"/>
                <w:i w:val="0"/>
                <w:color w:val="2C2C2C"/>
                <w:sz w:val="20"/>
              </w:rPr>
              <w:t>Partial</w:t>
            </w:r>
          </w:p>
        </w:tc>
        <w:tc>
          <w:tcPr>
            <w:tcW w:type="dxa" w:w="2"/>
            <w:shd w:val="clear" w:color="auto" w:fill="FFFFFF"/>
            <w:tcMar>
              <w:top w:w="80" w:type="dxa"/>
              <w:bottom w:w="80" w:type="dxa"/>
              <w:left w:w="120" w:type="dxa"/>
              <w:right w:w="120" w:type="dxa"/>
            </w:tcMar>
          </w:tcPr>
          <w:p>
            <w:pPr>
              <w:jc w:val="left"/>
            </w:pPr>
            <w:r>
              <w:rPr>
                <w:rFonts w:ascii="Calibri" w:hAnsi="Calibri"/>
                <w:b w:val="0"/>
                <w:i w:val="0"/>
                <w:color w:val="2C2C2C"/>
                <w:sz w:val="20"/>
              </w:rPr>
              <w:t>✗</w:t>
            </w:r>
          </w:p>
        </w:tc>
        <w:tc>
          <w:tcPr>
            <w:tcW w:type="dxa" w:w="2"/>
            <w:shd w:val="clear" w:color="auto" w:fill="FFFFFF"/>
            <w:tcMar>
              <w:top w:w="80" w:type="dxa"/>
              <w:bottom w:w="80" w:type="dxa"/>
              <w:left w:w="120" w:type="dxa"/>
              <w:right w:w="120" w:type="dxa"/>
            </w:tcMar>
          </w:tcPr>
          <w:p>
            <w:pPr>
              <w:jc w:val="left"/>
            </w:pPr>
            <w:r>
              <w:rPr>
                <w:rFonts w:ascii="Calibri" w:hAnsi="Calibri"/>
                <w:b w:val="0"/>
                <w:i w:val="0"/>
                <w:color w:val="2C2C2C"/>
                <w:sz w:val="20"/>
              </w:rPr>
              <w:t>✗</w:t>
            </w:r>
          </w:p>
        </w:tc>
        <w:tc>
          <w:tcPr>
            <w:tcW w:type="dxa" w:w="2"/>
            <w:shd w:val="clear" w:color="auto" w:fill="FFFFFF"/>
            <w:tcMar>
              <w:top w:w="80" w:type="dxa"/>
              <w:bottom w:w="80" w:type="dxa"/>
              <w:left w:w="120" w:type="dxa"/>
              <w:right w:w="120" w:type="dxa"/>
            </w:tcMar>
          </w:tcPr>
          <w:p>
            <w:pPr>
              <w:jc w:val="left"/>
            </w:pPr>
            <w:r>
              <w:rPr>
                <w:rFonts w:ascii="Calibri" w:hAnsi="Calibri"/>
                <w:b w:val="0"/>
                <w:i w:val="0"/>
                <w:color w:val="2C2C2C"/>
                <w:sz w:val="20"/>
              </w:rPr>
              <w:t>✗</w:t>
            </w:r>
          </w:p>
        </w:tc>
        <w:tc>
          <w:tcPr>
            <w:tcW w:type="dxa" w:w="5"/>
            <w:shd w:val="clear" w:color="auto" w:fill="FFFFFF"/>
            <w:tcMar>
              <w:top w:w="80" w:type="dxa"/>
              <w:bottom w:w="80" w:type="dxa"/>
              <w:left w:w="120" w:type="dxa"/>
              <w:right w:w="120" w:type="dxa"/>
            </w:tcMar>
          </w:tcPr>
          <w:p>
            <w:pPr>
              <w:jc w:val="left"/>
            </w:pPr>
            <w:r>
              <w:rPr>
                <w:rFonts w:ascii="Calibri" w:hAnsi="Calibri"/>
                <w:b w:val="0"/>
                <w:i w:val="0"/>
                <w:color w:val="2C2C2C"/>
                <w:sz w:val="20"/>
              </w:rPr>
              <w:t>$3,000–10,000/mo (USD). Enterprise only.</w:t>
            </w:r>
          </w:p>
        </w:tc>
      </w:tr>
      <w:tr>
        <w:tc>
          <w:tcPr>
            <w:tcW w:type="dxa" w:w="4"/>
            <w:shd w:val="clear" w:color="auto" w:fill="EEF3FA"/>
            <w:tcMar>
              <w:top w:w="80" w:type="dxa"/>
              <w:bottom w:w="80" w:type="dxa"/>
              <w:left w:w="120" w:type="dxa"/>
              <w:right w:w="120" w:type="dxa"/>
            </w:tcMar>
          </w:tcPr>
          <w:p>
            <w:pPr>
              <w:jc w:val="left"/>
            </w:pPr>
            <w:r>
              <w:rPr>
                <w:rFonts w:ascii="Calibri" w:hAnsi="Calibri"/>
                <w:b w:val="0"/>
                <w:i w:val="0"/>
                <w:color w:val="2C2C2C"/>
                <w:sz w:val="20"/>
              </w:rPr>
              <w:t>PowerReviews</w:t>
            </w:r>
          </w:p>
        </w:tc>
        <w:tc>
          <w:tcPr>
            <w:tcW w:type="dxa" w:w="2"/>
            <w:shd w:val="clear" w:color="auto" w:fill="EEF3FA"/>
            <w:tcMar>
              <w:top w:w="80" w:type="dxa"/>
              <w:bottom w:w="80" w:type="dxa"/>
              <w:left w:w="120" w:type="dxa"/>
              <w:right w:w="120" w:type="dxa"/>
            </w:tcMar>
          </w:tcPr>
          <w:p>
            <w:pPr>
              <w:jc w:val="left"/>
            </w:pPr>
            <w:r>
              <w:rPr>
                <w:rFonts w:ascii="Calibri" w:hAnsi="Calibri"/>
                <w:b w:val="0"/>
                <w:i w:val="0"/>
                <w:color w:val="2C2C2C"/>
                <w:sz w:val="20"/>
              </w:rPr>
              <w:t>Basic</w:t>
            </w:r>
          </w:p>
        </w:tc>
        <w:tc>
          <w:tcPr>
            <w:tcW w:type="dxa" w:w="2"/>
            <w:shd w:val="clear" w:color="auto" w:fill="EEF3FA"/>
            <w:tcMar>
              <w:top w:w="80" w:type="dxa"/>
              <w:bottom w:w="80" w:type="dxa"/>
              <w:left w:w="120" w:type="dxa"/>
              <w:right w:w="120" w:type="dxa"/>
            </w:tcMar>
          </w:tcPr>
          <w:p>
            <w:pPr>
              <w:jc w:val="left"/>
            </w:pPr>
            <w:r>
              <w:rPr>
                <w:rFonts w:ascii="Calibri" w:hAnsi="Calibri"/>
                <w:b w:val="0"/>
                <w:i w:val="0"/>
                <w:color w:val="2C2C2C"/>
                <w:sz w:val="20"/>
              </w:rPr>
              <w:t>✗</w:t>
            </w:r>
          </w:p>
        </w:tc>
        <w:tc>
          <w:tcPr>
            <w:tcW w:type="dxa" w:w="2"/>
            <w:shd w:val="clear" w:color="auto" w:fill="EEF3FA"/>
            <w:tcMar>
              <w:top w:w="80" w:type="dxa"/>
              <w:bottom w:w="80" w:type="dxa"/>
              <w:left w:w="120" w:type="dxa"/>
              <w:right w:w="120" w:type="dxa"/>
            </w:tcMar>
          </w:tcPr>
          <w:p>
            <w:pPr>
              <w:jc w:val="left"/>
            </w:pPr>
            <w:r>
              <w:rPr>
                <w:rFonts w:ascii="Calibri" w:hAnsi="Calibri"/>
                <w:b w:val="0"/>
                <w:i w:val="0"/>
                <w:color w:val="2C2C2C"/>
                <w:sz w:val="20"/>
              </w:rPr>
              <w:t>✗</w:t>
            </w:r>
          </w:p>
        </w:tc>
        <w:tc>
          <w:tcPr>
            <w:tcW w:type="dxa" w:w="2"/>
            <w:shd w:val="clear" w:color="auto" w:fill="EEF3FA"/>
            <w:tcMar>
              <w:top w:w="80" w:type="dxa"/>
              <w:bottom w:w="80" w:type="dxa"/>
              <w:left w:w="120" w:type="dxa"/>
              <w:right w:w="120" w:type="dxa"/>
            </w:tcMar>
          </w:tcPr>
          <w:p>
            <w:pPr>
              <w:jc w:val="left"/>
            </w:pPr>
            <w:r>
              <w:rPr>
                <w:rFonts w:ascii="Calibri" w:hAnsi="Calibri"/>
                <w:b w:val="0"/>
                <w:i w:val="0"/>
                <w:color w:val="2C2C2C"/>
                <w:sz w:val="20"/>
              </w:rPr>
              <w:t>✗</w:t>
            </w:r>
          </w:p>
        </w:tc>
        <w:tc>
          <w:tcPr>
            <w:tcW w:type="dxa" w:w="5"/>
            <w:shd w:val="clear" w:color="auto" w:fill="EEF3FA"/>
            <w:tcMar>
              <w:top w:w="80" w:type="dxa"/>
              <w:bottom w:w="80" w:type="dxa"/>
              <w:left w:w="120" w:type="dxa"/>
              <w:right w:w="120" w:type="dxa"/>
            </w:tcMar>
          </w:tcPr>
          <w:p>
            <w:pPr>
              <w:jc w:val="left"/>
            </w:pPr>
            <w:r>
              <w:rPr>
                <w:rFonts w:ascii="Calibri" w:hAnsi="Calibri"/>
                <w:b w:val="0"/>
                <w:i w:val="0"/>
                <w:color w:val="2C2C2C"/>
                <w:sz w:val="20"/>
              </w:rPr>
              <w:t>Custom USD pricing. No emerging-market focus.</w:t>
            </w:r>
          </w:p>
        </w:tc>
      </w:tr>
      <w:tr>
        <w:tc>
          <w:tcPr>
            <w:tcW w:type="dxa" w:w="4"/>
            <w:shd w:val="clear" w:color="auto" w:fill="FFFFFF"/>
            <w:tcMar>
              <w:top w:w="80" w:type="dxa"/>
              <w:bottom w:w="80" w:type="dxa"/>
              <w:left w:w="120" w:type="dxa"/>
              <w:right w:w="120" w:type="dxa"/>
            </w:tcMar>
          </w:tcPr>
          <w:p>
            <w:pPr>
              <w:jc w:val="left"/>
            </w:pPr>
            <w:r>
              <w:rPr>
                <w:rFonts w:ascii="Calibri" w:hAnsi="Calibri"/>
                <w:b w:val="0"/>
                <w:i w:val="0"/>
                <w:color w:val="2C2C2C"/>
                <w:sz w:val="20"/>
              </w:rPr>
              <w:t>Fakespot</w:t>
            </w:r>
          </w:p>
        </w:tc>
        <w:tc>
          <w:tcPr>
            <w:tcW w:type="dxa" w:w="2"/>
            <w:shd w:val="clear" w:color="auto" w:fill="FFFFFF"/>
            <w:tcMar>
              <w:top w:w="80" w:type="dxa"/>
              <w:bottom w:w="80" w:type="dxa"/>
              <w:left w:w="120" w:type="dxa"/>
              <w:right w:w="120" w:type="dxa"/>
            </w:tcMar>
          </w:tcPr>
          <w:p>
            <w:pPr>
              <w:jc w:val="left"/>
            </w:pPr>
            <w:r>
              <w:rPr>
                <w:rFonts w:ascii="Calibri" w:hAnsi="Calibri"/>
                <w:b w:val="0"/>
                <w:i w:val="0"/>
                <w:color w:val="2C2C2C"/>
                <w:sz w:val="20"/>
              </w:rPr>
              <w:t>✗</w:t>
            </w:r>
          </w:p>
        </w:tc>
        <w:tc>
          <w:tcPr>
            <w:tcW w:type="dxa" w:w="2"/>
            <w:shd w:val="clear" w:color="auto" w:fill="FFFFFF"/>
            <w:tcMar>
              <w:top w:w="80" w:type="dxa"/>
              <w:bottom w:w="80" w:type="dxa"/>
              <w:left w:w="120" w:type="dxa"/>
              <w:right w:w="120" w:type="dxa"/>
            </w:tcMar>
          </w:tcPr>
          <w:p>
            <w:pPr>
              <w:jc w:val="left"/>
            </w:pPr>
            <w:r>
              <w:rPr>
                <w:rFonts w:ascii="Calibri" w:hAnsi="Calibri"/>
                <w:b w:val="0"/>
                <w:i w:val="0"/>
                <w:color w:val="2C2C2C"/>
                <w:sz w:val="20"/>
              </w:rPr>
              <w:t>Consumer only</w:t>
            </w:r>
          </w:p>
        </w:tc>
        <w:tc>
          <w:tcPr>
            <w:tcW w:type="dxa" w:w="2"/>
            <w:shd w:val="clear" w:color="auto" w:fill="FFFFFF"/>
            <w:tcMar>
              <w:top w:w="80" w:type="dxa"/>
              <w:bottom w:w="80" w:type="dxa"/>
              <w:left w:w="120" w:type="dxa"/>
              <w:right w:w="120" w:type="dxa"/>
            </w:tcMar>
          </w:tcPr>
          <w:p>
            <w:pPr>
              <w:jc w:val="left"/>
            </w:pPr>
            <w:r>
              <w:rPr>
                <w:rFonts w:ascii="Calibri" w:hAnsi="Calibri"/>
                <w:b w:val="0"/>
                <w:i w:val="0"/>
                <w:color w:val="2C2C2C"/>
                <w:sz w:val="20"/>
              </w:rPr>
              <w:t>✗</w:t>
            </w:r>
          </w:p>
        </w:tc>
        <w:tc>
          <w:tcPr>
            <w:tcW w:type="dxa" w:w="2"/>
            <w:shd w:val="clear" w:color="auto" w:fill="FFFFFF"/>
            <w:tcMar>
              <w:top w:w="80" w:type="dxa"/>
              <w:bottom w:w="80" w:type="dxa"/>
              <w:left w:w="120" w:type="dxa"/>
              <w:right w:w="120" w:type="dxa"/>
            </w:tcMar>
          </w:tcPr>
          <w:p>
            <w:pPr>
              <w:jc w:val="left"/>
            </w:pPr>
            <w:r>
              <w:rPr>
                <w:rFonts w:ascii="Calibri" w:hAnsi="Calibri"/>
                <w:b w:val="0"/>
                <w:i w:val="0"/>
                <w:color w:val="2C2C2C"/>
                <w:sz w:val="20"/>
              </w:rPr>
              <w:t>✗</w:t>
            </w:r>
          </w:p>
        </w:tc>
        <w:tc>
          <w:tcPr>
            <w:tcW w:type="dxa" w:w="5"/>
            <w:shd w:val="clear" w:color="auto" w:fill="FFFFFF"/>
            <w:tcMar>
              <w:top w:w="80" w:type="dxa"/>
              <w:bottom w:w="80" w:type="dxa"/>
              <w:left w:w="120" w:type="dxa"/>
              <w:right w:w="120" w:type="dxa"/>
            </w:tcMar>
          </w:tcPr>
          <w:p>
            <w:pPr>
              <w:jc w:val="left"/>
            </w:pPr>
            <w:r>
              <w:rPr>
                <w:rFonts w:ascii="Calibri" w:hAnsi="Calibri"/>
                <w:b w:val="0"/>
                <w:i w:val="0"/>
                <w:color w:val="2C2C2C"/>
                <w:sz w:val="20"/>
              </w:rPr>
              <w:t>Shut down July 2025. No longer available.</w:t>
            </w:r>
          </w:p>
        </w:tc>
      </w:tr>
      <w:tr>
        <w:tc>
          <w:tcPr>
            <w:tcW w:type="dxa" w:w="4"/>
            <w:shd w:val="clear" w:color="auto" w:fill="EEF3FA"/>
            <w:tcMar>
              <w:top w:w="80" w:type="dxa"/>
              <w:bottom w:w="80" w:type="dxa"/>
              <w:left w:w="120" w:type="dxa"/>
              <w:right w:w="120" w:type="dxa"/>
            </w:tcMar>
          </w:tcPr>
          <w:p>
            <w:pPr>
              <w:jc w:val="left"/>
            </w:pPr>
            <w:r>
              <w:rPr>
                <w:rFonts w:ascii="Calibri" w:hAnsi="Calibri"/>
                <w:b w:val="0"/>
                <w:i w:val="0"/>
                <w:color w:val="2C2C2C"/>
                <w:sz w:val="20"/>
              </w:rPr>
              <w:t>ReviewMeta</w:t>
            </w:r>
          </w:p>
        </w:tc>
        <w:tc>
          <w:tcPr>
            <w:tcW w:type="dxa" w:w="2"/>
            <w:shd w:val="clear" w:color="auto" w:fill="EEF3FA"/>
            <w:tcMar>
              <w:top w:w="80" w:type="dxa"/>
              <w:bottom w:w="80" w:type="dxa"/>
              <w:left w:w="120" w:type="dxa"/>
              <w:right w:w="120" w:type="dxa"/>
            </w:tcMar>
          </w:tcPr>
          <w:p>
            <w:pPr>
              <w:jc w:val="left"/>
            </w:pPr>
            <w:r>
              <w:rPr>
                <w:rFonts w:ascii="Calibri" w:hAnsi="Calibri"/>
                <w:b w:val="0"/>
                <w:i w:val="0"/>
                <w:color w:val="2C2C2C"/>
                <w:sz w:val="20"/>
              </w:rPr>
              <w:t>✗</w:t>
            </w:r>
          </w:p>
        </w:tc>
        <w:tc>
          <w:tcPr>
            <w:tcW w:type="dxa" w:w="2"/>
            <w:shd w:val="clear" w:color="auto" w:fill="EEF3FA"/>
            <w:tcMar>
              <w:top w:w="80" w:type="dxa"/>
              <w:bottom w:w="80" w:type="dxa"/>
              <w:left w:w="120" w:type="dxa"/>
              <w:right w:w="120" w:type="dxa"/>
            </w:tcMar>
          </w:tcPr>
          <w:p>
            <w:pPr>
              <w:jc w:val="left"/>
            </w:pPr>
            <w:r>
              <w:rPr>
                <w:rFonts w:ascii="Calibri" w:hAnsi="Calibri"/>
                <w:b w:val="0"/>
                <w:i w:val="0"/>
                <w:color w:val="2C2C2C"/>
                <w:sz w:val="20"/>
              </w:rPr>
              <w:t>Consumer only</w:t>
            </w:r>
          </w:p>
        </w:tc>
        <w:tc>
          <w:tcPr>
            <w:tcW w:type="dxa" w:w="2"/>
            <w:shd w:val="clear" w:color="auto" w:fill="EEF3FA"/>
            <w:tcMar>
              <w:top w:w="80" w:type="dxa"/>
              <w:bottom w:w="80" w:type="dxa"/>
              <w:left w:w="120" w:type="dxa"/>
              <w:right w:w="120" w:type="dxa"/>
            </w:tcMar>
          </w:tcPr>
          <w:p>
            <w:pPr>
              <w:jc w:val="left"/>
            </w:pPr>
            <w:r>
              <w:rPr>
                <w:rFonts w:ascii="Calibri" w:hAnsi="Calibri"/>
                <w:b w:val="0"/>
                <w:i w:val="0"/>
                <w:color w:val="2C2C2C"/>
                <w:sz w:val="20"/>
              </w:rPr>
              <w:t>✗</w:t>
            </w:r>
          </w:p>
        </w:tc>
        <w:tc>
          <w:tcPr>
            <w:tcW w:type="dxa" w:w="2"/>
            <w:shd w:val="clear" w:color="auto" w:fill="EEF3FA"/>
            <w:tcMar>
              <w:top w:w="80" w:type="dxa"/>
              <w:bottom w:w="80" w:type="dxa"/>
              <w:left w:w="120" w:type="dxa"/>
              <w:right w:w="120" w:type="dxa"/>
            </w:tcMar>
          </w:tcPr>
          <w:p>
            <w:pPr>
              <w:jc w:val="left"/>
            </w:pPr>
            <w:r>
              <w:rPr>
                <w:rFonts w:ascii="Calibri" w:hAnsi="Calibri"/>
                <w:b w:val="0"/>
                <w:i w:val="0"/>
                <w:color w:val="2C2C2C"/>
                <w:sz w:val="20"/>
              </w:rPr>
              <w:t>✗</w:t>
            </w:r>
          </w:p>
        </w:tc>
        <w:tc>
          <w:tcPr>
            <w:tcW w:type="dxa" w:w="5"/>
            <w:shd w:val="clear" w:color="auto" w:fill="EEF3FA"/>
            <w:tcMar>
              <w:top w:w="80" w:type="dxa"/>
              <w:bottom w:w="80" w:type="dxa"/>
              <w:left w:w="120" w:type="dxa"/>
              <w:right w:w="120" w:type="dxa"/>
            </w:tcMar>
          </w:tcPr>
          <w:p>
            <w:pPr>
              <w:jc w:val="left"/>
            </w:pPr>
            <w:r>
              <w:rPr>
                <w:rFonts w:ascii="Calibri" w:hAnsi="Calibri"/>
                <w:b w:val="0"/>
                <w:i w:val="0"/>
                <w:color w:val="2C2C2C"/>
                <w:sz w:val="20"/>
              </w:rPr>
              <w:t>Shut down early 2026. No longer available.</w:t>
            </w:r>
          </w:p>
        </w:tc>
      </w:tr>
      <w:tr>
        <w:tc>
          <w:tcPr>
            <w:tcW w:type="dxa" w:w="4"/>
            <w:shd w:val="clear" w:color="auto" w:fill="FFFFFF"/>
            <w:tcMar>
              <w:top w:w="80" w:type="dxa"/>
              <w:bottom w:w="80" w:type="dxa"/>
              <w:left w:w="120" w:type="dxa"/>
              <w:right w:w="120" w:type="dxa"/>
            </w:tcMar>
          </w:tcPr>
          <w:p>
            <w:pPr>
              <w:jc w:val="left"/>
            </w:pPr>
            <w:r>
              <w:rPr>
                <w:rFonts w:ascii="Calibri" w:hAnsi="Calibri"/>
                <w:b w:val="0"/>
                <w:i w:val="0"/>
                <w:color w:val="2C2C2C"/>
                <w:sz w:val="20"/>
              </w:rPr>
              <w:t>TheReviewIndex</w:t>
            </w:r>
          </w:p>
        </w:tc>
        <w:tc>
          <w:tcPr>
            <w:tcW w:type="dxa" w:w="2"/>
            <w:shd w:val="clear" w:color="auto" w:fill="FFFFFF"/>
            <w:tcMar>
              <w:top w:w="80" w:type="dxa"/>
              <w:bottom w:w="80" w:type="dxa"/>
              <w:left w:w="120" w:type="dxa"/>
              <w:right w:w="120" w:type="dxa"/>
            </w:tcMar>
          </w:tcPr>
          <w:p>
            <w:pPr>
              <w:jc w:val="left"/>
            </w:pPr>
            <w:r>
              <w:rPr>
                <w:rFonts w:ascii="Calibri" w:hAnsi="Calibri"/>
                <w:b w:val="0"/>
                <w:i w:val="0"/>
                <w:color w:val="2C2C2C"/>
                <w:sz w:val="20"/>
              </w:rPr>
              <w:t>Partial</w:t>
            </w:r>
          </w:p>
        </w:tc>
        <w:tc>
          <w:tcPr>
            <w:tcW w:type="dxa" w:w="2"/>
            <w:shd w:val="clear" w:color="auto" w:fill="FFFFFF"/>
            <w:tcMar>
              <w:top w:w="80" w:type="dxa"/>
              <w:bottom w:w="80" w:type="dxa"/>
              <w:left w:w="120" w:type="dxa"/>
              <w:right w:w="120" w:type="dxa"/>
            </w:tcMar>
          </w:tcPr>
          <w:p>
            <w:pPr>
              <w:jc w:val="left"/>
            </w:pPr>
            <w:r>
              <w:rPr>
                <w:rFonts w:ascii="Calibri" w:hAnsi="Calibri"/>
                <w:b w:val="0"/>
                <w:i w:val="0"/>
                <w:color w:val="2C2C2C"/>
                <w:sz w:val="20"/>
              </w:rPr>
              <w:t>✗</w:t>
            </w:r>
          </w:p>
        </w:tc>
        <w:tc>
          <w:tcPr>
            <w:tcW w:type="dxa" w:w="2"/>
            <w:shd w:val="clear" w:color="auto" w:fill="FFFFFF"/>
            <w:tcMar>
              <w:top w:w="80" w:type="dxa"/>
              <w:bottom w:w="80" w:type="dxa"/>
              <w:left w:w="120" w:type="dxa"/>
              <w:right w:w="120" w:type="dxa"/>
            </w:tcMar>
          </w:tcPr>
          <w:p>
            <w:pPr>
              <w:jc w:val="left"/>
            </w:pPr>
            <w:r>
              <w:rPr>
                <w:rFonts w:ascii="Calibri" w:hAnsi="Calibri"/>
                <w:b w:val="0"/>
                <w:i w:val="0"/>
                <w:color w:val="2C2C2C"/>
                <w:sz w:val="20"/>
              </w:rPr>
              <w:t>✗</w:t>
            </w:r>
          </w:p>
        </w:tc>
        <w:tc>
          <w:tcPr>
            <w:tcW w:type="dxa" w:w="2"/>
            <w:shd w:val="clear" w:color="auto" w:fill="FFFFFF"/>
            <w:tcMar>
              <w:top w:w="80" w:type="dxa"/>
              <w:bottom w:w="80" w:type="dxa"/>
              <w:left w:w="120" w:type="dxa"/>
              <w:right w:w="120" w:type="dxa"/>
            </w:tcMar>
          </w:tcPr>
          <w:p>
            <w:pPr>
              <w:jc w:val="left"/>
            </w:pPr>
            <w:r>
              <w:rPr>
                <w:rFonts w:ascii="Calibri" w:hAnsi="Calibri"/>
                <w:b w:val="0"/>
                <w:i w:val="0"/>
                <w:color w:val="2C2C2C"/>
                <w:sz w:val="20"/>
              </w:rPr>
              <w:t>✗</w:t>
            </w:r>
          </w:p>
        </w:tc>
        <w:tc>
          <w:tcPr>
            <w:tcW w:type="dxa" w:w="5"/>
            <w:shd w:val="clear" w:color="auto" w:fill="FFFFFF"/>
            <w:tcMar>
              <w:top w:w="80" w:type="dxa"/>
              <w:bottom w:w="80" w:type="dxa"/>
              <w:left w:w="120" w:type="dxa"/>
              <w:right w:w="120" w:type="dxa"/>
            </w:tcMar>
          </w:tcPr>
          <w:p>
            <w:pPr>
              <w:jc w:val="left"/>
            </w:pPr>
            <w:r>
              <w:rPr>
                <w:rFonts w:ascii="Calibri" w:hAnsi="Calibri"/>
                <w:b w:val="0"/>
                <w:i w:val="0"/>
                <w:color w:val="2C2C2C"/>
                <w:sz w:val="20"/>
              </w:rPr>
              <w:t>Amazon-only. No Daraz/Pakistan support.</w:t>
            </w:r>
          </w:p>
        </w:tc>
      </w:tr>
      <w:tr>
        <w:tc>
          <w:tcPr>
            <w:tcW w:type="dxa" w:w="4"/>
            <w:shd w:val="clear" w:color="auto" w:fill="D4EDDA"/>
            <w:tcMar>
              <w:top w:w="80" w:type="dxa"/>
              <w:bottom w:w="80" w:type="dxa"/>
              <w:left w:w="120" w:type="dxa"/>
              <w:right w:w="120" w:type="dxa"/>
            </w:tcMar>
          </w:tcPr>
          <w:p>
            <w:pPr>
              <w:jc w:val="left"/>
            </w:pPr>
            <w:r>
              <w:rPr>
                <w:rFonts w:ascii="Calibri" w:hAnsi="Calibri"/>
                <w:b/>
                <w:i w:val="0"/>
                <w:color w:val="1A7A4A"/>
                <w:sz w:val="20"/>
              </w:rPr>
              <w:t>Our Platform</w:t>
            </w:r>
          </w:p>
        </w:tc>
        <w:tc>
          <w:tcPr>
            <w:tcW w:type="dxa" w:w="2"/>
            <w:shd w:val="clear" w:color="auto" w:fill="D4EDDA"/>
            <w:tcMar>
              <w:top w:w="80" w:type="dxa"/>
              <w:bottom w:w="80" w:type="dxa"/>
              <w:left w:w="120" w:type="dxa"/>
              <w:right w:w="120" w:type="dxa"/>
            </w:tcMar>
          </w:tcPr>
          <w:p>
            <w:pPr>
              <w:jc w:val="left"/>
            </w:pPr>
            <w:r>
              <w:rPr>
                <w:rFonts w:ascii="Calibri" w:hAnsi="Calibri"/>
                <w:b/>
                <w:i w:val="0"/>
                <w:color w:val="1A7A4A"/>
                <w:sz w:val="20"/>
              </w:rPr>
              <w:t>✓ Full</w:t>
            </w:r>
          </w:p>
        </w:tc>
        <w:tc>
          <w:tcPr>
            <w:tcW w:type="dxa" w:w="2"/>
            <w:shd w:val="clear" w:color="auto" w:fill="D4EDDA"/>
            <w:tcMar>
              <w:top w:w="80" w:type="dxa"/>
              <w:bottom w:w="80" w:type="dxa"/>
              <w:left w:w="120" w:type="dxa"/>
              <w:right w:w="120" w:type="dxa"/>
            </w:tcMar>
          </w:tcPr>
          <w:p>
            <w:pPr>
              <w:jc w:val="left"/>
            </w:pPr>
            <w:r>
              <w:rPr>
                <w:rFonts w:ascii="Calibri" w:hAnsi="Calibri"/>
                <w:b/>
                <w:i w:val="0"/>
                <w:color w:val="1A7A4A"/>
                <w:sz w:val="20"/>
              </w:rPr>
              <w:t>✓ Full</w:t>
            </w:r>
          </w:p>
        </w:tc>
        <w:tc>
          <w:tcPr>
            <w:tcW w:type="dxa" w:w="2"/>
            <w:shd w:val="clear" w:color="auto" w:fill="D4EDDA"/>
            <w:tcMar>
              <w:top w:w="80" w:type="dxa"/>
              <w:bottom w:w="80" w:type="dxa"/>
              <w:left w:w="120" w:type="dxa"/>
              <w:right w:w="120" w:type="dxa"/>
            </w:tcMar>
          </w:tcPr>
          <w:p>
            <w:pPr>
              <w:jc w:val="left"/>
            </w:pPr>
            <w:r>
              <w:rPr>
                <w:rFonts w:ascii="Calibri" w:hAnsi="Calibri"/>
                <w:b/>
                <w:i w:val="0"/>
                <w:color w:val="1A7A4A"/>
                <w:sz w:val="20"/>
              </w:rPr>
              <w:t>✓</w:t>
            </w:r>
          </w:p>
        </w:tc>
        <w:tc>
          <w:tcPr>
            <w:tcW w:type="dxa" w:w="2"/>
            <w:shd w:val="clear" w:color="auto" w:fill="D4EDDA"/>
            <w:tcMar>
              <w:top w:w="80" w:type="dxa"/>
              <w:bottom w:w="80" w:type="dxa"/>
              <w:left w:w="120" w:type="dxa"/>
              <w:right w:w="120" w:type="dxa"/>
            </w:tcMar>
          </w:tcPr>
          <w:p>
            <w:pPr>
              <w:jc w:val="left"/>
            </w:pPr>
            <w:r>
              <w:rPr>
                <w:rFonts w:ascii="Calibri" w:hAnsi="Calibri"/>
                <w:b/>
                <w:i w:val="0"/>
                <w:color w:val="1A7A4A"/>
                <w:sz w:val="20"/>
              </w:rPr>
              <w:t>✓</w:t>
            </w:r>
          </w:p>
        </w:tc>
        <w:tc>
          <w:tcPr>
            <w:tcW w:type="dxa" w:w="5"/>
            <w:shd w:val="clear" w:color="auto" w:fill="D4EDDA"/>
            <w:tcMar>
              <w:top w:w="80" w:type="dxa"/>
              <w:bottom w:w="80" w:type="dxa"/>
              <w:left w:w="120" w:type="dxa"/>
              <w:right w:w="120" w:type="dxa"/>
            </w:tcMar>
          </w:tcPr>
          <w:p>
            <w:pPr>
              <w:jc w:val="left"/>
            </w:pPr>
            <w:r>
              <w:rPr>
                <w:rFonts w:ascii="Calibri" w:hAnsi="Calibri"/>
                <w:b/>
                <w:i w:val="0"/>
                <w:color w:val="1A7A4A"/>
                <w:sz w:val="20"/>
              </w:rPr>
              <w:t>PKR 4,500–12,000/mo. Pakistan-first.</w:t>
            </w:r>
          </w:p>
        </w:tc>
      </w:tr>
    </w:tbl>
    <w:p/>
    <w:p>
      <w:pPr>
        <w:spacing w:before="240" w:after="60"/>
      </w:pPr>
      <w:r>
        <w:rPr>
          <w:rFonts w:ascii="Calibri" w:hAnsi="Calibri"/>
          <w:b/>
          <w:i w:val="0"/>
          <w:color w:val="276FBF"/>
          <w:sz w:val="26"/>
        </w:rPr>
        <w:t>5.2  Our Competitive Advantages</w:t>
      </w:r>
    </w:p>
    <w:p>
      <w:pPr>
        <w:pStyle w:val="ListBullet"/>
        <w:spacing w:before="20" w:after="60"/>
        <w:ind w:left="360"/>
      </w:pPr>
      <w:r>
        <w:rPr>
          <w:rFonts w:ascii="Calibri" w:hAnsi="Calibri"/>
          <w:b/>
          <w:i w:val="0"/>
          <w:color w:val="1A3A5C"/>
          <w:sz w:val="22"/>
        </w:rPr>
        <w:t xml:space="preserve">The Market Timing Advantage: </w:t>
      </w:r>
      <w:r>
        <w:rPr>
          <w:rFonts w:ascii="Calibri" w:hAnsi="Calibri"/>
          <w:b w:val="0"/>
          <w:i w:val="0"/>
          <w:color w:val="2C2C2C"/>
          <w:sz w:val="22"/>
        </w:rPr>
        <w:t>The simultaneous shutdown of both Fakespot (July 2025) and ReviewMeta (early 2026) has created an unprecedented market vacuum in fake review detection tooling. No serious B2B replacement for these tools exists globally, let alone for Pakistan. Entering in 2025–2026 is entering at exactly the right moment.</w:t>
      </w:r>
    </w:p>
    <w:p>
      <w:pPr>
        <w:pStyle w:val="ListBullet"/>
        <w:spacing w:before="20" w:after="60"/>
        <w:ind w:left="360"/>
      </w:pPr>
      <w:r>
        <w:rPr>
          <w:rFonts w:ascii="Calibri" w:hAnsi="Calibri"/>
          <w:b/>
          <w:i w:val="0"/>
          <w:color w:val="1A3A5C"/>
          <w:sz w:val="22"/>
        </w:rPr>
        <w:t xml:space="preserve">Urdu / Roman Urdu NLP — An Unassailable Local Moat: </w:t>
      </w:r>
      <w:r>
        <w:rPr>
          <w:rFonts w:ascii="Calibri" w:hAnsi="Calibri"/>
          <w:b w:val="0"/>
          <w:i w:val="0"/>
          <w:color w:val="2C2C2C"/>
          <w:sz w:val="22"/>
        </w:rPr>
        <w:t>No global competitor has invested in Roman Urdu NLP. Building this capability takes months of domain-specific work on transliteration normalisation, lexicon building, and model fine-tuning. Once built, it is extremely difficult for a foreign tool to replicate quickly. It is the deepest technical moat in the product.</w:t>
      </w:r>
    </w:p>
    <w:p>
      <w:pPr>
        <w:pStyle w:val="ListBullet"/>
        <w:spacing w:before="20" w:after="60"/>
        <w:ind w:left="360"/>
      </w:pPr>
      <w:r>
        <w:rPr>
          <w:rFonts w:ascii="Calibri" w:hAnsi="Calibri"/>
          <w:b/>
          <w:i w:val="0"/>
          <w:color w:val="1A3A5C"/>
          <w:sz w:val="22"/>
        </w:rPr>
        <w:t xml:space="preserve">Daraz-Native Data Pipeline: </w:t>
      </w:r>
      <w:r>
        <w:rPr>
          <w:rFonts w:ascii="Calibri" w:hAnsi="Calibri"/>
          <w:b w:val="0"/>
          <w:i w:val="0"/>
          <w:color w:val="2C2C2C"/>
          <w:sz w:val="22"/>
        </w:rPr>
        <w:t>A scraper specifically built for Daraz's DOM structure, pagination, and product taxonomy produces data no global tool has. Daraz-native review data, processed at scale, creates a proprietary dataset that becomes more valuable over time and constitutes a data moat for training and benchmarking.</w:t>
      </w:r>
    </w:p>
    <w:p>
      <w:pPr>
        <w:pStyle w:val="ListBullet"/>
        <w:spacing w:before="20" w:after="60"/>
        <w:ind w:left="360"/>
      </w:pPr>
      <w:r>
        <w:rPr>
          <w:rFonts w:ascii="Calibri" w:hAnsi="Calibri"/>
          <w:b/>
          <w:i w:val="0"/>
          <w:color w:val="1A3A5C"/>
          <w:sz w:val="22"/>
        </w:rPr>
        <w:t xml:space="preserve">Price Point Accessibility: </w:t>
      </w:r>
      <w:r>
        <w:rPr>
          <w:rFonts w:ascii="Calibri" w:hAnsi="Calibri"/>
          <w:b w:val="0"/>
          <w:i w:val="0"/>
          <w:color w:val="2C2C2C"/>
          <w:sz w:val="22"/>
        </w:rPr>
        <w:t>At PKR 4,500/month (~USD 16), the Growth tier is roughly 10x cheaper than the cheapest comparable global tool. This is not subsidised pricing — it is a structural cost advantage from self-hosted LLM inference and local infrastructure costs. Global competitors cannot sustainably match this price in this market.</w:t>
      </w:r>
    </w:p>
    <w:p>
      <w:pPr>
        <w:pStyle w:val="ListBullet"/>
        <w:spacing w:before="20" w:after="60"/>
        <w:ind w:left="360"/>
      </w:pPr>
      <w:r>
        <w:rPr>
          <w:rFonts w:ascii="Calibri" w:hAnsi="Calibri"/>
          <w:b/>
          <w:i w:val="0"/>
          <w:color w:val="1A3A5C"/>
          <w:sz w:val="22"/>
        </w:rPr>
        <w:t xml:space="preserve">Local Trust &amp; Language: </w:t>
      </w:r>
      <w:r>
        <w:rPr>
          <w:rFonts w:ascii="Calibri" w:hAnsi="Calibri"/>
          <w:b w:val="0"/>
          <w:i w:val="0"/>
          <w:color w:val="2C2C2C"/>
          <w:sz w:val="22"/>
        </w:rPr>
        <w:t>A product built by Pakistanis, for Pakistani sellers, with Urdu-language support and PKR pricing commands a trust premium that a foreign tool can never replicate purely through feature parity.</w:t>
      </w:r>
    </w:p>
    <w:p>
      <w:pPr>
        <w:spacing w:before="360" w:after="80"/>
        <w:pBdr>
          <w:bottom w:val="single" w:sz="6" w:space="4" w:color="276FBF"/>
        </w:pBdr>
      </w:pPr>
      <w:r>
        <w:rPr>
          <w:rFonts w:ascii="Calibri" w:hAnsi="Calibri"/>
          <w:b/>
          <w:i w:val="0"/>
          <w:color w:val="1A3A5C"/>
          <w:sz w:val="32"/>
        </w:rPr>
        <w:t>6.  SWOT Analysis</w:t>
      </w:r>
    </w:p>
    <w:tbl>
      <w:tblPr>
        <w:tblStyle w:val="TableGrid"/>
        <w:tblW w:type="auto" w:w="0"/>
        <w:tblLook w:firstColumn="1" w:firstRow="1" w:lastColumn="0" w:lastRow="0" w:noHBand="0" w:noVBand="1" w:val="04A0"/>
      </w:tblPr>
      <w:tblGrid>
        <w:gridCol w:w="4464"/>
        <w:gridCol w:w="4464"/>
      </w:tblGrid>
      <w:tr>
        <w:tc>
          <w:tcPr>
            <w:tcW w:type="dxa" w:w="7"/>
            <w:shd w:val="clear" w:color="auto" w:fill="1A5C32"/>
            <w:tcMar>
              <w:top w:w="80" w:type="dxa"/>
              <w:bottom w:w="80" w:type="dxa"/>
              <w:left w:w="120" w:type="dxa"/>
              <w:right w:w="120" w:type="dxa"/>
            </w:tcMar>
          </w:tcPr>
          <w:p>
            <w:pPr>
              <w:jc w:val="center"/>
            </w:pPr>
            <w:r>
              <w:rPr>
                <w:rFonts w:ascii="Calibri" w:hAnsi="Calibri"/>
                <w:b/>
                <w:i w:val="0"/>
                <w:color w:val="FFFFFF"/>
                <w:sz w:val="22"/>
              </w:rPr>
              <w:t>STRENGTHS</w:t>
            </w:r>
          </w:p>
        </w:tc>
        <w:tc>
          <w:tcPr>
            <w:tcW w:type="dxa" w:w="7"/>
            <w:shd w:val="clear" w:color="auto" w:fill="8B1A1A"/>
            <w:tcMar>
              <w:top w:w="80" w:type="dxa"/>
              <w:bottom w:w="80" w:type="dxa"/>
              <w:left w:w="120" w:type="dxa"/>
              <w:right w:w="120" w:type="dxa"/>
            </w:tcMar>
          </w:tcPr>
          <w:p>
            <w:pPr>
              <w:jc w:val="center"/>
            </w:pPr>
            <w:r>
              <w:rPr>
                <w:rFonts w:ascii="Calibri" w:hAnsi="Calibri"/>
                <w:b/>
                <w:i w:val="0"/>
                <w:color w:val="FFFFFF"/>
                <w:sz w:val="22"/>
              </w:rPr>
              <w:t>WEAKNESSES</w:t>
            </w:r>
          </w:p>
        </w:tc>
      </w:tr>
      <w:tr>
        <w:tc>
          <w:tcPr>
            <w:tcW w:type="dxa" w:w="7"/>
            <w:shd w:val="clear" w:color="auto" w:fill="E8F5EE"/>
            <w:tcMar>
              <w:top w:w="80" w:type="dxa"/>
              <w:bottom w:w="80" w:type="dxa"/>
              <w:left w:w="120" w:type="dxa"/>
              <w:right w:w="120" w:type="dxa"/>
            </w:tcMar>
          </w:tcPr>
          <w:p>
            <w:pPr>
              <w:spacing w:before="20" w:after="40"/>
              <w:ind w:left="216"/>
            </w:pPr>
            <w:r>
              <w:rPr>
                <w:rFonts w:ascii="Calibri" w:hAnsi="Calibri"/>
                <w:b w:val="0"/>
                <w:i w:val="0"/>
                <w:color w:val="2C2C2C"/>
                <w:sz w:val="20"/>
              </w:rPr>
              <w:t>• Only Pakistan-focused ABSA + fake detection platform</w:t>
            </w:r>
          </w:p>
          <w:p>
            <w:pPr>
              <w:spacing w:before="20" w:after="40"/>
              <w:ind w:left="216"/>
            </w:pPr>
            <w:r>
              <w:rPr>
                <w:rFonts w:ascii="Calibri" w:hAnsi="Calibri"/>
                <w:b w:val="0"/>
                <w:i w:val="0"/>
                <w:color w:val="2C2C2C"/>
                <w:sz w:val="20"/>
              </w:rPr>
              <w:t>• Roman Urdu NLP capability — no competitor has this</w:t>
            </w:r>
          </w:p>
          <w:p>
            <w:pPr>
              <w:spacing w:before="20" w:after="40"/>
              <w:ind w:left="216"/>
            </w:pPr>
            <w:r>
              <w:rPr>
                <w:rFonts w:ascii="Calibri" w:hAnsi="Calibri"/>
                <w:b w:val="0"/>
                <w:i w:val="0"/>
                <w:color w:val="2C2C2C"/>
                <w:sz w:val="20"/>
              </w:rPr>
              <w:t>• PKR-denominated pricing at 10× lower than global peers</w:t>
            </w:r>
          </w:p>
          <w:p>
            <w:pPr>
              <w:spacing w:before="20" w:after="40"/>
              <w:ind w:left="216"/>
            </w:pPr>
            <w:r>
              <w:rPr>
                <w:rFonts w:ascii="Calibri" w:hAnsi="Calibri"/>
                <w:b w:val="0"/>
                <w:i w:val="0"/>
                <w:color w:val="2C2C2C"/>
                <w:sz w:val="20"/>
              </w:rPr>
              <w:t>• Perfect market timing: Fakespot &amp; ReviewMeta both gone</w:t>
            </w:r>
          </w:p>
          <w:p>
            <w:pPr>
              <w:spacing w:before="20" w:after="40"/>
              <w:ind w:left="216"/>
            </w:pPr>
            <w:r>
              <w:rPr>
                <w:rFonts w:ascii="Calibri" w:hAnsi="Calibri"/>
                <w:b w:val="0"/>
                <w:i w:val="0"/>
                <w:color w:val="2C2C2C"/>
                <w:sz w:val="20"/>
              </w:rPr>
              <w:t>• Self-hosted LLM = sustainable cost structure at local price points</w:t>
            </w:r>
          </w:p>
        </w:tc>
        <w:tc>
          <w:tcPr>
            <w:tcW w:type="dxa" w:w="7"/>
            <w:shd w:val="clear" w:color="auto" w:fill="FAEAEA"/>
            <w:tcMar>
              <w:top w:w="80" w:type="dxa"/>
              <w:bottom w:w="80" w:type="dxa"/>
              <w:left w:w="120" w:type="dxa"/>
              <w:right w:w="120" w:type="dxa"/>
            </w:tcMar>
          </w:tcPr>
          <w:p>
            <w:pPr>
              <w:spacing w:before="20" w:after="40"/>
              <w:ind w:left="216"/>
            </w:pPr>
            <w:r>
              <w:rPr>
                <w:rFonts w:ascii="Calibri" w:hAnsi="Calibri"/>
                <w:b w:val="0"/>
                <w:i w:val="0"/>
                <w:color w:val="2C2C2C"/>
                <w:sz w:val="20"/>
              </w:rPr>
              <w:t>• Dependence on Daraz scraping — platform can block access</w:t>
            </w:r>
          </w:p>
          <w:p>
            <w:pPr>
              <w:spacing w:before="20" w:after="40"/>
              <w:ind w:left="216"/>
            </w:pPr>
            <w:r>
              <w:rPr>
                <w:rFonts w:ascii="Calibri" w:hAnsi="Calibri"/>
                <w:b w:val="0"/>
                <w:i w:val="0"/>
                <w:color w:val="2C2C2C"/>
                <w:sz w:val="20"/>
              </w:rPr>
              <w:t>• Small team (4 students) limits bandwidth for sales &amp; dev simultaneously</w:t>
            </w:r>
          </w:p>
          <w:p>
            <w:pPr>
              <w:spacing w:before="20" w:after="40"/>
              <w:ind w:left="216"/>
            </w:pPr>
            <w:r>
              <w:rPr>
                <w:rFonts w:ascii="Calibri" w:hAnsi="Calibri"/>
                <w:b w:val="0"/>
                <w:i w:val="0"/>
                <w:color w:val="2C2C2C"/>
                <w:sz w:val="20"/>
              </w:rPr>
              <w:t>• Labelled Roman Urdu training data is scarce</w:t>
            </w:r>
          </w:p>
          <w:p>
            <w:pPr>
              <w:spacing w:before="20" w:after="40"/>
              <w:ind w:left="216"/>
            </w:pPr>
            <w:r>
              <w:rPr>
                <w:rFonts w:ascii="Calibri" w:hAnsi="Calibri"/>
                <w:b w:val="0"/>
                <w:i w:val="0"/>
                <w:color w:val="2C2C2C"/>
                <w:sz w:val="20"/>
              </w:rPr>
              <w:t>• Brand awareness is zero at launch</w:t>
            </w:r>
          </w:p>
          <w:p>
            <w:pPr>
              <w:spacing w:before="20" w:after="40"/>
              <w:ind w:left="216"/>
            </w:pPr>
            <w:r>
              <w:rPr>
                <w:rFonts w:ascii="Calibri" w:hAnsi="Calibri"/>
                <w:b w:val="0"/>
                <w:i w:val="0"/>
                <w:color w:val="2C2C2C"/>
                <w:sz w:val="20"/>
              </w:rPr>
              <w:t>• No track record — must earn seller trust from scratch</w:t>
            </w:r>
          </w:p>
        </w:tc>
      </w:tr>
      <w:tr>
        <w:tc>
          <w:tcPr>
            <w:tcW w:type="dxa" w:w="7"/>
            <w:shd w:val="clear" w:color="auto" w:fill="1A3A5C"/>
            <w:tcMar>
              <w:top w:w="80" w:type="dxa"/>
              <w:bottom w:w="80" w:type="dxa"/>
              <w:left w:w="120" w:type="dxa"/>
              <w:right w:w="120" w:type="dxa"/>
            </w:tcMar>
          </w:tcPr>
          <w:p>
            <w:pPr>
              <w:jc w:val="center"/>
            </w:pPr>
            <w:r>
              <w:rPr>
                <w:rFonts w:ascii="Calibri" w:hAnsi="Calibri"/>
                <w:b/>
                <w:i w:val="0"/>
                <w:color w:val="FFFFFF"/>
                <w:sz w:val="22"/>
              </w:rPr>
              <w:t>OPPORTUNITIES</w:t>
            </w:r>
          </w:p>
        </w:tc>
        <w:tc>
          <w:tcPr>
            <w:tcW w:type="dxa" w:w="7"/>
            <w:shd w:val="clear" w:color="auto" w:fill="B85C00"/>
            <w:tcMar>
              <w:top w:w="80" w:type="dxa"/>
              <w:bottom w:w="80" w:type="dxa"/>
              <w:left w:w="120" w:type="dxa"/>
              <w:right w:w="120" w:type="dxa"/>
            </w:tcMar>
          </w:tcPr>
          <w:p>
            <w:pPr>
              <w:jc w:val="center"/>
            </w:pPr>
            <w:r>
              <w:rPr>
                <w:rFonts w:ascii="Calibri" w:hAnsi="Calibri"/>
                <w:b/>
                <w:i w:val="0"/>
                <w:color w:val="FFFFFF"/>
                <w:sz w:val="22"/>
              </w:rPr>
              <w:t>THREATS</w:t>
            </w:r>
          </w:p>
        </w:tc>
      </w:tr>
      <w:tr>
        <w:tc>
          <w:tcPr>
            <w:tcW w:type="dxa" w:w="7"/>
            <w:shd w:val="clear" w:color="auto" w:fill="EEF3FA"/>
            <w:tcMar>
              <w:top w:w="80" w:type="dxa"/>
              <w:bottom w:w="80" w:type="dxa"/>
              <w:left w:w="120" w:type="dxa"/>
              <w:right w:w="120" w:type="dxa"/>
            </w:tcMar>
          </w:tcPr>
          <w:p>
            <w:pPr>
              <w:spacing w:before="20" w:after="40"/>
              <w:ind w:left="216"/>
            </w:pPr>
            <w:r>
              <w:rPr>
                <w:rFonts w:ascii="Calibri" w:hAnsi="Calibri"/>
                <w:b w:val="0"/>
                <w:i w:val="0"/>
                <w:color w:val="2C2C2C"/>
                <w:sz w:val="20"/>
              </w:rPr>
              <w:t>• Pakistan e-commerce growing at 17% CAGR through 2027</w:t>
            </w:r>
          </w:p>
          <w:p>
            <w:pPr>
              <w:spacing w:before="20" w:after="40"/>
              <w:ind w:left="216"/>
            </w:pPr>
            <w:r>
              <w:rPr>
                <w:rFonts w:ascii="Calibri" w:hAnsi="Calibri"/>
                <w:b w:val="0"/>
                <w:i w:val="0"/>
                <w:color w:val="2C2C2C"/>
                <w:sz w:val="20"/>
              </w:rPr>
              <w:t>• Fakespot &amp; ReviewMeta both defunct — gap in the market</w:t>
            </w:r>
          </w:p>
          <w:p>
            <w:pPr>
              <w:spacing w:before="20" w:after="40"/>
              <w:ind w:left="216"/>
            </w:pPr>
            <w:r>
              <w:rPr>
                <w:rFonts w:ascii="Calibri" w:hAnsi="Calibri"/>
                <w:b w:val="0"/>
                <w:i w:val="0"/>
                <w:color w:val="2C2C2C"/>
                <w:sz w:val="20"/>
              </w:rPr>
              <w:t>• Expansion to Shopify PK, OLX, Amazon.ae without re-engineering</w:t>
            </w:r>
          </w:p>
          <w:p>
            <w:pPr>
              <w:spacing w:before="20" w:after="40"/>
              <w:ind w:left="216"/>
            </w:pPr>
            <w:r>
              <w:rPr>
                <w:rFonts w:ascii="Calibri" w:hAnsi="Calibri"/>
                <w:b w:val="0"/>
                <w:i w:val="0"/>
                <w:color w:val="2C2C2C"/>
                <w:sz w:val="20"/>
              </w:rPr>
              <w:t>• Alibaba.com PK exporters: high-value, English-review segment</w:t>
            </w:r>
          </w:p>
          <w:p>
            <w:pPr>
              <w:spacing w:before="20" w:after="40"/>
              <w:ind w:left="216"/>
            </w:pPr>
            <w:r>
              <w:rPr>
                <w:rFonts w:ascii="Calibri" w:hAnsi="Calibri"/>
                <w:b w:val="0"/>
                <w:i w:val="0"/>
                <w:color w:val="2C2C2C"/>
                <w:sz w:val="20"/>
              </w:rPr>
              <w:t>• APAC B2B SaaS market is fastest-growing globally</w:t>
            </w:r>
          </w:p>
        </w:tc>
        <w:tc>
          <w:tcPr>
            <w:tcW w:type="dxa" w:w="7"/>
            <w:shd w:val="clear" w:color="auto" w:fill="FFF4E6"/>
            <w:tcMar>
              <w:top w:w="80" w:type="dxa"/>
              <w:bottom w:w="80" w:type="dxa"/>
              <w:left w:w="120" w:type="dxa"/>
              <w:right w:w="120" w:type="dxa"/>
            </w:tcMar>
          </w:tcPr>
          <w:p>
            <w:pPr>
              <w:spacing w:before="20" w:after="40"/>
              <w:ind w:left="216"/>
            </w:pPr>
            <w:r>
              <w:rPr>
                <w:rFonts w:ascii="Calibri" w:hAnsi="Calibri"/>
                <w:b w:val="0"/>
                <w:i w:val="0"/>
                <w:color w:val="2C2C2C"/>
                <w:sz w:val="20"/>
              </w:rPr>
              <w:t>• Daraz could build internal review intelligence tools</w:t>
            </w:r>
          </w:p>
          <w:p>
            <w:pPr>
              <w:spacing w:before="20" w:after="40"/>
              <w:ind w:left="216"/>
            </w:pPr>
            <w:r>
              <w:rPr>
                <w:rFonts w:ascii="Calibri" w:hAnsi="Calibri"/>
                <w:b w:val="0"/>
                <w:i w:val="0"/>
                <w:color w:val="2C2C2C"/>
                <w:sz w:val="20"/>
              </w:rPr>
              <w:t>• A well-funded global tool could pivot to target Pakistan</w:t>
            </w:r>
          </w:p>
          <w:p>
            <w:pPr>
              <w:spacing w:before="20" w:after="40"/>
              <w:ind w:left="216"/>
            </w:pPr>
            <w:r>
              <w:rPr>
                <w:rFonts w:ascii="Calibri" w:hAnsi="Calibri"/>
                <w:b w:val="0"/>
                <w:i w:val="0"/>
                <w:color w:val="2C2C2C"/>
                <w:sz w:val="20"/>
              </w:rPr>
              <w:t>• Regulatory changes restricting web scraping activity</w:t>
            </w:r>
          </w:p>
          <w:p>
            <w:pPr>
              <w:spacing w:before="20" w:after="40"/>
              <w:ind w:left="216"/>
            </w:pPr>
            <w:r>
              <w:rPr>
                <w:rFonts w:ascii="Calibri" w:hAnsi="Calibri"/>
                <w:b w:val="0"/>
                <w:i w:val="0"/>
                <w:color w:val="2C2C2C"/>
                <w:sz w:val="20"/>
              </w:rPr>
              <w:t>• LLM API cost increases eroding margin at low price points</w:t>
            </w:r>
          </w:p>
          <w:p>
            <w:pPr>
              <w:spacing w:before="20" w:after="40"/>
              <w:ind w:left="216"/>
            </w:pPr>
            <w:r>
              <w:rPr>
                <w:rFonts w:ascii="Calibri" w:hAnsi="Calibri"/>
                <w:b w:val="0"/>
                <w:i w:val="0"/>
                <w:color w:val="2C2C2C"/>
                <w:sz w:val="20"/>
              </w:rPr>
              <w:t>• Low Pakistani SME SaaS adoption baseline — long sales cycles</w:t>
            </w:r>
          </w:p>
        </w:tc>
      </w:tr>
    </w:tbl>
    <w:p/>
    <w:p>
      <w:pPr>
        <w:spacing w:before="360" w:after="80"/>
        <w:pBdr>
          <w:bottom w:val="single" w:sz="6" w:space="4" w:color="276FBF"/>
        </w:pBdr>
      </w:pPr>
      <w:r>
        <w:rPr>
          <w:rFonts w:ascii="Calibri" w:hAnsi="Calibri"/>
          <w:b/>
          <w:i w:val="0"/>
          <w:color w:val="1A3A5C"/>
          <w:sz w:val="32"/>
        </w:rPr>
        <w:t>7.  What We Know That Competitors Don't</w:t>
      </w:r>
    </w:p>
    <w:p>
      <w:pPr>
        <w:spacing w:before="0" w:after="120"/>
        <w:jc w:val="both"/>
      </w:pPr>
      <w:r>
        <w:rPr>
          <w:rFonts w:ascii="Calibri" w:hAnsi="Calibri"/>
          <w:b w:val="0"/>
          <w:i w:val="0"/>
          <w:color w:val="2C2C2C"/>
          <w:sz w:val="22"/>
        </w:rPr>
        <w:t>This section answers the most important strategic question in the business plan: if this opportunity is real, why hasn't someone already built it? And if we build it, what stops a competitor from copying it? The answer lies in a set of insights that are simultaneously obvious in Pakistan and invisible from outside it.</w:t>
      </w:r>
    </w:p>
    <w:p>
      <w:pPr>
        <w:spacing w:before="240" w:after="60"/>
      </w:pPr>
      <w:r>
        <w:rPr>
          <w:rFonts w:ascii="Calibri" w:hAnsi="Calibri"/>
          <w:b/>
          <w:i w:val="0"/>
          <w:color w:val="276FBF"/>
          <w:sz w:val="26"/>
        </w:rPr>
        <w:t>7.1  The Roman Urdu Insight</w:t>
      </w:r>
    </w:p>
    <w:p>
      <w:pPr>
        <w:spacing w:before="0" w:after="120"/>
        <w:jc w:val="both"/>
      </w:pPr>
      <w:r>
        <w:rPr>
          <w:rFonts w:ascii="Calibri" w:hAnsi="Calibri"/>
          <w:b w:val="0"/>
          <w:i w:val="0"/>
          <w:color w:val="2C2C2C"/>
          <w:sz w:val="22"/>
        </w:rPr>
        <w:t>Global competitors know Pakistan exists. They do not know — or have not prioritised — that a substantial fraction of its e-commerce reviews are written in Roman Urdu, a code-mixed, non-standardised transliteration of Urdu that no existing English NLP model handles correctly. 'Bohat acha product hai' and 'bakwas quality thi' are invisible signal to every global sentiment analysis tool. We will be the first product to treat this not as a data-quality problem to be discarded, but as a signal to be decoded.</w:t>
      </w:r>
    </w:p>
    <w:p>
      <w:pPr>
        <w:spacing w:before="240" w:after="60"/>
      </w:pPr>
      <w:r>
        <w:rPr>
          <w:rFonts w:ascii="Calibri" w:hAnsi="Calibri"/>
          <w:b/>
          <w:i w:val="0"/>
          <w:color w:val="276FBF"/>
          <w:sz w:val="26"/>
        </w:rPr>
        <w:t>7.2  The Market Timing Insight</w:t>
      </w:r>
    </w:p>
    <w:p>
      <w:pPr>
        <w:spacing w:before="0" w:after="120"/>
        <w:jc w:val="both"/>
      </w:pPr>
      <w:r>
        <w:rPr>
          <w:rFonts w:ascii="Calibri" w:hAnsi="Calibri"/>
          <w:b w:val="0"/>
          <w:i w:val="0"/>
          <w:color w:val="2C2C2C"/>
          <w:sz w:val="22"/>
        </w:rPr>
        <w:t>The simultaneous collapse of Fakespot and ReviewMeta in 2025–2026 has created a window that will not remain open indefinitely. The next well-funded entrant to build a fake review detection tool will almost certainly target Amazon, Walmart, or Shopify — not Daraz. That gives this platform 18–36 months of clear runway before any credible global competitor pivots to this geography. First-mover advantage in a network-effects business (where a proprietary Daraz review dataset compounds in value over time) is disproportionately durable.</w:t>
      </w:r>
    </w:p>
    <w:p>
      <w:pPr>
        <w:spacing w:before="240" w:after="60"/>
      </w:pPr>
      <w:r>
        <w:rPr>
          <w:rFonts w:ascii="Calibri" w:hAnsi="Calibri"/>
          <w:b/>
          <w:i w:val="0"/>
          <w:color w:val="276FBF"/>
          <w:sz w:val="26"/>
        </w:rPr>
        <w:t>7.3  The Pricing Psychology Insight</w:t>
      </w:r>
    </w:p>
    <w:p>
      <w:pPr>
        <w:spacing w:before="0" w:after="120"/>
        <w:jc w:val="both"/>
      </w:pPr>
      <w:r>
        <w:rPr>
          <w:rFonts w:ascii="Calibri" w:hAnsi="Calibri"/>
          <w:b w:val="0"/>
          <w:i w:val="0"/>
          <w:color w:val="2C2C2C"/>
          <w:sz w:val="22"/>
        </w:rPr>
        <w:t>Pakistani SME sellers do not lack the willingness to pay for useful tools — they lack access to tools priced in a currency and at a quantum that makes sense for their business economics. A seller generating PKR 2 million per month in Daraz GMV will not pay USD 169/month (PKR ~47,000) for a review tool. The same seller will readily pay PKR 4,500/month if they can see a concrete ROI. The insight is that the barrier is pricing architecture, not value perception.</w:t>
      </w:r>
    </w:p>
    <w:p>
      <w:pPr>
        <w:spacing w:before="240" w:after="60"/>
      </w:pPr>
      <w:r>
        <w:rPr>
          <w:rFonts w:ascii="Calibri" w:hAnsi="Calibri"/>
          <w:b/>
          <w:i w:val="0"/>
          <w:color w:val="276FBF"/>
          <w:sz w:val="26"/>
        </w:rPr>
        <w:t>7.4  The Trust-Through-Data Insight</w:t>
      </w:r>
    </w:p>
    <w:p>
      <w:pPr>
        <w:spacing w:before="0" w:after="120"/>
        <w:jc w:val="both"/>
      </w:pPr>
      <w:r>
        <w:rPr>
          <w:rFonts w:ascii="Calibri" w:hAnsi="Calibri"/>
          <w:b w:val="0"/>
          <w:i w:val="0"/>
          <w:color w:val="2C2C2C"/>
          <w:sz w:val="22"/>
        </w:rPr>
        <w:t>Pakistani sellers are deeply sceptical of marketing claims. The go-to-market strategy is built on this insight: rather than advertising features, the platform leads with the seller's own data. A personalised free Trust Score report for a seller's specific product — showing them concrete evidence of fake reviews they were not aware of — converts far more effectively than any feature list. This data-led, trust-first acquisition motion is not obvious to a foreign entrant operating from a distance.</w:t>
      </w:r>
    </w:p>
    <w:p>
      <w:pPr>
        <w:spacing w:before="360" w:after="80"/>
        <w:pBdr>
          <w:bottom w:val="single" w:sz="6" w:space="4" w:color="276FBF"/>
        </w:pBdr>
      </w:pPr>
      <w:r>
        <w:rPr>
          <w:rFonts w:ascii="Calibri" w:hAnsi="Calibri"/>
          <w:b/>
          <w:i w:val="0"/>
          <w:color w:val="1A3A5C"/>
          <w:sz w:val="32"/>
        </w:rPr>
        <w:t>8.  Key Risks &amp; Mitigations</w:t>
      </w:r>
    </w:p>
    <w:tbl>
      <w:tblPr>
        <w:tblStyle w:val="TableGrid"/>
        <w:tblW w:type="auto" w:w="0"/>
        <w:tblLook w:firstColumn="1" w:firstRow="1" w:lastColumn="0" w:lastRow="0" w:noHBand="0" w:noVBand="1" w:val="04A0"/>
      </w:tblPr>
      <w:tblGrid>
        <w:gridCol w:w="2976"/>
        <w:gridCol w:w="2976"/>
        <w:gridCol w:w="2976"/>
      </w:tblGrid>
      <w:tr>
        <w:tc>
          <w:tcPr>
            <w:tcW w:type="dxa" w:w="6"/>
            <w:shd w:val="clear" w:color="auto" w:fill="1A3A5C"/>
            <w:tcMar>
              <w:top w:w="80" w:type="dxa"/>
              <w:bottom w:w="80" w:type="dxa"/>
              <w:left w:w="120" w:type="dxa"/>
              <w:right w:w="120" w:type="dxa"/>
            </w:tcMar>
          </w:tcPr>
          <w:p>
            <w:pPr>
              <w:jc w:val="center"/>
            </w:pPr>
            <w:r>
              <w:rPr>
                <w:rFonts w:ascii="Calibri" w:hAnsi="Calibri"/>
                <w:b/>
                <w:i w:val="0"/>
                <w:color w:val="FFFFFF"/>
                <w:sz w:val="21"/>
              </w:rPr>
              <w:t>Risk</w:t>
            </w:r>
          </w:p>
        </w:tc>
        <w:tc>
          <w:tcPr>
            <w:tcW w:type="dxa" w:w="5"/>
            <w:shd w:val="clear" w:color="auto" w:fill="1A3A5C"/>
            <w:tcMar>
              <w:top w:w="80" w:type="dxa"/>
              <w:bottom w:w="80" w:type="dxa"/>
              <w:left w:w="120" w:type="dxa"/>
              <w:right w:w="120" w:type="dxa"/>
            </w:tcMar>
          </w:tcPr>
          <w:p>
            <w:pPr>
              <w:jc w:val="center"/>
            </w:pPr>
            <w:r>
              <w:rPr>
                <w:rFonts w:ascii="Calibri" w:hAnsi="Calibri"/>
                <w:b/>
                <w:i w:val="0"/>
                <w:color w:val="FFFFFF"/>
                <w:sz w:val="21"/>
              </w:rPr>
              <w:t>Severity</w:t>
            </w:r>
          </w:p>
        </w:tc>
        <w:tc>
          <w:tcPr>
            <w:tcW w:type="dxa" w:w="9"/>
            <w:shd w:val="clear" w:color="auto" w:fill="1A3A5C"/>
            <w:tcMar>
              <w:top w:w="80" w:type="dxa"/>
              <w:bottom w:w="80" w:type="dxa"/>
              <w:left w:w="120" w:type="dxa"/>
              <w:right w:w="120" w:type="dxa"/>
            </w:tcMar>
          </w:tcPr>
          <w:p>
            <w:pPr>
              <w:jc w:val="center"/>
            </w:pPr>
            <w:r>
              <w:rPr>
                <w:rFonts w:ascii="Calibri" w:hAnsi="Calibri"/>
                <w:b/>
                <w:i w:val="0"/>
                <w:color w:val="FFFFFF"/>
                <w:sz w:val="21"/>
              </w:rPr>
              <w:t>Mitigation Strategy</w:t>
            </w:r>
          </w:p>
        </w:tc>
      </w:tr>
      <w:tr>
        <w:tc>
          <w:tcPr>
            <w:tcW w:type="dxa" w:w="6"/>
            <w:shd w:val="clear" w:color="auto" w:fill="EEF3FA"/>
            <w:tcMar>
              <w:top w:w="80" w:type="dxa"/>
              <w:bottom w:w="80" w:type="dxa"/>
              <w:left w:w="120" w:type="dxa"/>
              <w:right w:w="120" w:type="dxa"/>
            </w:tcMar>
          </w:tcPr>
          <w:p>
            <w:pPr>
              <w:jc w:val="left"/>
            </w:pPr>
            <w:r>
              <w:rPr>
                <w:rFonts w:ascii="Calibri" w:hAnsi="Calibri"/>
                <w:b w:val="0"/>
                <w:i w:val="0"/>
                <w:color w:val="2C2C2C"/>
                <w:sz w:val="20"/>
              </w:rPr>
              <w:t>Daraz blocks scraper</w:t>
            </w:r>
          </w:p>
        </w:tc>
        <w:tc>
          <w:tcPr>
            <w:tcW w:type="dxa" w:w="5"/>
            <w:shd w:val="clear" w:color="auto" w:fill="EEF3FA"/>
            <w:tcMar>
              <w:top w:w="80" w:type="dxa"/>
              <w:bottom w:w="80" w:type="dxa"/>
              <w:left w:w="120" w:type="dxa"/>
              <w:right w:w="120" w:type="dxa"/>
            </w:tcMar>
          </w:tcPr>
          <w:p>
            <w:pPr>
              <w:jc w:val="left"/>
            </w:pPr>
            <w:r>
              <w:rPr>
                <w:rFonts w:ascii="Calibri" w:hAnsi="Calibri"/>
                <w:b/>
                <w:i w:val="0"/>
                <w:color w:val="8B1A1A"/>
                <w:sz w:val="20"/>
              </w:rPr>
              <w:t>High</w:t>
            </w:r>
          </w:p>
        </w:tc>
        <w:tc>
          <w:tcPr>
            <w:tcW w:type="dxa" w:w="9"/>
            <w:shd w:val="clear" w:color="auto" w:fill="EEF3FA"/>
            <w:tcMar>
              <w:top w:w="80" w:type="dxa"/>
              <w:bottom w:w="80" w:type="dxa"/>
              <w:left w:w="120" w:type="dxa"/>
              <w:right w:w="120" w:type="dxa"/>
            </w:tcMar>
          </w:tcPr>
          <w:p>
            <w:pPr>
              <w:jc w:val="left"/>
            </w:pPr>
            <w:r>
              <w:rPr>
                <w:rFonts w:ascii="Calibri" w:hAnsi="Calibri"/>
                <w:b w:val="0"/>
                <w:i w:val="0"/>
                <w:color w:val="2C2C2C"/>
                <w:sz w:val="20"/>
              </w:rPr>
              <w:t>Build modular scraper; pursue official Daraz partnership / seller data API access; diversify to Shopify PK and OLX immediately.</w:t>
            </w:r>
          </w:p>
        </w:tc>
      </w:tr>
      <w:tr>
        <w:tc>
          <w:tcPr>
            <w:tcW w:type="dxa" w:w="6"/>
            <w:shd w:val="clear" w:color="auto" w:fill="FFFFFF"/>
            <w:tcMar>
              <w:top w:w="80" w:type="dxa"/>
              <w:bottom w:w="80" w:type="dxa"/>
              <w:left w:w="120" w:type="dxa"/>
              <w:right w:w="120" w:type="dxa"/>
            </w:tcMar>
          </w:tcPr>
          <w:p>
            <w:pPr>
              <w:jc w:val="left"/>
            </w:pPr>
            <w:r>
              <w:rPr>
                <w:rFonts w:ascii="Calibri" w:hAnsi="Calibri"/>
                <w:b w:val="0"/>
                <w:i w:val="0"/>
                <w:color w:val="2C2C2C"/>
                <w:sz w:val="20"/>
              </w:rPr>
              <w:t>LLM inference costs rise sharply</w:t>
            </w:r>
          </w:p>
        </w:tc>
        <w:tc>
          <w:tcPr>
            <w:tcW w:type="dxa" w:w="5"/>
            <w:shd w:val="clear" w:color="auto" w:fill="FFFFFF"/>
            <w:tcMar>
              <w:top w:w="80" w:type="dxa"/>
              <w:bottom w:w="80" w:type="dxa"/>
              <w:left w:w="120" w:type="dxa"/>
              <w:right w:w="120" w:type="dxa"/>
            </w:tcMar>
          </w:tcPr>
          <w:p>
            <w:pPr>
              <w:jc w:val="left"/>
            </w:pPr>
            <w:r>
              <w:rPr>
                <w:rFonts w:ascii="Calibri" w:hAnsi="Calibri"/>
                <w:b/>
                <w:i w:val="0"/>
                <w:color w:val="B85C00"/>
                <w:sz w:val="20"/>
              </w:rPr>
              <w:t>Medium</w:t>
            </w:r>
          </w:p>
        </w:tc>
        <w:tc>
          <w:tcPr>
            <w:tcW w:type="dxa" w:w="9"/>
            <w:shd w:val="clear" w:color="auto" w:fill="FFFFFF"/>
            <w:tcMar>
              <w:top w:w="80" w:type="dxa"/>
              <w:bottom w:w="80" w:type="dxa"/>
              <w:left w:w="120" w:type="dxa"/>
              <w:right w:w="120" w:type="dxa"/>
            </w:tcMar>
          </w:tcPr>
          <w:p>
            <w:pPr>
              <w:jc w:val="left"/>
            </w:pPr>
            <w:r>
              <w:rPr>
                <w:rFonts w:ascii="Calibri" w:hAnsi="Calibri"/>
                <w:b w:val="0"/>
                <w:i w:val="0"/>
                <w:color w:val="2C2C2C"/>
                <w:sz w:val="20"/>
              </w:rPr>
              <w:t>Self-hosted LLaMA-3 via Ollama insulates against API cost increases; tiered model (small model for basic, large for premium) controls cost per review.</w:t>
            </w:r>
          </w:p>
        </w:tc>
      </w:tr>
      <w:tr>
        <w:tc>
          <w:tcPr>
            <w:tcW w:type="dxa" w:w="6"/>
            <w:shd w:val="clear" w:color="auto" w:fill="EEF3FA"/>
            <w:tcMar>
              <w:top w:w="80" w:type="dxa"/>
              <w:bottom w:w="80" w:type="dxa"/>
              <w:left w:w="120" w:type="dxa"/>
              <w:right w:w="120" w:type="dxa"/>
            </w:tcMar>
          </w:tcPr>
          <w:p>
            <w:pPr>
              <w:jc w:val="left"/>
            </w:pPr>
            <w:r>
              <w:rPr>
                <w:rFonts w:ascii="Calibri" w:hAnsi="Calibri"/>
                <w:b w:val="0"/>
                <w:i w:val="0"/>
                <w:color w:val="2C2C2C"/>
                <w:sz w:val="20"/>
              </w:rPr>
              <w:t>Low initial seller adoption</w:t>
            </w:r>
          </w:p>
        </w:tc>
        <w:tc>
          <w:tcPr>
            <w:tcW w:type="dxa" w:w="5"/>
            <w:shd w:val="clear" w:color="auto" w:fill="EEF3FA"/>
            <w:tcMar>
              <w:top w:w="80" w:type="dxa"/>
              <w:bottom w:w="80" w:type="dxa"/>
              <w:left w:w="120" w:type="dxa"/>
              <w:right w:w="120" w:type="dxa"/>
            </w:tcMar>
          </w:tcPr>
          <w:p>
            <w:pPr>
              <w:jc w:val="left"/>
            </w:pPr>
            <w:r>
              <w:rPr>
                <w:rFonts w:ascii="Calibri" w:hAnsi="Calibri"/>
                <w:b/>
                <w:i w:val="0"/>
                <w:color w:val="B85C00"/>
                <w:sz w:val="20"/>
              </w:rPr>
              <w:t>Medium</w:t>
            </w:r>
          </w:p>
        </w:tc>
        <w:tc>
          <w:tcPr>
            <w:tcW w:type="dxa" w:w="9"/>
            <w:shd w:val="clear" w:color="auto" w:fill="EEF3FA"/>
            <w:tcMar>
              <w:top w:w="80" w:type="dxa"/>
              <w:bottom w:w="80" w:type="dxa"/>
              <w:left w:w="120" w:type="dxa"/>
              <w:right w:w="120" w:type="dxa"/>
            </w:tcMar>
          </w:tcPr>
          <w:p>
            <w:pPr>
              <w:jc w:val="left"/>
            </w:pPr>
            <w:r>
              <w:rPr>
                <w:rFonts w:ascii="Calibri" w:hAnsi="Calibri"/>
                <w:b w:val="0"/>
                <w:i w:val="0"/>
                <w:color w:val="2C2C2C"/>
                <w:sz w:val="20"/>
              </w:rPr>
              <w:t>Freemium removes financial barrier; free Trust Score reports create viral acquisition; agency channel provides bulk onboarding.</w:t>
            </w:r>
          </w:p>
        </w:tc>
      </w:tr>
      <w:tr>
        <w:tc>
          <w:tcPr>
            <w:tcW w:type="dxa" w:w="6"/>
            <w:shd w:val="clear" w:color="auto" w:fill="FFFFFF"/>
            <w:tcMar>
              <w:top w:w="80" w:type="dxa"/>
              <w:bottom w:w="80" w:type="dxa"/>
              <w:left w:w="120" w:type="dxa"/>
              <w:right w:w="120" w:type="dxa"/>
            </w:tcMar>
          </w:tcPr>
          <w:p>
            <w:pPr>
              <w:jc w:val="left"/>
            </w:pPr>
            <w:r>
              <w:rPr>
                <w:rFonts w:ascii="Calibri" w:hAnsi="Calibri"/>
                <w:b w:val="0"/>
                <w:i w:val="0"/>
                <w:color w:val="2C2C2C"/>
                <w:sz w:val="20"/>
              </w:rPr>
              <w:t>Daraz builds internal tooling</w:t>
            </w:r>
          </w:p>
        </w:tc>
        <w:tc>
          <w:tcPr>
            <w:tcW w:type="dxa" w:w="5"/>
            <w:shd w:val="clear" w:color="auto" w:fill="FFFFFF"/>
            <w:tcMar>
              <w:top w:w="80" w:type="dxa"/>
              <w:bottom w:w="80" w:type="dxa"/>
              <w:left w:w="120" w:type="dxa"/>
              <w:right w:w="120" w:type="dxa"/>
            </w:tcMar>
          </w:tcPr>
          <w:p>
            <w:pPr>
              <w:jc w:val="left"/>
            </w:pPr>
            <w:r>
              <w:rPr>
                <w:rFonts w:ascii="Calibri" w:hAnsi="Calibri"/>
                <w:b/>
                <w:i w:val="0"/>
                <w:color w:val="1A7A4A"/>
                <w:sz w:val="20"/>
              </w:rPr>
              <w:t>Low</w:t>
            </w:r>
          </w:p>
        </w:tc>
        <w:tc>
          <w:tcPr>
            <w:tcW w:type="dxa" w:w="9"/>
            <w:shd w:val="clear" w:color="auto" w:fill="FFFFFF"/>
            <w:tcMar>
              <w:top w:w="80" w:type="dxa"/>
              <w:bottom w:w="80" w:type="dxa"/>
              <w:left w:w="120" w:type="dxa"/>
              <w:right w:w="120" w:type="dxa"/>
            </w:tcMar>
          </w:tcPr>
          <w:p>
            <w:pPr>
              <w:jc w:val="left"/>
            </w:pPr>
            <w:r>
              <w:rPr>
                <w:rFonts w:ascii="Calibri" w:hAnsi="Calibri"/>
                <w:b w:val="0"/>
                <w:i w:val="0"/>
                <w:color w:val="2C2C2C"/>
                <w:sz w:val="20"/>
              </w:rPr>
              <w:t>Daraz's product roadmap is consumer-facing; internal seller analytics is low priority for a platform of their scale and ownership structure.</w:t>
            </w:r>
          </w:p>
        </w:tc>
      </w:tr>
      <w:tr>
        <w:tc>
          <w:tcPr>
            <w:tcW w:type="dxa" w:w="6"/>
            <w:shd w:val="clear" w:color="auto" w:fill="EEF3FA"/>
            <w:tcMar>
              <w:top w:w="80" w:type="dxa"/>
              <w:bottom w:w="80" w:type="dxa"/>
              <w:left w:w="120" w:type="dxa"/>
              <w:right w:w="120" w:type="dxa"/>
            </w:tcMar>
          </w:tcPr>
          <w:p>
            <w:pPr>
              <w:jc w:val="left"/>
            </w:pPr>
            <w:r>
              <w:rPr>
                <w:rFonts w:ascii="Calibri" w:hAnsi="Calibri"/>
                <w:b w:val="0"/>
                <w:i w:val="0"/>
                <w:color w:val="2C2C2C"/>
                <w:sz w:val="20"/>
              </w:rPr>
              <w:t>Roman Urdu training data scarcity</w:t>
            </w:r>
          </w:p>
        </w:tc>
        <w:tc>
          <w:tcPr>
            <w:tcW w:type="dxa" w:w="5"/>
            <w:shd w:val="clear" w:color="auto" w:fill="EEF3FA"/>
            <w:tcMar>
              <w:top w:w="80" w:type="dxa"/>
              <w:bottom w:w="80" w:type="dxa"/>
              <w:left w:w="120" w:type="dxa"/>
              <w:right w:w="120" w:type="dxa"/>
            </w:tcMar>
          </w:tcPr>
          <w:p>
            <w:pPr>
              <w:jc w:val="left"/>
            </w:pPr>
            <w:r>
              <w:rPr>
                <w:rFonts w:ascii="Calibri" w:hAnsi="Calibri"/>
                <w:b/>
                <w:i w:val="0"/>
                <w:color w:val="B85C00"/>
                <w:sz w:val="20"/>
              </w:rPr>
              <w:t>Medium</w:t>
            </w:r>
          </w:p>
        </w:tc>
        <w:tc>
          <w:tcPr>
            <w:tcW w:type="dxa" w:w="9"/>
            <w:shd w:val="clear" w:color="auto" w:fill="EEF3FA"/>
            <w:tcMar>
              <w:top w:w="80" w:type="dxa"/>
              <w:bottom w:w="80" w:type="dxa"/>
              <w:left w:w="120" w:type="dxa"/>
              <w:right w:w="120" w:type="dxa"/>
            </w:tcMar>
          </w:tcPr>
          <w:p>
            <w:pPr>
              <w:jc w:val="left"/>
            </w:pPr>
            <w:r>
              <w:rPr>
                <w:rFonts w:ascii="Calibri" w:hAnsi="Calibri"/>
                <w:b w:val="0"/>
                <w:i w:val="0"/>
                <w:color w:val="2C2C2C"/>
                <w:sz w:val="20"/>
              </w:rPr>
              <w:t>Crowdsource labelling via seller community in exchange for extended free trials; use LLM-assisted annotation as a bootstrap strategy.</w:t>
            </w:r>
          </w:p>
        </w:tc>
      </w:tr>
    </w:tbl>
    <w:p/>
    <w:sectPr w:rsidR="00FC693F" w:rsidRPr="0006063C" w:rsidSect="00034616">
      <w:footerReference w:type="default" r:id="rId9"/>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4" w:color="276FBF"/>
      </w:pBdr>
    </w:pPr>
    <w:r>
      <w:rPr>
        <w:rFonts w:ascii="Calibri" w:hAnsi="Calibri"/>
        <w:b w:val="0"/>
        <w:i/>
        <w:color w:val="888888"/>
        <w:sz w:val="17"/>
      </w:rPr>
      <w:t>Pakistan E-Commerce Review Intelligence Platform  ·  Part 2: Business Report  ·  NLP Course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