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CHILI MILI | AI USE LOG &amp; VALIDATION NOTE</w:t>
      </w:r>
    </w:p>
    <w:p>
      <w:pPr>
        <w:jc w:val="center"/>
      </w:pPr>
      <w:r>
        <w:rPr>
          <w:b/>
          <w:color w:val="552078"/>
          <w:sz w:val="20"/>
        </w:rPr>
        <w:t>MGT-353 Supply Chain Analytics • CandyLand / Ismail Industries Limited</w:t>
      </w:r>
    </w:p>
    <w:p>
      <w:r>
        <w:rPr>
          <w:b/>
        </w:rPr>
        <w:t xml:space="preserve">Purpose. </w:t>
      </w:r>
      <w:r>
        <w:t>This log records how generative AI was used as an accelerator, the representative instructions given to it, what it produced, what was independently checked, and the mistakes that were identified and corrected before submission. Final reported results are based on the executed analysis notebook, not on unverified AI narrative.</w:t>
      </w:r>
    </w:p>
    <w:p>
      <w:pPr>
        <w:pStyle w:val="Heading1"/>
      </w:pPr>
      <w:r>
        <w:t>1. AI Use Log — Prompts, Outputs, Checks and Corrections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512"/>
            <w:vAlign w:val="center"/>
            <w:shd w:fill="552078"/>
          </w:tcPr>
          <w:p>
            <w:r/>
            <w:r>
              <w:rPr>
                <w:rFonts w:ascii="Aptos" w:hAnsi="Aptos"/>
                <w:b/>
                <w:color w:val="FFFFFF"/>
                <w:sz w:val="15"/>
              </w:rPr>
              <w:t>Stage</w:t>
            </w:r>
          </w:p>
        </w:tc>
        <w:tc>
          <w:tcPr>
            <w:tcW w:type="dxa" w:w="3384"/>
            <w:vAlign w:val="center"/>
            <w:shd w:fill="552078"/>
          </w:tcPr>
          <w:p>
            <w:r/>
            <w:r>
              <w:rPr>
                <w:rFonts w:ascii="Aptos" w:hAnsi="Aptos"/>
                <w:b/>
                <w:color w:val="FFFFFF"/>
                <w:sz w:val="15"/>
              </w:rPr>
              <w:t>Representative prompt / instruction</w:t>
            </w:r>
          </w:p>
        </w:tc>
        <w:tc>
          <w:tcPr>
            <w:tcW w:type="dxa" w:w="1080"/>
            <w:vAlign w:val="center"/>
            <w:shd w:fill="552078"/>
          </w:tcPr>
          <w:p>
            <w:r/>
            <w:r>
              <w:rPr>
                <w:rFonts w:ascii="Aptos" w:hAnsi="Aptos"/>
                <w:b/>
                <w:color w:val="FFFFFF"/>
                <w:sz w:val="15"/>
              </w:rPr>
              <w:t>Tool</w:t>
            </w:r>
          </w:p>
        </w:tc>
        <w:tc>
          <w:tcPr>
            <w:tcW w:type="dxa" w:w="2088"/>
            <w:vAlign w:val="center"/>
            <w:shd w:fill="552078"/>
          </w:tcPr>
          <w:p>
            <w:r/>
            <w:r>
              <w:rPr>
                <w:rFonts w:ascii="Aptos" w:hAnsi="Aptos"/>
                <w:b/>
                <w:color w:val="FFFFFF"/>
                <w:sz w:val="15"/>
              </w:rPr>
              <w:t>AI generated</w:t>
            </w:r>
          </w:p>
        </w:tc>
        <w:tc>
          <w:tcPr>
            <w:tcW w:type="dxa" w:w="2376"/>
            <w:vAlign w:val="center"/>
            <w:shd w:fill="552078"/>
          </w:tcPr>
          <w:p>
            <w:r/>
            <w:r>
              <w:rPr>
                <w:rFonts w:ascii="Aptos" w:hAnsi="Aptos"/>
                <w:b/>
                <w:color w:val="FFFFFF"/>
                <w:sz w:val="15"/>
              </w:rPr>
              <w:t>What I checked</w:t>
            </w:r>
          </w:p>
        </w:tc>
        <w:tc>
          <w:tcPr>
            <w:tcW w:type="dxa" w:w="3096"/>
            <w:vAlign w:val="center"/>
            <w:shd w:fill="552078"/>
          </w:tcPr>
          <w:p>
            <w:r/>
            <w:r>
              <w:rPr>
                <w:rFonts w:ascii="Aptos" w:hAnsi="Aptos"/>
                <w:b/>
                <w:color w:val="FFFFFF"/>
                <w:sz w:val="15"/>
              </w:rPr>
              <w:t>Mistake / correction</w:t>
            </w:r>
          </w:p>
        </w:tc>
      </w:tr>
      <w:tr>
        <w:tc>
          <w:tcPr>
            <w:tcW w:type="dxa" w:w="1512"/>
            <w:vAlign w:val="center"/>
          </w:tcPr>
          <w:p>
            <w:r/>
            <w:r>
              <w:rPr>
                <w:rFonts w:ascii="Aptos" w:hAnsi="Aptos"/>
                <w:b w:val="0"/>
                <w:sz w:val="14"/>
              </w:rPr>
              <w:t>1. Synthetic data design</w:t>
            </w:r>
          </w:p>
        </w:tc>
        <w:tc>
          <w:tcPr>
            <w:tcW w:type="dxa" w:w="3384"/>
            <w:vAlign w:val="center"/>
          </w:tcPr>
          <w:p>
            <w:r/>
            <w:r>
              <w:rPr>
                <w:rFonts w:ascii="Aptos" w:hAnsi="Aptos"/>
                <w:b w:val="0"/>
                <w:sz w:val="14"/>
              </w:rPr>
              <w:t>“Generate a 156-week company-calibrated synthetic weekly demand dataset for CandyLand Chili Mili with Actual_Demand, Historical_Forecast, Price, Promo_Flag, Promo_Depth, Event_Flag, Distribution_Points, Stockout_Flag and Exceptional_Event. Include plausible trend, Ramadan/Eid effects, promotions, natural noise and 2–4 exceptional events. Do not make relationships deterministic.”</w:t>
            </w:r>
          </w:p>
        </w:tc>
        <w:tc>
          <w:tcPr>
            <w:tcW w:type="dxa" w:w="1080"/>
            <w:vAlign w:val="center"/>
          </w:tcPr>
          <w:p>
            <w:r/>
            <w:r>
              <w:rPr>
                <w:rFonts w:ascii="Aptos" w:hAnsi="Aptos"/>
                <w:b w:val="0"/>
                <w:sz w:val="14"/>
              </w:rPr>
              <w:t>ChatGPT</w:t>
            </w:r>
          </w:p>
        </w:tc>
        <w:tc>
          <w:tcPr>
            <w:tcW w:type="dxa" w:w="2088"/>
            <w:vAlign w:val="center"/>
          </w:tcPr>
          <w:p>
            <w:r/>
            <w:r>
              <w:rPr>
                <w:rFonts w:ascii="Aptos" w:hAnsi="Aptos"/>
                <w:b w:val="0"/>
                <w:sz w:val="14"/>
              </w:rPr>
              <w:t>Dataset structure, assumptions and synthetic weekly observations.</w:t>
            </w:r>
          </w:p>
        </w:tc>
        <w:tc>
          <w:tcPr>
            <w:tcW w:type="dxa" w:w="2376"/>
            <w:vAlign w:val="center"/>
          </w:tcPr>
          <w:p>
            <w:r/>
            <w:r>
              <w:rPr>
                <w:rFonts w:ascii="Aptos" w:hAnsi="Aptos"/>
                <w:b w:val="0"/>
                <w:sz w:val="14"/>
              </w:rPr>
              <w:t>Checked length, weekly dates, promotion frequency, stockouts, event variation and business plausibility. Dataset explicitly labeled synthetic.</w:t>
            </w:r>
          </w:p>
        </w:tc>
        <w:tc>
          <w:tcPr>
            <w:tcW w:type="dxa" w:w="3096"/>
            <w:vAlign w:val="center"/>
          </w:tcPr>
          <w:p>
            <w:r/>
            <w:r>
              <w:rPr>
                <w:rFonts w:ascii="Aptos" w:hAnsi="Aptos"/>
                <w:b w:val="0"/>
                <w:sz w:val="14"/>
              </w:rPr>
              <w:t>Early file-loading approach treated the Excel workbook like CSV. Corrected to proper Excel loading/header handling. Final dataset was then kept fixed for model comparison.</w:t>
            </w:r>
          </w:p>
        </w:tc>
      </w:tr>
      <w:tr>
        <w:tc>
          <w:tcPr>
            <w:tcW w:type="dxa" w:w="1512"/>
            <w:vAlign w:val="center"/>
          </w:tcPr>
          <w:p>
            <w:r/>
            <w:r>
              <w:rPr>
                <w:rFonts w:ascii="Aptos" w:hAnsi="Aptos"/>
                <w:b w:val="0"/>
                <w:sz w:val="14"/>
              </w:rPr>
              <w:t>2. Demand-pattern diagnosis</w:t>
            </w:r>
          </w:p>
        </w:tc>
        <w:tc>
          <w:tcPr>
            <w:tcW w:type="dxa" w:w="3384"/>
            <w:vAlign w:val="center"/>
          </w:tcPr>
          <w:p>
            <w:r/>
            <w:r>
              <w:rPr>
                <w:rFonts w:ascii="Aptos" w:hAnsi="Aptos"/>
                <w:b w:val="0"/>
                <w:sz w:val="14"/>
              </w:rPr>
              <w:t>“Analyse the Chili Mili weekly demand series. Identify level, trend, seasonality/events, structural changes and unusual observations. Calculate mean, median, standard deviation, min, max, range and CV, and write a 100–150 word managerial diagnosis.”</w:t>
            </w:r>
          </w:p>
        </w:tc>
        <w:tc>
          <w:tcPr>
            <w:tcW w:type="dxa" w:w="1080"/>
            <w:vAlign w:val="center"/>
          </w:tcPr>
          <w:p>
            <w:r/>
            <w:r>
              <w:rPr>
                <w:rFonts w:ascii="Aptos" w:hAnsi="Aptos"/>
                <w:b w:val="0"/>
                <w:sz w:val="14"/>
              </w:rPr>
              <w:t>ChatGPT + Python</w:t>
            </w:r>
          </w:p>
        </w:tc>
        <w:tc>
          <w:tcPr>
            <w:tcW w:type="dxa" w:w="2088"/>
            <w:vAlign w:val="center"/>
          </w:tcPr>
          <w:p>
            <w:r/>
            <w:r>
              <w:rPr>
                <w:rFonts w:ascii="Aptos" w:hAnsi="Aptos"/>
                <w:b w:val="0"/>
                <w:sz w:val="14"/>
              </w:rPr>
              <w:t>Descriptive statistics, event annotations and draft diagnosis.</w:t>
            </w:r>
          </w:p>
        </w:tc>
        <w:tc>
          <w:tcPr>
            <w:tcW w:type="dxa" w:w="2376"/>
            <w:vAlign w:val="center"/>
          </w:tcPr>
          <w:p>
            <w:r/>
            <w:r>
              <w:rPr>
                <w:rFonts w:ascii="Aptos" w:hAnsi="Aptos"/>
                <w:b w:val="0"/>
                <w:sz w:val="14"/>
              </w:rPr>
              <w:t>Compared narrative with plotted series and event flags; ensured temporary shocks were not described as permanent structural changes.</w:t>
            </w:r>
          </w:p>
        </w:tc>
        <w:tc>
          <w:tcPr>
            <w:tcW w:type="dxa" w:w="3096"/>
            <w:vAlign w:val="center"/>
          </w:tcPr>
          <w:p>
            <w:r/>
            <w:r>
              <w:rPr>
                <w:rFonts w:ascii="Aptos" w:hAnsi="Aptos"/>
                <w:b w:val="0"/>
                <w:sz w:val="14"/>
              </w:rPr>
              <w:t>Reworded the diagnosis to avoid overstating seasonality and to link observed patterns to model choice.</w:t>
            </w:r>
          </w:p>
        </w:tc>
      </w:tr>
      <w:tr>
        <w:tc>
          <w:tcPr>
            <w:tcW w:type="dxa" w:w="1512"/>
            <w:vAlign w:val="center"/>
          </w:tcPr>
          <w:p>
            <w:r/>
            <w:r>
              <w:rPr>
                <w:rFonts w:ascii="Aptos" w:hAnsi="Aptos"/>
                <w:b w:val="0"/>
                <w:sz w:val="14"/>
              </w:rPr>
              <w:t>3. Forecast model comparison</w:t>
            </w:r>
          </w:p>
        </w:tc>
        <w:tc>
          <w:tcPr>
            <w:tcW w:type="dxa" w:w="3384"/>
            <w:vAlign w:val="center"/>
          </w:tcPr>
          <w:p>
            <w:r/>
            <w:r>
              <w:rPr>
                <w:rFonts w:ascii="Aptos" w:hAnsi="Aptos"/>
                <w:b w:val="0"/>
                <w:sz w:val="14"/>
              </w:rPr>
              <w:t>“Using train_df and a final 12-week test_df, build Naive, Seasonal Naive, 4-week Moving Average, SES with α=0.3 and α=0.6, Holt-Winters and an event-adjusted trend model. Fit every model only on train_df. Do not use test_df actuals during forecasting. Compare MAD, MAPE, RMSE, WAPE, Bias and Tracking Signal.”</w:t>
            </w:r>
          </w:p>
        </w:tc>
        <w:tc>
          <w:tcPr>
            <w:tcW w:type="dxa" w:w="1080"/>
            <w:vAlign w:val="center"/>
          </w:tcPr>
          <w:p>
            <w:r/>
            <w:r>
              <w:rPr>
                <w:rFonts w:ascii="Aptos" w:hAnsi="Aptos"/>
                <w:b w:val="0"/>
                <w:sz w:val="14"/>
              </w:rPr>
              <w:t>ChatGPT + Python/statsmodels</w:t>
            </w:r>
          </w:p>
        </w:tc>
        <w:tc>
          <w:tcPr>
            <w:tcW w:type="dxa" w:w="2088"/>
            <w:vAlign w:val="center"/>
          </w:tcPr>
          <w:p>
            <w:r/>
            <w:r>
              <w:rPr>
                <w:rFonts w:ascii="Aptos" w:hAnsi="Aptos"/>
                <w:b w:val="0"/>
                <w:sz w:val="14"/>
              </w:rPr>
              <w:t>Forecasting code and common-holdout model comparison.</w:t>
            </w:r>
          </w:p>
        </w:tc>
        <w:tc>
          <w:tcPr>
            <w:tcW w:type="dxa" w:w="2376"/>
            <w:vAlign w:val="center"/>
          </w:tcPr>
          <w:p>
            <w:r/>
            <w:r>
              <w:rPr>
                <w:rFonts w:ascii="Aptos" w:hAnsi="Aptos"/>
                <w:b w:val="0"/>
                <w:sz w:val="14"/>
              </w:rPr>
              <w:t>Verified all methods used the same 12-week unseen period. Confirmed Naive won on holdout WAPE rather than selecting the most sophisticated model.</w:t>
            </w:r>
          </w:p>
        </w:tc>
        <w:tc>
          <w:tcPr>
            <w:tcW w:type="dxa" w:w="3096"/>
            <w:vAlign w:val="center"/>
          </w:tcPr>
          <w:p>
            <w:r/>
            <w:r>
              <w:rPr>
                <w:rFonts w:ascii="Aptos" w:hAnsi="Aptos"/>
                <w:b w:val="0"/>
                <w:sz w:val="14"/>
              </w:rPr>
              <w:t>Clarified that Event-adjusted Trend is not itself a seasonal model; Holt-Winters provides the seasonal/trend-capable comparison.</w:t>
            </w:r>
          </w:p>
        </w:tc>
      </w:tr>
      <w:tr>
        <w:tc>
          <w:tcPr>
            <w:tcW w:type="dxa" w:w="1512"/>
            <w:vAlign w:val="center"/>
          </w:tcPr>
          <w:p>
            <w:r/>
            <w:r>
              <w:rPr>
                <w:rFonts w:ascii="Aptos" w:hAnsi="Aptos"/>
                <w:b w:val="0"/>
                <w:sz w:val="14"/>
              </w:rPr>
              <w:t>4. Forecast-metric audit</w:t>
            </w:r>
          </w:p>
        </w:tc>
        <w:tc>
          <w:tcPr>
            <w:tcW w:type="dxa" w:w="3384"/>
            <w:vAlign w:val="center"/>
          </w:tcPr>
          <w:p>
            <w:r/>
            <w:r>
              <w:rPr>
                <w:rFonts w:ascii="Aptos" w:hAnsi="Aptos"/>
                <w:b w:val="0"/>
                <w:sz w:val="14"/>
              </w:rPr>
              <w:t>“Act as an independent forecasting auditor. Do not assume my model is correct. Check date ordering, train/test separation, data leakage, recursive forecast logic, MAD, MAPE, RMSE, WAPE, Bias, RSFE and Tracking Signal. Recalculate key values, identify the five largest misses, challenge implausible coefficients, and tell me what evidence would make you reject my managerial recommendation.”</w:t>
            </w:r>
          </w:p>
        </w:tc>
        <w:tc>
          <w:tcPr>
            <w:tcW w:type="dxa" w:w="1080"/>
            <w:vAlign w:val="center"/>
          </w:tcPr>
          <w:p>
            <w:r/>
            <w:r>
              <w:rPr>
                <w:rFonts w:ascii="Aptos" w:hAnsi="Aptos"/>
                <w:b w:val="0"/>
                <w:sz w:val="14"/>
              </w:rPr>
              <w:t>ChatGPT + independent recalculation</w:t>
            </w:r>
          </w:p>
        </w:tc>
        <w:tc>
          <w:tcPr>
            <w:tcW w:type="dxa" w:w="2088"/>
            <w:vAlign w:val="center"/>
          </w:tcPr>
          <w:p>
            <w:r/>
            <w:r>
              <w:rPr>
                <w:rFonts w:ascii="Aptos" w:hAnsi="Aptos"/>
                <w:b w:val="0"/>
                <w:sz w:val="14"/>
              </w:rPr>
              <w:t>Independent audit of the selected Naive model and managerial recommendation.</w:t>
            </w:r>
          </w:p>
        </w:tc>
        <w:tc>
          <w:tcPr>
            <w:tcW w:type="dxa" w:w="2376"/>
            <w:vAlign w:val="center"/>
          </w:tcPr>
          <w:p>
            <w:r/>
            <w:r>
              <w:rPr>
                <w:rFonts w:ascii="Aptos" w:hAnsi="Aptos"/>
                <w:b w:val="0"/>
                <w:sz w:val="14"/>
              </w:rPr>
              <w:t>Recalculated Naive holdout results: MAD 2,385.33; MAPE 6.61%; RMSE 3,772.52; WAPE 6.98%; Bias +75.83; RSFE +910; TS +0.38.</w:t>
            </w:r>
          </w:p>
        </w:tc>
        <w:tc>
          <w:tcPr>
            <w:tcW w:type="dxa" w:w="3096"/>
            <w:vAlign w:val="center"/>
          </w:tcPr>
          <w:p>
            <w:r/>
            <w:r>
              <w:rPr>
                <w:rFonts w:ascii="Aptos" w:hAnsi="Aptos"/>
                <w:b w:val="0"/>
                <w:sz w:val="14"/>
              </w:rPr>
              <w:t>No arithmetic error found. Audit highlighted that 6.98% WAPE does not mean every week is within 6.98%; the largest promotion-week miss was 11,124 units.</w:t>
            </w:r>
          </w:p>
        </w:tc>
      </w:tr>
      <w:tr>
        <w:tc>
          <w:tcPr>
            <w:tcW w:type="dxa" w:w="1512"/>
            <w:vAlign w:val="center"/>
          </w:tcPr>
          <w:p>
            <w:r/>
            <w:r>
              <w:rPr>
                <w:rFonts w:ascii="Aptos" w:hAnsi="Aptos"/>
                <w:b w:val="0"/>
                <w:sz w:val="14"/>
              </w:rPr>
              <w:t>5. Regression / demand drivers</w:t>
            </w:r>
          </w:p>
        </w:tc>
        <w:tc>
          <w:tcPr>
            <w:tcW w:type="dxa" w:w="3384"/>
            <w:vAlign w:val="center"/>
          </w:tcPr>
          <w:p>
            <w:r/>
            <w:r>
              <w:rPr>
                <w:rFonts w:ascii="Aptos" w:hAnsi="Aptos"/>
                <w:b w:val="0"/>
                <w:sz w:val="14"/>
              </w:rPr>
              <w:t>“Run a multiple linear regression with Actual_Demand as the dependent variable and Price, Promo_Depth, Event_Flag, Distribution_Points and Stockout_Flag as explanatory variables. Report coefficients, R², adjusted R² and p-values. Interpret results as associations, not causal effects, and flag implausible coefficients.”</w:t>
            </w:r>
          </w:p>
        </w:tc>
        <w:tc>
          <w:tcPr>
            <w:tcW w:type="dxa" w:w="1080"/>
            <w:vAlign w:val="center"/>
          </w:tcPr>
          <w:p>
            <w:r/>
            <w:r>
              <w:rPr>
                <w:rFonts w:ascii="Aptos" w:hAnsi="Aptos"/>
                <w:b w:val="0"/>
                <w:sz w:val="14"/>
              </w:rPr>
              <w:t>ChatGPT + statsmodels</w:t>
            </w:r>
          </w:p>
        </w:tc>
        <w:tc>
          <w:tcPr>
            <w:tcW w:type="dxa" w:w="2088"/>
            <w:vAlign w:val="center"/>
          </w:tcPr>
          <w:p>
            <w:r/>
            <w:r>
              <w:rPr>
                <w:rFonts w:ascii="Aptos" w:hAnsi="Aptos"/>
                <w:b w:val="0"/>
                <w:sz w:val="14"/>
              </w:rPr>
              <w:t>OLS regression and managerial interpretation.</w:t>
            </w:r>
          </w:p>
        </w:tc>
        <w:tc>
          <w:tcPr>
            <w:tcW w:type="dxa" w:w="2376"/>
            <w:vAlign w:val="center"/>
          </w:tcPr>
          <w:p>
            <w:r/>
            <w:r>
              <w:rPr>
                <w:rFonts w:ascii="Aptos" w:hAnsi="Aptos"/>
                <w:b w:val="0"/>
                <w:sz w:val="14"/>
              </w:rPr>
              <w:t>Checked coefficient signs, p-values, R²/adjusted R² and condition-number warning.</w:t>
            </w:r>
          </w:p>
        </w:tc>
        <w:tc>
          <w:tcPr>
            <w:tcW w:type="dxa" w:w="3096"/>
            <w:vAlign w:val="center"/>
          </w:tcPr>
          <w:p>
            <w:r/>
            <w:r>
              <w:rPr>
                <w:rFonts w:ascii="Aptos" w:hAnsi="Aptos"/>
                <w:b w:val="0"/>
                <w:sz w:val="14"/>
              </w:rPr>
              <w:t>AI output could have encouraged a positive Price interpretation. Corrected: Price coefficient +1.44 has p=.698 and is not statistically significant; no claim that higher price increases demand.</w:t>
            </w:r>
          </w:p>
        </w:tc>
      </w:tr>
      <w:tr>
        <w:tc>
          <w:tcPr>
            <w:tcW w:type="dxa" w:w="1512"/>
            <w:vAlign w:val="center"/>
          </w:tcPr>
          <w:p>
            <w:r/>
            <w:r>
              <w:rPr>
                <w:rFonts w:ascii="Aptos" w:hAnsi="Aptos"/>
                <w:b w:val="0"/>
                <w:sz w:val="14"/>
              </w:rPr>
              <w:t>6. Stress testing &amp; decision</w:t>
            </w:r>
          </w:p>
        </w:tc>
        <w:tc>
          <w:tcPr>
            <w:tcW w:type="dxa" w:w="3384"/>
            <w:vAlign w:val="center"/>
          </w:tcPr>
          <w:p>
            <w:r/>
            <w:r>
              <w:rPr>
                <w:rFonts w:ascii="Aptos" w:hAnsi="Aptos"/>
                <w:b w:val="0"/>
                <w:sz w:val="14"/>
              </w:rPr>
              <w:t>“Stress-test the selected 12-week forecast under −20%, −10%, +10%, +20%, an event shock and an operational capacity constraint. Quantify consequences and recommend how much to commit now versus keep flexible.”</w:t>
            </w:r>
          </w:p>
        </w:tc>
        <w:tc>
          <w:tcPr>
            <w:tcW w:type="dxa" w:w="1080"/>
            <w:vAlign w:val="center"/>
          </w:tcPr>
          <w:p>
            <w:r/>
            <w:r>
              <w:rPr>
                <w:rFonts w:ascii="Aptos" w:hAnsi="Aptos"/>
                <w:b w:val="0"/>
                <w:sz w:val="14"/>
              </w:rPr>
              <w:t>ChatGPT + Python</w:t>
            </w:r>
          </w:p>
        </w:tc>
        <w:tc>
          <w:tcPr>
            <w:tcW w:type="dxa" w:w="2088"/>
            <w:vAlign w:val="center"/>
          </w:tcPr>
          <w:p>
            <w:r/>
            <w:r>
              <w:rPr>
                <w:rFonts w:ascii="Aptos" w:hAnsi="Aptos"/>
                <w:b w:val="0"/>
                <w:sz w:val="14"/>
              </w:rPr>
              <w:t>Scenario table and 80% commit / 20% flexible recommendation.</w:t>
            </w:r>
          </w:p>
        </w:tc>
        <w:tc>
          <w:tcPr>
            <w:tcW w:type="dxa" w:w="2376"/>
            <w:vAlign w:val="center"/>
          </w:tcPr>
          <w:p>
            <w:r/>
            <w:r>
              <w:rPr>
                <w:rFonts w:ascii="Aptos" w:hAnsi="Aptos"/>
                <w:b w:val="0"/>
                <w:sz w:val="14"/>
              </w:rPr>
              <w:t>Recalculated scenario totals from the final 414,504-unit forecast and clearly separated disclosed facts from assumptions.</w:t>
            </w:r>
          </w:p>
        </w:tc>
        <w:tc>
          <w:tcPr>
            <w:tcW w:type="dxa" w:w="3096"/>
            <w:vAlign w:val="center"/>
          </w:tcPr>
          <w:p>
            <w:r/>
            <w:r>
              <w:rPr>
                <w:rFonts w:ascii="Aptos" w:hAnsi="Aptos"/>
                <w:b w:val="0"/>
                <w:sz w:val="14"/>
              </w:rPr>
              <w:t>Capacity ceiling of 455,954 units was an illustrative academic assumption, not a company fact. It was relabeled explicitly. The 80/20 split is a risk-management rule, not an optimized mathematical optimum.</w:t>
            </w:r>
          </w:p>
        </w:tc>
      </w:tr>
      <w:tr>
        <w:tc>
          <w:tcPr>
            <w:tcW w:type="dxa" w:w="1512"/>
            <w:vAlign w:val="center"/>
          </w:tcPr>
          <w:p>
            <w:r/>
            <w:r>
              <w:rPr>
                <w:rFonts w:ascii="Aptos" w:hAnsi="Aptos"/>
                <w:b w:val="0"/>
                <w:sz w:val="14"/>
              </w:rPr>
              <w:t>7. Future operational forecast</w:t>
            </w:r>
          </w:p>
        </w:tc>
        <w:tc>
          <w:tcPr>
            <w:tcW w:type="dxa" w:w="3384"/>
            <w:vAlign w:val="center"/>
          </w:tcPr>
          <w:p>
            <w:r/>
            <w:r>
              <w:rPr>
                <w:rFonts w:ascii="Aptos" w:hAnsi="Aptos"/>
                <w:b w:val="0"/>
                <w:sz w:val="14"/>
              </w:rPr>
              <w:t>“After model selection on the holdout, refit/reapply the winning model using all available history and generate the genuinely future 12-week operational forecast. Keep validation performance separate from the future plan.”</w:t>
            </w:r>
          </w:p>
        </w:tc>
        <w:tc>
          <w:tcPr>
            <w:tcW w:type="dxa" w:w="1080"/>
            <w:vAlign w:val="center"/>
          </w:tcPr>
          <w:p>
            <w:r/>
            <w:r>
              <w:rPr>
                <w:rFonts w:ascii="Aptos" w:hAnsi="Aptos"/>
                <w:b w:val="0"/>
                <w:sz w:val="14"/>
              </w:rPr>
              <w:t>ChatGPT + Python</w:t>
            </w:r>
          </w:p>
        </w:tc>
        <w:tc>
          <w:tcPr>
            <w:tcW w:type="dxa" w:w="2088"/>
            <w:vAlign w:val="center"/>
          </w:tcPr>
          <w:p>
            <w:r/>
            <w:r>
              <w:rPr>
                <w:rFonts w:ascii="Aptos" w:hAnsi="Aptos"/>
                <w:b w:val="0"/>
                <w:sz w:val="14"/>
              </w:rPr>
              <w:t>Forward 12-week forecast and supply-plan quantities.</w:t>
            </w:r>
          </w:p>
        </w:tc>
        <w:tc>
          <w:tcPr>
            <w:tcW w:type="dxa" w:w="2376"/>
            <w:vAlign w:val="center"/>
          </w:tcPr>
          <w:p>
            <w:r/>
            <w:r>
              <w:rPr>
                <w:rFonts w:ascii="Aptos" w:hAnsi="Aptos"/>
                <w:b w:val="0"/>
                <w:sz w:val="14"/>
              </w:rPr>
              <w:t>Checked that the future period begins after the final observed week and that holdout actuals are not reused as future observations.</w:t>
            </w:r>
          </w:p>
        </w:tc>
        <w:tc>
          <w:tcPr>
            <w:tcW w:type="dxa" w:w="3096"/>
            <w:vAlign w:val="center"/>
          </w:tcPr>
          <w:p>
            <w:r/>
            <w:r>
              <w:rPr>
                <w:rFonts w:ascii="Aptos" w:hAnsi="Aptos"/>
                <w:b w:val="0"/>
                <w:sz w:val="14"/>
              </w:rPr>
              <w:t>An earlier version mixed the holdout Naive level (34,121/week) with the future operational horizon, producing an outdated total around 409k. Corrected final forecast: 34,542/week × 12 = 414,504 units.</w:t>
            </w:r>
          </w:p>
        </w:tc>
      </w:tr>
      <w:tr>
        <w:tc>
          <w:tcPr>
            <w:tcW w:type="dxa" w:w="1512"/>
            <w:vAlign w:val="center"/>
          </w:tcPr>
          <w:p>
            <w:r/>
            <w:r>
              <w:rPr>
                <w:rFonts w:ascii="Aptos" w:hAnsi="Aptos"/>
                <w:b w:val="0"/>
                <w:sz w:val="14"/>
              </w:rPr>
              <w:t>8. Dashboard &amp; management communication</w:t>
            </w:r>
          </w:p>
        </w:tc>
        <w:tc>
          <w:tcPr>
            <w:tcW w:type="dxa" w:w="3384"/>
            <w:vAlign w:val="center"/>
          </w:tcPr>
          <w:p>
            <w:r/>
            <w:r>
              <w:rPr>
                <w:rFonts w:ascii="Aptos" w:hAnsi="Aptos"/>
                <w:b w:val="0"/>
                <w:sz w:val="14"/>
              </w:rPr>
              <w:t>“Create an executive interactive forecasting dashboard showing history, future forecast, model comparison, top misses, regression drivers, scenarios and the quantified management action. Use only verified notebook metrics and clearly distinguish holdout validation from the operational forecast.”</w:t>
            </w:r>
          </w:p>
        </w:tc>
        <w:tc>
          <w:tcPr>
            <w:tcW w:type="dxa" w:w="1080"/>
            <w:vAlign w:val="center"/>
          </w:tcPr>
          <w:p>
            <w:r/>
            <w:r>
              <w:rPr>
                <w:rFonts w:ascii="Aptos" w:hAnsi="Aptos"/>
                <w:b w:val="0"/>
                <w:sz w:val="14"/>
              </w:rPr>
              <w:t>ChatGPT</w:t>
            </w:r>
          </w:p>
        </w:tc>
        <w:tc>
          <w:tcPr>
            <w:tcW w:type="dxa" w:w="2088"/>
            <w:vAlign w:val="center"/>
          </w:tcPr>
          <w:p>
            <w:r/>
            <w:r>
              <w:rPr>
                <w:rFonts w:ascii="Aptos" w:hAnsi="Aptos"/>
                <w:b w:val="0"/>
                <w:sz w:val="14"/>
              </w:rPr>
              <w:t>Interactive HTML dashboard and management narrative.</w:t>
            </w:r>
          </w:p>
        </w:tc>
        <w:tc>
          <w:tcPr>
            <w:tcW w:type="dxa" w:w="2376"/>
            <w:vAlign w:val="center"/>
          </w:tcPr>
          <w:p>
            <w:r/>
            <w:r>
              <w:rPr>
                <w:rFonts w:ascii="Aptos" w:hAnsi="Aptos"/>
                <w:b w:val="0"/>
                <w:sz w:val="14"/>
              </w:rPr>
              <w:t>Cross-checked dashboard KPIs against executed notebook outputs and final dataset.</w:t>
            </w:r>
          </w:p>
        </w:tc>
        <w:tc>
          <w:tcPr>
            <w:tcW w:type="dxa" w:w="3096"/>
            <w:vAlign w:val="center"/>
          </w:tcPr>
          <w:p>
            <w:r/>
            <w:r>
              <w:rPr>
                <w:rFonts w:ascii="Aptos" w:hAnsi="Aptos"/>
                <w:b w:val="0"/>
                <w:sz w:val="14"/>
              </w:rPr>
              <w:t>An early dashboard used an approximated historical trend and model metrics that had not yet been verified. It was rejected and rebuilt using the exact 156-week series and executed model results.</w:t>
            </w:r>
          </w:p>
        </w:tc>
      </w:tr>
      <w:tr>
        <w:tc>
          <w:tcPr>
            <w:tcW w:type="dxa" w:w="1512"/>
            <w:vAlign w:val="center"/>
          </w:tcPr>
          <w:p>
            <w:r/>
            <w:r>
              <w:rPr>
                <w:rFonts w:ascii="Aptos" w:hAnsi="Aptos"/>
                <w:b w:val="0"/>
                <w:sz w:val="14"/>
              </w:rPr>
              <w:t>9. Terminology &amp; packaging</w:t>
            </w:r>
          </w:p>
        </w:tc>
        <w:tc>
          <w:tcPr>
            <w:tcW w:type="dxa" w:w="3384"/>
            <w:vAlign w:val="center"/>
          </w:tcPr>
          <w:p>
            <w:r/>
            <w:r>
              <w:rPr>
                <w:rFonts w:ascii="Aptos" w:hAnsi="Aptos"/>
                <w:b w:val="0"/>
                <w:sz w:val="14"/>
              </w:rPr>
              <w:t>“Audit the final narrative for unsupported assumptions, ambiguous units, causal overclaims and inconsistencies across notebook, dashboard, storyboard and memo.”</w:t>
            </w:r>
          </w:p>
        </w:tc>
        <w:tc>
          <w:tcPr>
            <w:tcW w:type="dxa" w:w="1080"/>
            <w:vAlign w:val="center"/>
          </w:tcPr>
          <w:p>
            <w:r/>
            <w:r>
              <w:rPr>
                <w:rFonts w:ascii="Aptos" w:hAnsi="Aptos"/>
                <w:b w:val="0"/>
                <w:sz w:val="14"/>
              </w:rPr>
              <w:t>ChatGPT</w:t>
            </w:r>
          </w:p>
        </w:tc>
        <w:tc>
          <w:tcPr>
            <w:tcW w:type="dxa" w:w="2088"/>
            <w:vAlign w:val="center"/>
          </w:tcPr>
          <w:p>
            <w:r/>
            <w:r>
              <w:rPr>
                <w:rFonts w:ascii="Aptos" w:hAnsi="Aptos"/>
                <w:b w:val="0"/>
                <w:sz w:val="14"/>
              </w:rPr>
              <w:t>Consistency and submission-quality review.</w:t>
            </w:r>
          </w:p>
        </w:tc>
        <w:tc>
          <w:tcPr>
            <w:tcW w:type="dxa" w:w="2376"/>
            <w:vAlign w:val="center"/>
          </w:tcPr>
          <w:p>
            <w:r/>
            <w:r>
              <w:rPr>
                <w:rFonts w:ascii="Aptos" w:hAnsi="Aptos"/>
                <w:b w:val="0"/>
                <w:sz w:val="14"/>
              </w:rPr>
              <w:t>Checked terminology and recommendation values across deliverables.</w:t>
            </w:r>
          </w:p>
        </w:tc>
        <w:tc>
          <w:tcPr>
            <w:tcW w:type="dxa" w:w="3096"/>
            <w:vAlign w:val="center"/>
          </w:tcPr>
          <w:p>
            <w:r/>
            <w:r>
              <w:rPr>
                <w:rFonts w:ascii="Aptos" w:hAnsi="Aptos"/>
                <w:b w:val="0"/>
                <w:sz w:val="14"/>
              </w:rPr>
              <w:t>Earlier drafts used ‘cases’ even though no verified Chili Mili pack-to-case conversion was available. Final terminology is ‘standardized demand units’; no pack/case conversion is invented.</w:t>
            </w:r>
          </w:p>
        </w:tc>
      </w:tr>
    </w:tbl>
    <w:p>
      <w:pPr>
        <w:pStyle w:val="Heading1"/>
      </w:pPr>
      <w:r>
        <w:t>2. Independent Validation Note</w:t>
      </w:r>
    </w:p>
    <w:p>
      <w:r>
        <w:rPr>
          <w:b/>
        </w:rPr>
        <w:t xml:space="preserve">Holdout design. </w:t>
      </w:r>
      <w:r>
        <w:t>The 156 weekly observations were kept in chronological order. The first 144 weeks were used for model fitting and the final 12 weeks (6 April–22 June 2026) were reserved as an unseen holdout. Candidate methods were compared on the same target and the same holdout window.</w:t>
      </w:r>
    </w:p>
    <w:p>
      <w:r>
        <w:rPr>
          <w:b/>
        </w:rPr>
        <w:t xml:space="preserve">Leakage and recursive logic. </w:t>
      </w:r>
      <w:r>
        <w:t>Holdout actual demand was not used to fit candidate models or recursively update the multi-step Naive holdout forecast. After model selection, all 156 observed weeks were legitimately used to produce the genuinely future operational forecast for 29 June–14 September 2026.</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552078"/>
          </w:tcPr>
          <w:p>
            <w:r/>
            <w:r>
              <w:rPr>
                <w:rFonts w:ascii="Aptos" w:hAnsi="Aptos"/>
                <w:b/>
                <w:color w:val="FFFFFF"/>
                <w:sz w:val="15"/>
              </w:rPr>
              <w:t>Metric</w:t>
            </w:r>
          </w:p>
        </w:tc>
        <w:tc>
          <w:tcPr>
            <w:tcW w:type="dxa" w:w="2016"/>
            <w:vAlign w:val="center"/>
            <w:shd w:fill="552078"/>
          </w:tcPr>
          <w:p>
            <w:r/>
            <w:r>
              <w:rPr>
                <w:rFonts w:ascii="Aptos" w:hAnsi="Aptos"/>
                <w:b/>
                <w:color w:val="FFFFFF"/>
                <w:sz w:val="15"/>
              </w:rPr>
              <w:t>Recalculated value</w:t>
            </w:r>
          </w:p>
        </w:tc>
        <w:tc>
          <w:tcPr>
            <w:tcW w:type="dxa" w:w="7920"/>
            <w:vAlign w:val="center"/>
            <w:shd w:fill="552078"/>
          </w:tcPr>
          <w:p>
            <w:r/>
            <w:r>
              <w:rPr>
                <w:rFonts w:ascii="Aptos" w:hAnsi="Aptos"/>
                <w:b/>
                <w:color w:val="FFFFFF"/>
                <w:sz w:val="15"/>
              </w:rPr>
              <w:t>Interpretation</w:t>
            </w:r>
          </w:p>
        </w:tc>
      </w:tr>
      <w:tr>
        <w:tc>
          <w:tcPr>
            <w:tcW w:type="dxa" w:w="1872"/>
            <w:vAlign w:val="center"/>
          </w:tcPr>
          <w:p>
            <w:r/>
            <w:r>
              <w:rPr>
                <w:rFonts w:ascii="Aptos" w:hAnsi="Aptos"/>
                <w:b w:val="0"/>
                <w:sz w:val="14"/>
              </w:rPr>
              <w:t>MAD / MAE</w:t>
            </w:r>
          </w:p>
        </w:tc>
        <w:tc>
          <w:tcPr>
            <w:tcW w:type="dxa" w:w="2016"/>
            <w:vAlign w:val="center"/>
          </w:tcPr>
          <w:p>
            <w:r/>
            <w:r>
              <w:rPr>
                <w:rFonts w:ascii="Aptos" w:hAnsi="Aptos"/>
                <w:b w:val="0"/>
                <w:sz w:val="14"/>
              </w:rPr>
              <w:t>2,385.33 units</w:t>
            </w:r>
          </w:p>
        </w:tc>
        <w:tc>
          <w:tcPr>
            <w:tcW w:type="dxa" w:w="7920"/>
            <w:vAlign w:val="center"/>
          </w:tcPr>
          <w:p>
            <w:r/>
            <w:r>
              <w:rPr>
                <w:rFonts w:ascii="Aptos" w:hAnsi="Aptos"/>
                <w:b w:val="0"/>
                <w:sz w:val="14"/>
              </w:rPr>
              <w:t>Mean absolute weekly error.</w:t>
            </w:r>
          </w:p>
        </w:tc>
      </w:tr>
      <w:tr>
        <w:tc>
          <w:tcPr>
            <w:tcW w:type="dxa" w:w="1872"/>
            <w:vAlign w:val="center"/>
          </w:tcPr>
          <w:p>
            <w:r/>
            <w:r>
              <w:rPr>
                <w:rFonts w:ascii="Aptos" w:hAnsi="Aptos"/>
                <w:b w:val="0"/>
                <w:sz w:val="14"/>
              </w:rPr>
              <w:t>MAPE</w:t>
            </w:r>
          </w:p>
        </w:tc>
        <w:tc>
          <w:tcPr>
            <w:tcW w:type="dxa" w:w="2016"/>
            <w:vAlign w:val="center"/>
          </w:tcPr>
          <w:p>
            <w:r/>
            <w:r>
              <w:rPr>
                <w:rFonts w:ascii="Aptos" w:hAnsi="Aptos"/>
                <w:b w:val="0"/>
                <w:sz w:val="14"/>
              </w:rPr>
              <w:t>6.61%</w:t>
            </w:r>
          </w:p>
        </w:tc>
        <w:tc>
          <w:tcPr>
            <w:tcW w:type="dxa" w:w="7920"/>
            <w:vAlign w:val="center"/>
          </w:tcPr>
          <w:p>
            <w:r/>
            <w:r>
              <w:rPr>
                <w:rFonts w:ascii="Aptos" w:hAnsi="Aptos"/>
                <w:b w:val="0"/>
                <w:sz w:val="14"/>
              </w:rPr>
              <w:t>Average absolute percentage error.</w:t>
            </w:r>
          </w:p>
        </w:tc>
      </w:tr>
      <w:tr>
        <w:tc>
          <w:tcPr>
            <w:tcW w:type="dxa" w:w="1872"/>
            <w:vAlign w:val="center"/>
          </w:tcPr>
          <w:p>
            <w:r/>
            <w:r>
              <w:rPr>
                <w:rFonts w:ascii="Aptos" w:hAnsi="Aptos"/>
                <w:b w:val="0"/>
                <w:sz w:val="14"/>
              </w:rPr>
              <w:t>RMSE</w:t>
            </w:r>
          </w:p>
        </w:tc>
        <w:tc>
          <w:tcPr>
            <w:tcW w:type="dxa" w:w="2016"/>
            <w:vAlign w:val="center"/>
          </w:tcPr>
          <w:p>
            <w:r/>
            <w:r>
              <w:rPr>
                <w:rFonts w:ascii="Aptos" w:hAnsi="Aptos"/>
                <w:b w:val="0"/>
                <w:sz w:val="14"/>
              </w:rPr>
              <w:t>3,772.52 units</w:t>
            </w:r>
          </w:p>
        </w:tc>
        <w:tc>
          <w:tcPr>
            <w:tcW w:type="dxa" w:w="7920"/>
            <w:vAlign w:val="center"/>
          </w:tcPr>
          <w:p>
            <w:r/>
            <w:r>
              <w:rPr>
                <w:rFonts w:ascii="Aptos" w:hAnsi="Aptos"/>
                <w:b w:val="0"/>
                <w:sz w:val="14"/>
              </w:rPr>
              <w:t>Higher than MAD because large misses are penalized more heavily.</w:t>
            </w:r>
          </w:p>
        </w:tc>
      </w:tr>
      <w:tr>
        <w:tc>
          <w:tcPr>
            <w:tcW w:type="dxa" w:w="1872"/>
            <w:vAlign w:val="center"/>
          </w:tcPr>
          <w:p>
            <w:r/>
            <w:r>
              <w:rPr>
                <w:rFonts w:ascii="Aptos" w:hAnsi="Aptos"/>
                <w:b w:val="0"/>
                <w:sz w:val="14"/>
              </w:rPr>
              <w:t>WAPE</w:t>
            </w:r>
          </w:p>
        </w:tc>
        <w:tc>
          <w:tcPr>
            <w:tcW w:type="dxa" w:w="2016"/>
            <w:vAlign w:val="center"/>
          </w:tcPr>
          <w:p>
            <w:r/>
            <w:r>
              <w:rPr>
                <w:rFonts w:ascii="Aptos" w:hAnsi="Aptos"/>
                <w:b w:val="0"/>
                <w:sz w:val="14"/>
              </w:rPr>
              <w:t>6.98%</w:t>
            </w:r>
          </w:p>
        </w:tc>
        <w:tc>
          <w:tcPr>
            <w:tcW w:type="dxa" w:w="7920"/>
            <w:vAlign w:val="center"/>
          </w:tcPr>
          <w:p>
            <w:r/>
            <w:r>
              <w:rPr>
                <w:rFonts w:ascii="Aptos" w:hAnsi="Aptos"/>
                <w:b w:val="0"/>
                <w:sz w:val="14"/>
              </w:rPr>
              <w:t>Total absolute error relative to total holdout demand.</w:t>
            </w:r>
          </w:p>
        </w:tc>
      </w:tr>
      <w:tr>
        <w:tc>
          <w:tcPr>
            <w:tcW w:type="dxa" w:w="1872"/>
            <w:vAlign w:val="center"/>
          </w:tcPr>
          <w:p>
            <w:r/>
            <w:r>
              <w:rPr>
                <w:rFonts w:ascii="Aptos" w:hAnsi="Aptos"/>
                <w:b w:val="0"/>
                <w:sz w:val="14"/>
              </w:rPr>
              <w:t>Bias / MFE</w:t>
            </w:r>
          </w:p>
        </w:tc>
        <w:tc>
          <w:tcPr>
            <w:tcW w:type="dxa" w:w="2016"/>
            <w:vAlign w:val="center"/>
          </w:tcPr>
          <w:p>
            <w:r/>
            <w:r>
              <w:rPr>
                <w:rFonts w:ascii="Aptos" w:hAnsi="Aptos"/>
                <w:b w:val="0"/>
                <w:sz w:val="14"/>
              </w:rPr>
              <w:t>+75.83 units</w:t>
            </w:r>
          </w:p>
        </w:tc>
        <w:tc>
          <w:tcPr>
            <w:tcW w:type="dxa" w:w="7920"/>
            <w:vAlign w:val="center"/>
          </w:tcPr>
          <w:p>
            <w:r/>
            <w:r>
              <w:rPr>
                <w:rFonts w:ascii="Aptos" w:hAnsi="Aptos"/>
                <w:b w:val="0"/>
                <w:sz w:val="14"/>
              </w:rPr>
              <w:t>Small average underforecast because Error = Actual − Forecast.</w:t>
            </w:r>
          </w:p>
        </w:tc>
      </w:tr>
      <w:tr>
        <w:tc>
          <w:tcPr>
            <w:tcW w:type="dxa" w:w="1872"/>
            <w:vAlign w:val="center"/>
          </w:tcPr>
          <w:p>
            <w:r/>
            <w:r>
              <w:rPr>
                <w:rFonts w:ascii="Aptos" w:hAnsi="Aptos"/>
                <w:b w:val="0"/>
                <w:sz w:val="14"/>
              </w:rPr>
              <w:t>RSFE</w:t>
            </w:r>
          </w:p>
        </w:tc>
        <w:tc>
          <w:tcPr>
            <w:tcW w:type="dxa" w:w="2016"/>
            <w:vAlign w:val="center"/>
          </w:tcPr>
          <w:p>
            <w:r/>
            <w:r>
              <w:rPr>
                <w:rFonts w:ascii="Aptos" w:hAnsi="Aptos"/>
                <w:b w:val="0"/>
                <w:sz w:val="14"/>
              </w:rPr>
              <w:t>+910 units</w:t>
            </w:r>
          </w:p>
        </w:tc>
        <w:tc>
          <w:tcPr>
            <w:tcW w:type="dxa" w:w="7920"/>
            <w:vAlign w:val="center"/>
          </w:tcPr>
          <w:p>
            <w:r/>
            <w:r>
              <w:rPr>
                <w:rFonts w:ascii="Aptos" w:hAnsi="Aptos"/>
                <w:b w:val="0"/>
                <w:sz w:val="14"/>
              </w:rPr>
              <w:t>Accumulated signed error across the holdout.</w:t>
            </w:r>
          </w:p>
        </w:tc>
      </w:tr>
      <w:tr>
        <w:tc>
          <w:tcPr>
            <w:tcW w:type="dxa" w:w="1872"/>
            <w:vAlign w:val="center"/>
          </w:tcPr>
          <w:p>
            <w:r/>
            <w:r>
              <w:rPr>
                <w:rFonts w:ascii="Aptos" w:hAnsi="Aptos"/>
                <w:b w:val="0"/>
                <w:sz w:val="14"/>
              </w:rPr>
              <w:t>Tracking Signal</w:t>
            </w:r>
          </w:p>
        </w:tc>
        <w:tc>
          <w:tcPr>
            <w:tcW w:type="dxa" w:w="2016"/>
            <w:vAlign w:val="center"/>
          </w:tcPr>
          <w:p>
            <w:r/>
            <w:r>
              <w:rPr>
                <w:rFonts w:ascii="Aptos" w:hAnsi="Aptos"/>
                <w:b w:val="0"/>
                <w:sz w:val="14"/>
              </w:rPr>
              <w:t>+0.38</w:t>
            </w:r>
          </w:p>
        </w:tc>
        <w:tc>
          <w:tcPr>
            <w:tcW w:type="dxa" w:w="7920"/>
            <w:vAlign w:val="center"/>
          </w:tcPr>
          <w:p>
            <w:r/>
            <w:r>
              <w:rPr>
                <w:rFonts w:ascii="Aptos" w:hAnsi="Aptos"/>
                <w:b w:val="0"/>
                <w:sz w:val="14"/>
              </w:rPr>
              <w:t>RSFE / MAD; comfortably inside the ±4 review band.</w:t>
            </w:r>
          </w:p>
        </w:tc>
      </w:tr>
    </w:tbl>
    <w:p>
      <w:pPr>
        <w:pStyle w:val="Heading1"/>
      </w:pPr>
      <w:r>
        <w:t>3. Five Largest Holdout Misses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720"/>
            <w:vAlign w:val="center"/>
            <w:shd w:fill="552078"/>
          </w:tcPr>
          <w:p>
            <w:r/>
            <w:r>
              <w:rPr>
                <w:rFonts w:ascii="Aptos" w:hAnsi="Aptos"/>
                <w:b/>
                <w:color w:val="FFFFFF"/>
                <w:sz w:val="15"/>
              </w:rPr>
              <w:t>Rank</w:t>
            </w:r>
          </w:p>
        </w:tc>
        <w:tc>
          <w:tcPr>
            <w:tcW w:type="dxa" w:w="1584"/>
            <w:vAlign w:val="center"/>
            <w:shd w:fill="552078"/>
          </w:tcPr>
          <w:p>
            <w:r/>
            <w:r>
              <w:rPr>
                <w:rFonts w:ascii="Aptos" w:hAnsi="Aptos"/>
                <w:b/>
                <w:color w:val="FFFFFF"/>
                <w:sz w:val="15"/>
              </w:rPr>
              <w:t>Week</w:t>
            </w:r>
          </w:p>
        </w:tc>
        <w:tc>
          <w:tcPr>
            <w:tcW w:type="dxa" w:w="1440"/>
            <w:vAlign w:val="center"/>
            <w:shd w:fill="552078"/>
          </w:tcPr>
          <w:p>
            <w:r/>
            <w:r>
              <w:rPr>
                <w:rFonts w:ascii="Aptos" w:hAnsi="Aptos"/>
                <w:b/>
                <w:color w:val="FFFFFF"/>
                <w:sz w:val="15"/>
              </w:rPr>
              <w:t>Actual</w:t>
            </w:r>
          </w:p>
        </w:tc>
        <w:tc>
          <w:tcPr>
            <w:tcW w:type="dxa" w:w="1440"/>
            <w:vAlign w:val="center"/>
            <w:shd w:fill="552078"/>
          </w:tcPr>
          <w:p>
            <w:r/>
            <w:r>
              <w:rPr>
                <w:rFonts w:ascii="Aptos" w:hAnsi="Aptos"/>
                <w:b/>
                <w:color w:val="FFFFFF"/>
                <w:sz w:val="15"/>
              </w:rPr>
              <w:t>Forecast</w:t>
            </w:r>
          </w:p>
        </w:tc>
        <w:tc>
          <w:tcPr>
            <w:tcW w:type="dxa" w:w="1440"/>
            <w:vAlign w:val="center"/>
            <w:shd w:fill="552078"/>
          </w:tcPr>
          <w:p>
            <w:r/>
            <w:r>
              <w:rPr>
                <w:rFonts w:ascii="Aptos" w:hAnsi="Aptos"/>
                <w:b/>
                <w:color w:val="FFFFFF"/>
                <w:sz w:val="15"/>
              </w:rPr>
              <w:t>Error</w:t>
            </w:r>
          </w:p>
        </w:tc>
        <w:tc>
          <w:tcPr>
            <w:tcW w:type="dxa" w:w="4896"/>
            <w:vAlign w:val="center"/>
            <w:shd w:fill="552078"/>
          </w:tcPr>
          <w:p>
            <w:r/>
            <w:r>
              <w:rPr>
                <w:rFonts w:ascii="Aptos" w:hAnsi="Aptos"/>
                <w:b/>
                <w:color w:val="FFFFFF"/>
                <w:sz w:val="15"/>
              </w:rPr>
              <w:t>Diagnosis</w:t>
            </w:r>
          </w:p>
        </w:tc>
      </w:tr>
      <w:tr>
        <w:tc>
          <w:tcPr>
            <w:tcW w:type="dxa" w:w="720"/>
            <w:vAlign w:val="center"/>
          </w:tcPr>
          <w:p>
            <w:r/>
            <w:r>
              <w:rPr>
                <w:rFonts w:ascii="Aptos" w:hAnsi="Aptos"/>
                <w:b w:val="0"/>
                <w:sz w:val="14"/>
              </w:rPr>
              <w:t>1</w:t>
            </w:r>
          </w:p>
        </w:tc>
        <w:tc>
          <w:tcPr>
            <w:tcW w:type="dxa" w:w="1584"/>
            <w:vAlign w:val="center"/>
          </w:tcPr>
          <w:p>
            <w:r/>
            <w:r>
              <w:rPr>
                <w:rFonts w:ascii="Aptos" w:hAnsi="Aptos"/>
                <w:b w:val="0"/>
                <w:sz w:val="14"/>
              </w:rPr>
              <w:t>15 Jun 2026</w:t>
            </w:r>
          </w:p>
        </w:tc>
        <w:tc>
          <w:tcPr>
            <w:tcW w:type="dxa" w:w="1440"/>
            <w:vAlign w:val="center"/>
          </w:tcPr>
          <w:p>
            <w:r/>
            <w:r>
              <w:rPr>
                <w:rFonts w:ascii="Aptos" w:hAnsi="Aptos"/>
                <w:b w:val="0"/>
                <w:sz w:val="14"/>
              </w:rPr>
              <w:t>45,245</w:t>
            </w:r>
          </w:p>
        </w:tc>
        <w:tc>
          <w:tcPr>
            <w:tcW w:type="dxa" w:w="1440"/>
            <w:vAlign w:val="center"/>
          </w:tcPr>
          <w:p>
            <w:r/>
            <w:r>
              <w:rPr>
                <w:rFonts w:ascii="Aptos" w:hAnsi="Aptos"/>
                <w:b w:val="0"/>
                <w:sz w:val="14"/>
              </w:rPr>
              <w:t>34,121</w:t>
            </w:r>
          </w:p>
        </w:tc>
        <w:tc>
          <w:tcPr>
            <w:tcW w:type="dxa" w:w="1440"/>
            <w:vAlign w:val="center"/>
          </w:tcPr>
          <w:p>
            <w:r/>
            <w:r>
              <w:rPr>
                <w:rFonts w:ascii="Aptos" w:hAnsi="Aptos"/>
                <w:b w:val="0"/>
                <w:sz w:val="14"/>
              </w:rPr>
              <w:t>+11,124</w:t>
            </w:r>
          </w:p>
        </w:tc>
        <w:tc>
          <w:tcPr>
            <w:tcW w:type="dxa" w:w="4896"/>
            <w:vAlign w:val="center"/>
          </w:tcPr>
          <w:p>
            <w:r/>
            <w:r>
              <w:rPr>
                <w:rFonts w:ascii="Aptos" w:hAnsi="Aptos"/>
                <w:b w:val="0"/>
                <w:sz w:val="14"/>
              </w:rPr>
              <w:t>20% promotion; largest underforecast</w:t>
            </w:r>
          </w:p>
        </w:tc>
      </w:tr>
      <w:tr>
        <w:tc>
          <w:tcPr>
            <w:tcW w:type="dxa" w:w="720"/>
            <w:vAlign w:val="center"/>
          </w:tcPr>
          <w:p>
            <w:r/>
            <w:r>
              <w:rPr>
                <w:rFonts w:ascii="Aptos" w:hAnsi="Aptos"/>
                <w:b w:val="0"/>
                <w:sz w:val="14"/>
              </w:rPr>
              <w:t>2</w:t>
            </w:r>
          </w:p>
        </w:tc>
        <w:tc>
          <w:tcPr>
            <w:tcW w:type="dxa" w:w="1584"/>
            <w:vAlign w:val="center"/>
          </w:tcPr>
          <w:p>
            <w:r/>
            <w:r>
              <w:rPr>
                <w:rFonts w:ascii="Aptos" w:hAnsi="Aptos"/>
                <w:b w:val="0"/>
                <w:sz w:val="14"/>
              </w:rPr>
              <w:t>13 Apr 2026</w:t>
            </w:r>
          </w:p>
        </w:tc>
        <w:tc>
          <w:tcPr>
            <w:tcW w:type="dxa" w:w="1440"/>
            <w:vAlign w:val="center"/>
          </w:tcPr>
          <w:p>
            <w:r/>
            <w:r>
              <w:rPr>
                <w:rFonts w:ascii="Aptos" w:hAnsi="Aptos"/>
                <w:b w:val="0"/>
                <w:sz w:val="14"/>
              </w:rPr>
              <w:t>30,057</w:t>
            </w:r>
          </w:p>
        </w:tc>
        <w:tc>
          <w:tcPr>
            <w:tcW w:type="dxa" w:w="1440"/>
            <w:vAlign w:val="center"/>
          </w:tcPr>
          <w:p>
            <w:r/>
            <w:r>
              <w:rPr>
                <w:rFonts w:ascii="Aptos" w:hAnsi="Aptos"/>
                <w:b w:val="0"/>
                <w:sz w:val="14"/>
              </w:rPr>
              <w:t>34,121</w:t>
            </w:r>
          </w:p>
        </w:tc>
        <w:tc>
          <w:tcPr>
            <w:tcW w:type="dxa" w:w="1440"/>
            <w:vAlign w:val="center"/>
          </w:tcPr>
          <w:p>
            <w:r/>
            <w:r>
              <w:rPr>
                <w:rFonts w:ascii="Aptos" w:hAnsi="Aptos"/>
                <w:b w:val="0"/>
                <w:sz w:val="14"/>
              </w:rPr>
              <w:t>−4,064</w:t>
            </w:r>
          </w:p>
        </w:tc>
        <w:tc>
          <w:tcPr>
            <w:tcW w:type="dxa" w:w="4896"/>
            <w:vAlign w:val="center"/>
          </w:tcPr>
          <w:p>
            <w:r/>
            <w:r>
              <w:rPr>
                <w:rFonts w:ascii="Aptos" w:hAnsi="Aptos"/>
                <w:b w:val="0"/>
                <w:sz w:val="14"/>
              </w:rPr>
              <w:t>Lower-than-normal weekly demand</w:t>
            </w:r>
          </w:p>
        </w:tc>
      </w:tr>
      <w:tr>
        <w:tc>
          <w:tcPr>
            <w:tcW w:type="dxa" w:w="720"/>
            <w:vAlign w:val="center"/>
          </w:tcPr>
          <w:p>
            <w:r/>
            <w:r>
              <w:rPr>
                <w:rFonts w:ascii="Aptos" w:hAnsi="Aptos"/>
                <w:b w:val="0"/>
                <w:sz w:val="14"/>
              </w:rPr>
              <w:t>3</w:t>
            </w:r>
          </w:p>
        </w:tc>
        <w:tc>
          <w:tcPr>
            <w:tcW w:type="dxa" w:w="1584"/>
            <w:vAlign w:val="center"/>
          </w:tcPr>
          <w:p>
            <w:r/>
            <w:r>
              <w:rPr>
                <w:rFonts w:ascii="Aptos" w:hAnsi="Aptos"/>
                <w:b w:val="0"/>
                <w:sz w:val="14"/>
              </w:rPr>
              <w:t>18 May 2026</w:t>
            </w:r>
          </w:p>
        </w:tc>
        <w:tc>
          <w:tcPr>
            <w:tcW w:type="dxa" w:w="1440"/>
            <w:vAlign w:val="center"/>
          </w:tcPr>
          <w:p>
            <w:r/>
            <w:r>
              <w:rPr>
                <w:rFonts w:ascii="Aptos" w:hAnsi="Aptos"/>
                <w:b w:val="0"/>
                <w:sz w:val="14"/>
              </w:rPr>
              <w:t>30,114</w:t>
            </w:r>
          </w:p>
        </w:tc>
        <w:tc>
          <w:tcPr>
            <w:tcW w:type="dxa" w:w="1440"/>
            <w:vAlign w:val="center"/>
          </w:tcPr>
          <w:p>
            <w:r/>
            <w:r>
              <w:rPr>
                <w:rFonts w:ascii="Aptos" w:hAnsi="Aptos"/>
                <w:b w:val="0"/>
                <w:sz w:val="14"/>
              </w:rPr>
              <w:t>34,121</w:t>
            </w:r>
          </w:p>
        </w:tc>
        <w:tc>
          <w:tcPr>
            <w:tcW w:type="dxa" w:w="1440"/>
            <w:vAlign w:val="center"/>
          </w:tcPr>
          <w:p>
            <w:r/>
            <w:r>
              <w:rPr>
                <w:rFonts w:ascii="Aptos" w:hAnsi="Aptos"/>
                <w:b w:val="0"/>
                <w:sz w:val="14"/>
              </w:rPr>
              <w:t>−4,007</w:t>
            </w:r>
          </w:p>
        </w:tc>
        <w:tc>
          <w:tcPr>
            <w:tcW w:type="dxa" w:w="4896"/>
            <w:vAlign w:val="center"/>
          </w:tcPr>
          <w:p>
            <w:r/>
            <w:r>
              <w:rPr>
                <w:rFonts w:ascii="Aptos" w:hAnsi="Aptos"/>
                <w:b w:val="0"/>
                <w:sz w:val="14"/>
              </w:rPr>
              <w:t>Lower-than-normal weekly demand</w:t>
            </w:r>
          </w:p>
        </w:tc>
      </w:tr>
      <w:tr>
        <w:tc>
          <w:tcPr>
            <w:tcW w:type="dxa" w:w="720"/>
            <w:vAlign w:val="center"/>
          </w:tcPr>
          <w:p>
            <w:r/>
            <w:r>
              <w:rPr>
                <w:rFonts w:ascii="Aptos" w:hAnsi="Aptos"/>
                <w:b w:val="0"/>
                <w:sz w:val="14"/>
              </w:rPr>
              <w:t>4</w:t>
            </w:r>
          </w:p>
        </w:tc>
        <w:tc>
          <w:tcPr>
            <w:tcW w:type="dxa" w:w="1584"/>
            <w:vAlign w:val="center"/>
          </w:tcPr>
          <w:p>
            <w:r/>
            <w:r>
              <w:rPr>
                <w:rFonts w:ascii="Aptos" w:hAnsi="Aptos"/>
                <w:b w:val="0"/>
                <w:sz w:val="14"/>
              </w:rPr>
              <w:t>20 Apr 2026</w:t>
            </w:r>
          </w:p>
        </w:tc>
        <w:tc>
          <w:tcPr>
            <w:tcW w:type="dxa" w:w="1440"/>
            <w:vAlign w:val="center"/>
          </w:tcPr>
          <w:p>
            <w:r/>
            <w:r>
              <w:rPr>
                <w:rFonts w:ascii="Aptos" w:hAnsi="Aptos"/>
                <w:b w:val="0"/>
                <w:sz w:val="14"/>
              </w:rPr>
              <w:t>31,916</w:t>
            </w:r>
          </w:p>
        </w:tc>
        <w:tc>
          <w:tcPr>
            <w:tcW w:type="dxa" w:w="1440"/>
            <w:vAlign w:val="center"/>
          </w:tcPr>
          <w:p>
            <w:r/>
            <w:r>
              <w:rPr>
                <w:rFonts w:ascii="Aptos" w:hAnsi="Aptos"/>
                <w:b w:val="0"/>
                <w:sz w:val="14"/>
              </w:rPr>
              <w:t>34,121</w:t>
            </w:r>
          </w:p>
        </w:tc>
        <w:tc>
          <w:tcPr>
            <w:tcW w:type="dxa" w:w="1440"/>
            <w:vAlign w:val="center"/>
          </w:tcPr>
          <w:p>
            <w:r/>
            <w:r>
              <w:rPr>
                <w:rFonts w:ascii="Aptos" w:hAnsi="Aptos"/>
                <w:b w:val="0"/>
                <w:sz w:val="14"/>
              </w:rPr>
              <w:t>−2,205</w:t>
            </w:r>
          </w:p>
        </w:tc>
        <w:tc>
          <w:tcPr>
            <w:tcW w:type="dxa" w:w="4896"/>
            <w:vAlign w:val="center"/>
          </w:tcPr>
          <w:p>
            <w:r/>
            <w:r>
              <w:rPr>
                <w:rFonts w:ascii="Aptos" w:hAnsi="Aptos"/>
                <w:b w:val="0"/>
                <w:sz w:val="14"/>
              </w:rPr>
              <w:t>Normal unexplained weekly variation</w:t>
            </w:r>
          </w:p>
        </w:tc>
      </w:tr>
      <w:tr>
        <w:tc>
          <w:tcPr>
            <w:tcW w:type="dxa" w:w="720"/>
            <w:vAlign w:val="center"/>
          </w:tcPr>
          <w:p>
            <w:r/>
            <w:r>
              <w:rPr>
                <w:rFonts w:ascii="Aptos" w:hAnsi="Aptos"/>
                <w:b w:val="0"/>
                <w:sz w:val="14"/>
              </w:rPr>
              <w:t>5</w:t>
            </w:r>
          </w:p>
        </w:tc>
        <w:tc>
          <w:tcPr>
            <w:tcW w:type="dxa" w:w="1584"/>
            <w:vAlign w:val="center"/>
          </w:tcPr>
          <w:p>
            <w:r/>
            <w:r>
              <w:rPr>
                <w:rFonts w:ascii="Aptos" w:hAnsi="Aptos"/>
                <w:b w:val="0"/>
                <w:sz w:val="14"/>
              </w:rPr>
              <w:t>4 May 2026</w:t>
            </w:r>
          </w:p>
        </w:tc>
        <w:tc>
          <w:tcPr>
            <w:tcW w:type="dxa" w:w="1440"/>
            <w:vAlign w:val="center"/>
          </w:tcPr>
          <w:p>
            <w:r/>
            <w:r>
              <w:rPr>
                <w:rFonts w:ascii="Aptos" w:hAnsi="Aptos"/>
                <w:b w:val="0"/>
                <w:sz w:val="14"/>
              </w:rPr>
              <w:t>36,149</w:t>
            </w:r>
          </w:p>
        </w:tc>
        <w:tc>
          <w:tcPr>
            <w:tcW w:type="dxa" w:w="1440"/>
            <w:vAlign w:val="center"/>
          </w:tcPr>
          <w:p>
            <w:r/>
            <w:r>
              <w:rPr>
                <w:rFonts w:ascii="Aptos" w:hAnsi="Aptos"/>
                <w:b w:val="0"/>
                <w:sz w:val="14"/>
              </w:rPr>
              <w:t>34,121</w:t>
            </w:r>
          </w:p>
        </w:tc>
        <w:tc>
          <w:tcPr>
            <w:tcW w:type="dxa" w:w="1440"/>
            <w:vAlign w:val="center"/>
          </w:tcPr>
          <w:p>
            <w:r/>
            <w:r>
              <w:rPr>
                <w:rFonts w:ascii="Aptos" w:hAnsi="Aptos"/>
                <w:b w:val="0"/>
                <w:sz w:val="14"/>
              </w:rPr>
              <w:t>+2,028</w:t>
            </w:r>
          </w:p>
        </w:tc>
        <w:tc>
          <w:tcPr>
            <w:tcW w:type="dxa" w:w="4896"/>
            <w:vAlign w:val="center"/>
          </w:tcPr>
          <w:p>
            <w:r/>
            <w:r>
              <w:rPr>
                <w:rFonts w:ascii="Aptos" w:hAnsi="Aptos"/>
                <w:b w:val="0"/>
                <w:sz w:val="14"/>
              </w:rPr>
              <w:t>Higher-than-normal weekly demand</w:t>
            </w:r>
          </w:p>
        </w:tc>
      </w:tr>
    </w:tbl>
    <w:p>
      <w:pPr>
        <w:pStyle w:val="Heading1"/>
      </w:pPr>
      <w:r>
        <w:t>4. Regression Challenge</w:t>
      </w:r>
    </w:p>
    <w:p>
      <w:r>
        <w:rPr>
          <w:b/>
        </w:rPr>
        <w:t xml:space="preserve">The regression is useful for explanation, but not proof of causation. </w:t>
      </w:r>
      <w:r>
        <w:t>Training R² ≈ 0.728 and adjusted R² ≈ 0.718. Promo_Depth (+467.83 per percentage point), Event_Flag (+2,342.64), Distribution_Points (+3.04 per point) and Stockout_Flag (−6,974.80) are statistically meaningful in the fitted synthetic sample. Price (+1.44) is not significant (p=.698) and must not be interpreted as evidence that higher price raises demand. Trending variables and the high condition number also justify caution about multicollinearity/scaling.</w:t>
      </w:r>
    </w:p>
    <w:p>
      <w:pPr>
        <w:pStyle w:val="Heading1"/>
      </w:pPr>
      <w:r>
        <w:t>5. What Would Make Me Reject or Revise the Recommendation?</w:t>
      </w:r>
    </w:p>
    <w:p>
      <w:pPr>
        <w:ind w:left="216"/>
      </w:pPr>
      <w:r>
        <w:t>• First two weeks' cumulative actual demand differs from plan by more than 10%.</w:t>
      </w:r>
    </w:p>
    <w:p>
      <w:pPr>
        <w:ind w:left="216"/>
      </w:pPr>
      <w:r>
        <w:t>• Tracking Signal moves outside ±4, indicating material accumulated directional error.</w:t>
      </w:r>
    </w:p>
    <w:p>
      <w:pPr>
        <w:ind w:left="216"/>
      </w:pPr>
      <w:r>
        <w:t>• Upcoming promotion/event conditions are materially stronger or weaker than those represented in the history.</w:t>
      </w:r>
    </w:p>
    <w:p>
      <w:pPr>
        <w:ind w:left="216"/>
      </w:pPr>
      <w:r>
        <w:t>• Rolling-origin validation shows the Naive model's advantage is specific to this single 12-week holdout.</w:t>
      </w:r>
    </w:p>
    <w:p>
      <w:pPr>
        <w:ind w:left="216"/>
      </w:pPr>
      <w:r>
        <w:t>• Supplier lead times, MOQs or production constraints make the assumed 20% flexibility operationally unavailable.</w:t>
      </w:r>
    </w:p>
    <w:p>
      <w:pPr>
        <w:ind w:left="216"/>
      </w:pPr>
      <w:r>
        <w:t>• A structural break occurs, such as a major distribution change, competitor shock, permanent pricing change or sustained shift in consumer demand.</w:t>
      </w:r>
    </w:p>
    <w:p>
      <w:pPr>
        <w:pStyle w:val="Heading1"/>
      </w:pPr>
      <w:r>
        <w:t>6. Final Audit Conclusion</w:t>
      </w:r>
    </w:p>
    <w:p>
      <w:r>
        <w:rPr>
          <w:b/>
        </w:rPr>
        <w:t xml:space="preserve">Audit verdict: PASS WITH CAVEATS. </w:t>
      </w:r>
      <w:r>
        <w:t>The selected Naive model's holdout metrics recalculate correctly, the chronological 144/12 validation structure is appropriate, and no obvious leakage is present in the stated forecasting procedure. The 12-week operational forecast is 414,504 standardized demand units. Management should initially commit 331,603 units (80%) and retain 82,901 units (20%) as flexible supply. This is a forecast-informed supply plan, not a sales target or an optimized mathematical optimum. The recommendation should be reviewed after two weeks using the &gt;10% cumulative-deviation rule and the ±4 Tracking Signal control band.</w:t>
      </w:r>
    </w:p>
    <w:p>
      <w:pPr>
        <w:pStyle w:val="Heading1"/>
      </w:pPr>
      <w:r>
        <w:t>7. Transparency Statement</w:t>
      </w:r>
    </w:p>
    <w:p>
      <w:r>
        <w:rPr>
          <w:b/>
        </w:rPr>
        <w:t>Company-Calibrated Synthetic Dataset for Academic Analysis — illustrative figures, calibrated to Ismail Industries Limited's disclosed scale, not actual company records.</w:t>
      </w:r>
    </w:p>
    <w:p>
      <w:r>
        <w:rPr>
          <w:b/>
        </w:rPr>
        <w:t xml:space="preserve">Demand unit definition: </w:t>
      </w:r>
      <w:r>
        <w:t>A standardized Chili Mili sales/demand unit used for academic demand-planning analysis. A pack-to-case conversion is not assumed because verified SKU-level packaging information was not available.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520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520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520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