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  <w:gridCol w:w="2160"/>
      </w:tblGrid>
      <w:tr>
        <w:tc>
          <w:tcPr>
            <w:tcW w:type="dxa" w:w="5328"/>
            <w:shd w:fill="55207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FFFFFF"/>
                <w:sz w:val="30"/>
              </w:rPr>
              <w:t>CHILI MILI  |  EXECUTIVE DECISION MEMO</w:t>
            </w:r>
          </w:p>
          <w:p>
            <w:r>
              <w:rPr>
                <w:color w:val="FFFFFF"/>
                <w:sz w:val="17"/>
              </w:rPr>
              <w:t>MGT-353 Supply Chain Analytics • CandyLand / Ismail Industries Limited</w:t>
            </w:r>
          </w:p>
        </w:tc>
        <w:tc>
          <w:tcPr>
            <w:tcW w:type="dxa" w:w="5328"/>
            <w:shd w:fill="FFD84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552078"/>
                <w:sz w:val="26"/>
              </w:rPr>
              <w:t>12-WEEK</w:t>
              <w:br/>
              <w:t>PLAN</w:t>
            </w:r>
          </w:p>
        </w:tc>
      </w:tr>
    </w:tbl>
    <w:p>
      <w:pPr>
        <w:spacing w:before="100" w:after="60"/>
      </w:pPr>
      <w:r>
        <w:rPr>
          <w:b/>
          <w:color w:val="552078"/>
        </w:rPr>
        <w:t xml:space="preserve">Decision required: </w:t>
      </w:r>
      <w:r>
        <w:t>How much Chili Mili demand should be planned for the next 12 weeks, and how much should be committed now versus retained as flexible supply?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FFF6E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C5D78"/>
                <w:sz w:val="15"/>
              </w:rPr>
              <w:t>FORECAST</w:t>
            </w:r>
          </w:p>
          <w:p>
            <w:pPr>
              <w:jc w:val="center"/>
            </w:pPr>
            <w:r>
              <w:rPr>
                <w:b/>
                <w:color w:val="552078"/>
                <w:sz w:val="34"/>
              </w:rPr>
              <w:t>414,504</w:t>
            </w:r>
          </w:p>
          <w:p>
            <w:pPr>
              <w:jc w:val="center"/>
            </w:pPr>
            <w:r>
              <w:rPr>
                <w:color w:val="6C5D78"/>
                <w:sz w:val="15"/>
              </w:rPr>
              <w:t>demand units</w:t>
            </w:r>
          </w:p>
        </w:tc>
        <w:tc>
          <w:tcPr>
            <w:tcW w:type="dxa" w:w="2664"/>
            <w:shd w:fill="FFF6E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C5D78"/>
                <w:sz w:val="15"/>
              </w:rPr>
              <w:t>COMMIT NOW</w:t>
            </w:r>
          </w:p>
          <w:p>
            <w:pPr>
              <w:jc w:val="center"/>
            </w:pPr>
            <w:r>
              <w:rPr>
                <w:b/>
                <w:color w:val="552078"/>
                <w:sz w:val="34"/>
              </w:rPr>
              <w:t>331,603</w:t>
            </w:r>
          </w:p>
          <w:p>
            <w:pPr>
              <w:jc w:val="center"/>
            </w:pPr>
            <w:r>
              <w:rPr>
                <w:color w:val="6C5D78"/>
                <w:sz w:val="15"/>
              </w:rPr>
              <w:t>80% of plan</w:t>
            </w:r>
          </w:p>
        </w:tc>
        <w:tc>
          <w:tcPr>
            <w:tcW w:type="dxa" w:w="2664"/>
            <w:shd w:fill="FFF6E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C5D78"/>
                <w:sz w:val="15"/>
              </w:rPr>
              <w:t>KEEP FLEXIBLE</w:t>
            </w:r>
          </w:p>
          <w:p>
            <w:pPr>
              <w:jc w:val="center"/>
            </w:pPr>
            <w:r>
              <w:rPr>
                <w:b/>
                <w:color w:val="552078"/>
                <w:sz w:val="34"/>
              </w:rPr>
              <w:t>82,901</w:t>
            </w:r>
          </w:p>
          <w:p>
            <w:pPr>
              <w:jc w:val="center"/>
            </w:pPr>
            <w:r>
              <w:rPr>
                <w:color w:val="6C5D78"/>
                <w:sz w:val="15"/>
              </w:rPr>
              <w:t>20% of plan</w:t>
            </w:r>
          </w:p>
        </w:tc>
        <w:tc>
          <w:tcPr>
            <w:tcW w:type="dxa" w:w="2664"/>
            <w:shd w:fill="FFF6E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C5D78"/>
                <w:sz w:val="15"/>
              </w:rPr>
              <w:t>HOLDOUT WAPE</w:t>
            </w:r>
          </w:p>
          <w:p>
            <w:pPr>
              <w:jc w:val="center"/>
            </w:pPr>
            <w:r>
              <w:rPr>
                <w:b/>
                <w:color w:val="552078"/>
                <w:sz w:val="34"/>
              </w:rPr>
              <w:t>6.98%</w:t>
            </w:r>
          </w:p>
          <w:p>
            <w:pPr>
              <w:jc w:val="center"/>
            </w:pPr>
            <w:r>
              <w:rPr>
                <w:color w:val="6C5D78"/>
                <w:sz w:val="15"/>
              </w:rPr>
              <w:t>Naive model</w:t>
            </w:r>
          </w:p>
        </w:tc>
      </w:tr>
    </w:tbl>
    <w:p>
      <w:pPr>
        <w:spacing w:before="100" w:after="40"/>
      </w:pPr>
      <w:r>
        <w:rPr>
          <w:b/>
          <w:color w:val="552078"/>
          <w:sz w:val="19"/>
        </w:rPr>
        <w:t>RECOMMENDATION</w:t>
      </w:r>
    </w:p>
    <w:p>
      <w:r>
        <w:rPr>
          <w:b/>
        </w:rPr>
        <w:t xml:space="preserve">Plan for 414,504 demand units from 29 June to 14 September 2026. </w:t>
      </w:r>
      <w:r>
        <w:t>Commit 331,603 units (80%) now and preserve 82,901 units (20%) as flexible supply. This balances service availability against the risk of over-committing inventory when weekly demand deviates from the forecast.</w:t>
      </w:r>
    </w:p>
    <w:p>
      <w:pPr>
        <w:spacing w:before="100" w:after="40"/>
      </w:pPr>
      <w:r>
        <w:rPr>
          <w:b/>
          <w:color w:val="552078"/>
          <w:sz w:val="19"/>
        </w:rPr>
        <w:t>WHY THIS FORECAST CAN BE USED</w:t>
      </w:r>
    </w:p>
    <w:p>
      <w:r>
        <w:rPr>
          <w:b/>
        </w:rPr>
        <w:t xml:space="preserve">The Naive model performed best on the unseen 12-week holdout, </w:t>
      </w:r>
      <w:r>
        <w:t>with WAPE 6.98%, MAPE 6.61%, MAD 2,385 units, RMSE 3,773 units and Tracking Signal +0.38. The near-neutral bias (+76 units/week) suggests no material systematic over- or under-forecasting in the validation window. More complex methods did not improve holdout reliability enough to justify replacing the simpler benchmark.</w:t>
      </w:r>
    </w:p>
    <w:p>
      <w:pPr>
        <w:spacing w:before="100" w:after="40"/>
      </w:pPr>
      <w:r>
        <w:rPr>
          <w:b/>
          <w:color w:val="552078"/>
          <w:sz w:val="19"/>
        </w:rPr>
        <w:t>WHAT MANAGEMENT SHOULD WATCH</w:t>
      </w:r>
    </w:p>
    <w:p>
      <w:r>
        <w:t xml:space="preserve">Promotions and event periods remain the main planning risk. </w:t>
      </w:r>
      <w:r>
        <w:rPr>
          <w:b/>
        </w:rPr>
        <w:t xml:space="preserve">The largest holdout miss was an 11,124-unit underforecast on 15 June 2026 during a 20% promotion. </w:t>
      </w:r>
      <w:r>
        <w:t>Regression results also show significant associations for promotion depth, event periods, distribution coverage and stockouts, while price was not statistically significant (p=.698). These relationships are planning signals, not causal estimates.</w:t>
      </w:r>
    </w:p>
    <w:p>
      <w:pPr>
        <w:spacing w:before="100" w:after="40"/>
      </w:pPr>
      <w:r>
        <w:rPr>
          <w:b/>
          <w:color w:val="552078"/>
          <w:sz w:val="19"/>
        </w:rPr>
        <w:t>STRESS TEST &amp; OPERATIONAL IMPLICATION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5520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552"/>
            <w:shd w:fill="5520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12-week demand</w:t>
            </w:r>
          </w:p>
        </w:tc>
        <w:tc>
          <w:tcPr>
            <w:tcW w:type="dxa" w:w="3552"/>
            <w:shd w:fill="5520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Implication</w:t>
            </w:r>
          </w:p>
        </w:tc>
      </w:tr>
      <w:tr>
        <w:tc>
          <w:tcPr>
            <w:tcW w:type="dxa" w:w="3552"/>
            <w:tcMar>
              <w:top w:w="55" w:type="dxa"/>
              <w:start w:w="80" w:type="dxa"/>
              <w:bottom w:w="55" w:type="dxa"/>
              <w:end w:w="80" w:type="dxa"/>
            </w:tcMar>
            <w:shd w:fill="FFF6E8"/>
          </w:tcPr>
          <w:p>
            <w:r>
              <w:rPr>
                <w:b/>
                <w:sz w:val="15"/>
              </w:rPr>
              <w:t>−20% downside</w:t>
            </w:r>
          </w:p>
        </w:tc>
        <w:tc>
          <w:tcPr>
            <w:tcW w:type="dxa" w:w="3552"/>
            <w:tcMar>
              <w:top w:w="55" w:type="dxa"/>
              <w:start w:w="80" w:type="dxa"/>
              <w:bottom w:w="55" w:type="dxa"/>
              <w:end w:w="80" w:type="dxa"/>
            </w:tcMar>
            <w:shd w:fill="FFF6E8"/>
          </w:tcPr>
          <w:p>
            <w:r>
              <w:rPr>
                <w:sz w:val="15"/>
              </w:rPr>
              <w:t>331,603</w:t>
            </w:r>
          </w:p>
        </w:tc>
        <w:tc>
          <w:tcPr>
            <w:tcW w:type="dxa" w:w="3552"/>
            <w:tcMar>
              <w:top w:w="55" w:type="dxa"/>
              <w:start w:w="80" w:type="dxa"/>
              <w:bottom w:w="55" w:type="dxa"/>
              <w:end w:w="80" w:type="dxa"/>
            </w:tcMar>
            <w:shd w:fill="FFF6E8"/>
          </w:tcPr>
          <w:p>
            <w:r>
              <w:rPr>
                <w:sz w:val="15"/>
              </w:rPr>
              <w:t>80% commitment limits excess exposure</w:t>
            </w:r>
          </w:p>
        </w:tc>
      </w:tr>
      <w:tr>
        <w:tc>
          <w:tcPr>
            <w:tcW w:type="dxa" w:w="355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b/>
                <w:sz w:val="15"/>
              </w:rPr>
              <w:t>+15% event shock</w:t>
            </w:r>
          </w:p>
        </w:tc>
        <w:tc>
          <w:tcPr>
            <w:tcW w:type="dxa" w:w="355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sz w:val="15"/>
              </w:rPr>
              <w:t>476,680</w:t>
            </w:r>
          </w:p>
        </w:tc>
        <w:tc>
          <w:tcPr>
            <w:tcW w:type="dxa" w:w="355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sz w:val="15"/>
              </w:rPr>
              <w:t>Requires rapid use of flexible supply</w:t>
            </w:r>
          </w:p>
        </w:tc>
      </w:tr>
      <w:tr>
        <w:tc>
          <w:tcPr>
            <w:tcW w:type="dxa" w:w="3552"/>
            <w:tcMar>
              <w:top w:w="55" w:type="dxa"/>
              <w:start w:w="80" w:type="dxa"/>
              <w:bottom w:w="55" w:type="dxa"/>
              <w:end w:w="80" w:type="dxa"/>
            </w:tcMar>
            <w:shd w:fill="FFF6E8"/>
          </w:tcPr>
          <w:p>
            <w:r>
              <w:rPr>
                <w:b/>
                <w:sz w:val="15"/>
              </w:rPr>
              <w:t>+20% upside</w:t>
            </w:r>
          </w:p>
        </w:tc>
        <w:tc>
          <w:tcPr>
            <w:tcW w:type="dxa" w:w="3552"/>
            <w:tcMar>
              <w:top w:w="55" w:type="dxa"/>
              <w:start w:w="80" w:type="dxa"/>
              <w:bottom w:w="55" w:type="dxa"/>
              <w:end w:w="80" w:type="dxa"/>
            </w:tcMar>
            <w:shd w:fill="FFF6E8"/>
          </w:tcPr>
          <w:p>
            <w:r>
              <w:rPr>
                <w:sz w:val="15"/>
              </w:rPr>
              <w:t>497,405</w:t>
            </w:r>
          </w:p>
        </w:tc>
        <w:tc>
          <w:tcPr>
            <w:tcW w:type="dxa" w:w="3552"/>
            <w:tcMar>
              <w:top w:w="55" w:type="dxa"/>
              <w:start w:w="80" w:type="dxa"/>
              <w:bottom w:w="55" w:type="dxa"/>
              <w:end w:w="80" w:type="dxa"/>
            </w:tcMar>
            <w:shd w:fill="FFF6E8"/>
          </w:tcPr>
          <w:p>
            <w:r>
              <w:rPr>
                <w:sz w:val="15"/>
              </w:rPr>
              <w:t>≈41,450-unit gap vs illustrative 455,954 capacity ceiling</w:t>
            </w:r>
          </w:p>
        </w:tc>
      </w:tr>
    </w:tbl>
    <w:p>
      <w:pPr>
        <w:spacing w:before="100" w:after="40"/>
      </w:pPr>
      <w:r>
        <w:rPr>
          <w:b/>
          <w:color w:val="552078"/>
          <w:sz w:val="19"/>
        </w:rPr>
        <w:t>CONTROL RULE</w:t>
      </w:r>
    </w:p>
    <w:p>
      <w:r>
        <w:rPr>
          <w:b/>
        </w:rPr>
        <w:t xml:space="preserve">Review the plan after the first two weeks. </w:t>
      </w:r>
      <w:r>
        <w:t>Reforecast if cumulative actual demand differs from plan by more than 10%, or if Tracking Signal moves outside ±4. Preserve supplier/production flexibility around promotion and event weeks rather than treating the point forecast as a fixed production target.</w:t>
      </w:r>
    </w:p>
    <w:p>
      <w:pPr>
        <w:spacing w:before="100"/>
      </w:pPr>
      <w:r>
        <w:rPr>
          <w:b/>
          <w:color w:val="E3262E"/>
          <w:sz w:val="15"/>
        </w:rPr>
        <w:t xml:space="preserve">DATA NOTE  </w:t>
      </w:r>
      <w:r>
        <w:rPr>
          <w:color w:val="6C5D78"/>
          <w:sz w:val="15"/>
        </w:rPr>
        <w:t>Company-Calibrated Synthetic Dataset for Academic Analysis — illustrative figures, calibrated to Ismail Industries Limited's disclosed scale, not actual company records. “Demand units” are standardized analytical units; no unverified pack-to-case conversion is assumed.</w:t>
      </w:r>
    </w:p>
    <w:sectPr w:rsidR="00FC693F" w:rsidRPr="0006063C" w:rsidSect="00034616">
      <w:pgSz w:w="12240" w:h="15840"/>
      <w:pgMar w:top="547" w:right="792" w:bottom="54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6133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