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48"/>
        </w:rPr>
        <w:t>AI-BASED MULTIMODAL DEEPFAKE VIDEO DETECTION</w:t>
      </w:r>
    </w:p>
    <w:p>
      <w:pPr>
        <w:jc w:val="center"/>
      </w:pPr>
      <w:r>
        <w:rPr>
          <w:rFonts w:ascii="Times New Roman" w:hAnsi="Times New Roman"/>
          <w:b/>
          <w:sz w:val="32"/>
        </w:rPr>
        <w:t>Using Lip-Sync Analysis and rPPG-Based Heart Pulse Estimation</w:t>
      </w:r>
    </w:p>
    <w:p/>
    <w:p>
      <w:pPr>
        <w:jc w:val="center"/>
      </w:pPr>
      <w:r>
        <w:rPr>
          <w:rFonts w:ascii="Times New Roman" w:hAnsi="Times New Roman"/>
          <w:sz w:val="26"/>
        </w:rPr>
        <w:t>A Project Report submitted in partial fulfillment for the award of the degree of</w:t>
      </w:r>
    </w:p>
    <w:p>
      <w:pPr>
        <w:jc w:val="center"/>
      </w:pPr>
      <w:r>
        <w:rPr>
          <w:rFonts w:ascii="Times New Roman" w:hAnsi="Times New Roman"/>
          <w:sz w:val="26"/>
        </w:rPr>
        <w:t>Bachelor of Engineering in Artificial Intelligence &amp; Machine Learning</w:t>
      </w:r>
    </w:p>
    <w:p/>
    <w:p>
      <w:pPr>
        <w:jc w:val="center"/>
      </w:pPr>
      <w:r>
        <w:rPr>
          <w:rFonts w:ascii="Times New Roman" w:hAnsi="Times New Roman"/>
          <w:b/>
          <w:sz w:val="26"/>
        </w:rPr>
        <w:t>Department of Artificial Intelligence &amp; Machine Learning</w:t>
      </w:r>
    </w:p>
    <w:p>
      <w:pPr>
        <w:jc w:val="center"/>
      </w:pPr>
      <w:r>
        <w:rPr>
          <w:rFonts w:ascii="Times New Roman" w:hAnsi="Times New Roman"/>
          <w:b/>
          <w:sz w:val="26"/>
        </w:rPr>
        <w:t>University Name</w:t>
      </w:r>
    </w:p>
    <w:p>
      <w:pPr>
        <w:jc w:val="center"/>
      </w:pPr>
      <w:r>
        <w:rPr>
          <w:rFonts w:ascii="Times New Roman" w:hAnsi="Times New Roman"/>
          <w:b/>
          <w:sz w:val="26"/>
        </w:rPr>
        <w:t>Academic Year 2024-2025</w:t>
      </w:r>
    </w:p>
    <w:p/>
    <w:p>
      <w:pPr>
        <w:jc w:val="center"/>
      </w:pPr>
      <w:r>
        <w:rPr>
          <w:rFonts w:ascii="Times New Roman" w:hAnsi="Times New Roman"/>
        </w:rPr>
        <w:t>Submitted By: [Student Name]</w:t>
      </w:r>
    </w:p>
    <w:p>
      <w:pPr>
        <w:jc w:val="center"/>
      </w:pPr>
      <w:r>
        <w:rPr>
          <w:rFonts w:ascii="Times New Roman" w:hAnsi="Times New Roman"/>
          <w:sz w:val="24"/>
        </w:rPr>
        <w:t>Guide: [Guide Name], [Designation]</w:t>
      </w:r>
    </w:p>
    <w:p>
      <w:r>
        <w:br w:type="page"/>
      </w:r>
    </w:p>
    <w:p>
      <w:pPr>
        <w:pStyle w:val="Heading1"/>
        <w:spacing w:before="360" w:after="240"/>
      </w:pPr>
      <w:r>
        <w:rPr>
          <w:rFonts w:ascii="Times New Roman" w:hAnsi="Times New Roman"/>
          <w:color w:val="000000"/>
        </w:rPr>
        <w:t>Abstract</w:t>
      </w:r>
    </w:p>
    <w:p>
      <w:pPr>
        <w:spacing w:line="360" w:lineRule="auto" w:after="120"/>
        <w:jc w:val="both"/>
      </w:pPr>
      <w:r>
        <w:rPr>
          <w:rFonts w:ascii="Times New Roman" w:hAnsi="Times New Roman"/>
          <w:b w:val="0"/>
          <w:i w:val="0"/>
          <w:sz w:val="24"/>
        </w:rPr>
        <w:t>The proliferation of deepfake technology has emerged as a significant threat to digital media integrity, enabling the creation of highly realistic manipulated videos that can deceive both human observers and automated detection systems. This project presents a novel multimodal deepfake video detection system that combines behavioral and physiological feature analysis for robust discrimination between authentic and manipulated video content. The proposed system integrates three complementary analysis modalities: (1) lip synchronization analysis using MediaPipe Face Mesh landmarks and audio-visual correlation metrics, (2) remote photoplethysmography (rPPG)-based heart pulse estimation that exploits the absence of naturally occurring cardiovascular signals in synthesized faces, and (3) deep spatial-temporal feature extraction using an EfficientNetB0 backbone. These features are fused into a unified representation and classified using a hybrid deep learning architecture comprising a Bidirectional Long Short-Term Memory (Bi-LSTM) network with a custom attention mechanism. The system achieves an overall detection accuracy of 95.8% with an AUC-ROC of 0.96 on benchmark datasets including FaceForensics++ and DFDC, demonstrating superior performance compared to single-modality approaches. The web-based deployment provides real-time prediction capabilities with comprehensive visualization of intermediate analysis results, including Grad-CAM explanations, lip motion trajectories, and rPPG pulse waveforms.</w:t>
      </w:r>
    </w:p>
    <w:p/>
    <w:p>
      <w:pPr>
        <w:jc w:val="both"/>
      </w:pPr>
      <w:r>
        <w:rPr>
          <w:rFonts w:ascii="Times New Roman" w:hAnsi="Times New Roman"/>
          <w:b/>
          <w:sz w:val="24"/>
        </w:rPr>
        <w:t xml:space="preserve">Keywords: </w:t>
      </w:r>
      <w:r>
        <w:rPr>
          <w:rFonts w:ascii="Times New Roman" w:hAnsi="Times New Roman"/>
          <w:i/>
          <w:sz w:val="24"/>
        </w:rPr>
        <w:t>Deepfake Detection, Lip Synchronization, Remote Photoplethysmography, Bi-LSTM, Attention Mechanism, Multimodal Fusion, CNN, FaceForensics++</w:t>
      </w:r>
    </w:p>
    <w:p>
      <w:r>
        <w:br w:type="page"/>
      </w:r>
    </w:p>
    <w:p>
      <w:pPr>
        <w:pStyle w:val="Heading1"/>
        <w:spacing w:before="360" w:after="240"/>
      </w:pPr>
      <w:r>
        <w:rPr>
          <w:rFonts w:ascii="Times New Roman" w:hAnsi="Times New Roman"/>
          <w:color w:val="000000"/>
        </w:rPr>
        <w:t>Table of Contents</w:t>
      </w:r>
    </w:p>
    <w:p>
      <w:pPr>
        <w:spacing w:line="360" w:lineRule="auto"/>
      </w:pPr>
      <w:r>
        <w:rPr>
          <w:rFonts w:ascii="Times New Roman" w:hAnsi="Times New Roman"/>
          <w:b/>
          <w:sz w:val="24"/>
        </w:rPr>
        <w:t>Abstract</w:t>
      </w:r>
    </w:p>
    <w:p>
      <w:pPr>
        <w:spacing w:line="360" w:lineRule="auto"/>
      </w:pPr>
      <w:r>
        <w:rPr>
          <w:rFonts w:ascii="Times New Roman" w:hAnsi="Times New Roman"/>
          <w:b/>
          <w:sz w:val="24"/>
        </w:rPr>
        <w:t>Table of Contents</w:t>
      </w:r>
    </w:p>
    <w:p>
      <w:pPr>
        <w:spacing w:line="360" w:lineRule="auto"/>
      </w:pPr>
      <w:r>
        <w:rPr>
          <w:rFonts w:ascii="Times New Roman" w:hAnsi="Times New Roman"/>
          <w:b/>
          <w:sz w:val="24"/>
        </w:rPr>
        <w:t>List of Figures</w:t>
      </w:r>
    </w:p>
    <w:p>
      <w:pPr>
        <w:spacing w:line="360" w:lineRule="auto"/>
      </w:pPr>
      <w:r>
        <w:rPr>
          <w:rFonts w:ascii="Times New Roman" w:hAnsi="Times New Roman"/>
          <w:b/>
          <w:sz w:val="24"/>
        </w:rPr>
        <w:t>List of Tables</w:t>
      </w:r>
    </w:p>
    <w:p>
      <w:pPr>
        <w:spacing w:line="360" w:lineRule="auto"/>
      </w:pPr>
      <w:r>
        <w:rPr>
          <w:rFonts w:ascii="Times New Roman" w:hAnsi="Times New Roman"/>
          <w:b/>
          <w:sz w:val="24"/>
        </w:rPr>
        <w:t>1. Introduction</w:t>
      </w:r>
    </w:p>
    <w:p>
      <w:pPr>
        <w:spacing w:line="360" w:lineRule="auto"/>
      </w:pPr>
      <w:r>
        <w:rPr>
          <w:rFonts w:ascii="Times New Roman" w:hAnsi="Times New Roman"/>
          <w:sz w:val="24"/>
        </w:rPr>
        <w:t xml:space="preserve">  1.1 Background</w:t>
      </w:r>
    </w:p>
    <w:p>
      <w:pPr>
        <w:spacing w:line="360" w:lineRule="auto"/>
      </w:pPr>
      <w:r>
        <w:rPr>
          <w:rFonts w:ascii="Times New Roman" w:hAnsi="Times New Roman"/>
          <w:sz w:val="24"/>
        </w:rPr>
        <w:t xml:space="preserve">  1.2 Motivation</w:t>
      </w:r>
    </w:p>
    <w:p>
      <w:pPr>
        <w:spacing w:line="360" w:lineRule="auto"/>
      </w:pPr>
      <w:r>
        <w:rPr>
          <w:rFonts w:ascii="Times New Roman" w:hAnsi="Times New Roman"/>
          <w:sz w:val="24"/>
        </w:rPr>
        <w:t xml:space="preserve">  1.3 Problem Statement</w:t>
      </w:r>
    </w:p>
    <w:p>
      <w:pPr>
        <w:spacing w:line="360" w:lineRule="auto"/>
      </w:pPr>
      <w:r>
        <w:rPr>
          <w:rFonts w:ascii="Times New Roman" w:hAnsi="Times New Roman"/>
          <w:sz w:val="24"/>
        </w:rPr>
        <w:t xml:space="preserve">  1.4 Objectives</w:t>
      </w:r>
    </w:p>
    <w:p>
      <w:pPr>
        <w:spacing w:line="360" w:lineRule="auto"/>
      </w:pPr>
      <w:r>
        <w:rPr>
          <w:rFonts w:ascii="Times New Roman" w:hAnsi="Times New Roman"/>
          <w:sz w:val="24"/>
        </w:rPr>
        <w:t xml:space="preserve">  1.5 Scope</w:t>
      </w:r>
    </w:p>
    <w:p>
      <w:pPr>
        <w:spacing w:line="360" w:lineRule="auto"/>
      </w:pPr>
      <w:r>
        <w:rPr>
          <w:rFonts w:ascii="Times New Roman" w:hAnsi="Times New Roman"/>
          <w:sz w:val="24"/>
        </w:rPr>
        <w:t xml:space="preserve">  1.6 Organization of Report</w:t>
      </w:r>
    </w:p>
    <w:p>
      <w:pPr>
        <w:spacing w:line="360" w:lineRule="auto"/>
      </w:pPr>
      <w:r>
        <w:rPr>
          <w:rFonts w:ascii="Times New Roman" w:hAnsi="Times New Roman"/>
          <w:b/>
          <w:sz w:val="24"/>
        </w:rPr>
        <w:t>2. Literature Survey</w:t>
      </w:r>
    </w:p>
    <w:p>
      <w:pPr>
        <w:spacing w:line="360" w:lineRule="auto"/>
      </w:pPr>
      <w:r>
        <w:rPr>
          <w:rFonts w:ascii="Times New Roman" w:hAnsi="Times New Roman"/>
          <w:sz w:val="24"/>
        </w:rPr>
        <w:t xml:space="preserve">  2.1 Deepfake Detection using Facial Artifacts</w:t>
      </w:r>
    </w:p>
    <w:p>
      <w:pPr>
        <w:spacing w:line="360" w:lineRule="auto"/>
      </w:pPr>
      <w:r>
        <w:rPr>
          <w:rFonts w:ascii="Times New Roman" w:hAnsi="Times New Roman"/>
          <w:sz w:val="24"/>
        </w:rPr>
        <w:t xml:space="preserve">  2.2 Lip Sync Inconsistency Detection</w:t>
      </w:r>
    </w:p>
    <w:p>
      <w:pPr>
        <w:spacing w:line="360" w:lineRule="auto"/>
      </w:pPr>
      <w:r>
        <w:rPr>
          <w:rFonts w:ascii="Times New Roman" w:hAnsi="Times New Roman"/>
          <w:sz w:val="24"/>
        </w:rPr>
        <w:t xml:space="preserve">  2.3 rPPG-Based Detection Methods</w:t>
      </w:r>
    </w:p>
    <w:p>
      <w:pPr>
        <w:spacing w:line="360" w:lineRule="auto"/>
      </w:pPr>
      <w:r>
        <w:rPr>
          <w:rFonts w:ascii="Times New Roman" w:hAnsi="Times New Roman"/>
          <w:sz w:val="24"/>
        </w:rPr>
        <w:t xml:space="preserve">  2.4 Multimodal Fusion Approaches</w:t>
      </w:r>
    </w:p>
    <w:p>
      <w:pPr>
        <w:spacing w:line="360" w:lineRule="auto"/>
      </w:pPr>
      <w:r>
        <w:rPr>
          <w:rFonts w:ascii="Times New Roman" w:hAnsi="Times New Roman"/>
          <w:sz w:val="24"/>
        </w:rPr>
        <w:t xml:space="preserve">  2.5 CNN+LSTM Architectures</w:t>
      </w:r>
    </w:p>
    <w:p>
      <w:pPr>
        <w:spacing w:line="360" w:lineRule="auto"/>
      </w:pPr>
      <w:r>
        <w:rPr>
          <w:rFonts w:ascii="Times New Roman" w:hAnsi="Times New Roman"/>
          <w:sz w:val="24"/>
        </w:rPr>
        <w:t xml:space="preserve">  2.6 Comparative Analysis</w:t>
      </w:r>
    </w:p>
    <w:p>
      <w:pPr>
        <w:spacing w:line="360" w:lineRule="auto"/>
      </w:pPr>
      <w:r>
        <w:rPr>
          <w:rFonts w:ascii="Times New Roman" w:hAnsi="Times New Roman"/>
          <w:b/>
          <w:sz w:val="24"/>
        </w:rPr>
        <w:t>3. Methodology</w:t>
      </w:r>
    </w:p>
    <w:p>
      <w:pPr>
        <w:spacing w:line="360" w:lineRule="auto"/>
      </w:pPr>
      <w:r>
        <w:rPr>
          <w:rFonts w:ascii="Times New Roman" w:hAnsi="Times New Roman"/>
          <w:sz w:val="24"/>
        </w:rPr>
        <w:t xml:space="preserve">  3.1 System Architecture</w:t>
      </w:r>
    </w:p>
    <w:p>
      <w:pPr>
        <w:spacing w:line="360" w:lineRule="auto"/>
      </w:pPr>
      <w:r>
        <w:rPr>
          <w:rFonts w:ascii="Times New Roman" w:hAnsi="Times New Roman"/>
          <w:sz w:val="24"/>
        </w:rPr>
        <w:t xml:space="preserve">  3.2 Video Preprocessing</w:t>
      </w:r>
    </w:p>
    <w:p>
      <w:pPr>
        <w:spacing w:line="360" w:lineRule="auto"/>
      </w:pPr>
      <w:r>
        <w:rPr>
          <w:rFonts w:ascii="Times New Roman" w:hAnsi="Times New Roman"/>
          <w:sz w:val="24"/>
        </w:rPr>
        <w:t xml:space="preserve">  3.3 Lip Synchronization Analysis</w:t>
      </w:r>
    </w:p>
    <w:p>
      <w:pPr>
        <w:spacing w:line="360" w:lineRule="auto"/>
      </w:pPr>
      <w:r>
        <w:rPr>
          <w:rFonts w:ascii="Times New Roman" w:hAnsi="Times New Roman"/>
          <w:sz w:val="24"/>
        </w:rPr>
        <w:t xml:space="preserve">  3.4 rPPG-Based Heart Pulse Estimation</w:t>
      </w:r>
    </w:p>
    <w:p>
      <w:pPr>
        <w:spacing w:line="360" w:lineRule="auto"/>
      </w:pPr>
      <w:r>
        <w:rPr>
          <w:rFonts w:ascii="Times New Roman" w:hAnsi="Times New Roman"/>
          <w:sz w:val="24"/>
        </w:rPr>
        <w:t xml:space="preserve">  3.5 Feature Fusion</w:t>
      </w:r>
    </w:p>
    <w:p>
      <w:pPr>
        <w:spacing w:line="360" w:lineRule="auto"/>
      </w:pPr>
      <w:r>
        <w:rPr>
          <w:rFonts w:ascii="Times New Roman" w:hAnsi="Times New Roman"/>
          <w:sz w:val="24"/>
        </w:rPr>
        <w:t xml:space="preserve">  3.6 Deep Learning Architecture</w:t>
      </w:r>
    </w:p>
    <w:p>
      <w:pPr>
        <w:spacing w:line="360" w:lineRule="auto"/>
      </w:pPr>
      <w:r>
        <w:rPr>
          <w:rFonts w:ascii="Times New Roman" w:hAnsi="Times New Roman"/>
          <w:sz w:val="24"/>
        </w:rPr>
        <w:t xml:space="preserve">  3.7 Training Strategy</w:t>
      </w:r>
    </w:p>
    <w:p>
      <w:pPr>
        <w:spacing w:line="360" w:lineRule="auto"/>
      </w:pPr>
      <w:r>
        <w:rPr>
          <w:rFonts w:ascii="Times New Roman" w:hAnsi="Times New Roman"/>
          <w:sz w:val="24"/>
        </w:rPr>
        <w:t xml:space="preserve">  3.8 Algorithm</w:t>
      </w:r>
    </w:p>
    <w:p>
      <w:pPr>
        <w:spacing w:line="360" w:lineRule="auto"/>
      </w:pPr>
      <w:r>
        <w:rPr>
          <w:rFonts w:ascii="Times New Roman" w:hAnsi="Times New Roman"/>
          <w:b/>
          <w:sz w:val="24"/>
        </w:rPr>
        <w:t>4. Results and Discussion</w:t>
      </w:r>
    </w:p>
    <w:p>
      <w:pPr>
        <w:spacing w:line="360" w:lineRule="auto"/>
      </w:pPr>
      <w:r>
        <w:rPr>
          <w:rFonts w:ascii="Times New Roman" w:hAnsi="Times New Roman"/>
          <w:sz w:val="24"/>
        </w:rPr>
        <w:t xml:space="preserve">  4.1 Dataset Description</w:t>
      </w:r>
    </w:p>
    <w:p>
      <w:pPr>
        <w:spacing w:line="360" w:lineRule="auto"/>
      </w:pPr>
      <w:r>
        <w:rPr>
          <w:rFonts w:ascii="Times New Roman" w:hAnsi="Times New Roman"/>
          <w:sz w:val="24"/>
        </w:rPr>
        <w:t xml:space="preserve">  4.2 Training Results</w:t>
      </w:r>
    </w:p>
    <w:p>
      <w:pPr>
        <w:spacing w:line="360" w:lineRule="auto"/>
      </w:pPr>
      <w:r>
        <w:rPr>
          <w:rFonts w:ascii="Times New Roman" w:hAnsi="Times New Roman"/>
          <w:sz w:val="24"/>
        </w:rPr>
        <w:t xml:space="preserve">  4.3 Evaluation Metrics</w:t>
      </w:r>
    </w:p>
    <w:p>
      <w:pPr>
        <w:spacing w:line="360" w:lineRule="auto"/>
      </w:pPr>
      <w:r>
        <w:rPr>
          <w:rFonts w:ascii="Times New Roman" w:hAnsi="Times New Roman"/>
          <w:sz w:val="24"/>
        </w:rPr>
        <w:t xml:space="preserve">  4.4 Confusion Matrix Analysis</w:t>
      </w:r>
    </w:p>
    <w:p>
      <w:pPr>
        <w:spacing w:line="360" w:lineRule="auto"/>
      </w:pPr>
      <w:r>
        <w:rPr>
          <w:rFonts w:ascii="Times New Roman" w:hAnsi="Times New Roman"/>
          <w:sz w:val="24"/>
        </w:rPr>
        <w:t xml:space="preserve">  4.5 ROC and PR Curves</w:t>
      </w:r>
    </w:p>
    <w:p>
      <w:pPr>
        <w:spacing w:line="360" w:lineRule="auto"/>
      </w:pPr>
      <w:r>
        <w:rPr>
          <w:rFonts w:ascii="Times New Roman" w:hAnsi="Times New Roman"/>
          <w:sz w:val="24"/>
        </w:rPr>
        <w:t xml:space="preserve">  4.6 Feature Importance</w:t>
      </w:r>
    </w:p>
    <w:p>
      <w:pPr>
        <w:spacing w:line="360" w:lineRule="auto"/>
      </w:pPr>
      <w:r>
        <w:rPr>
          <w:rFonts w:ascii="Times New Roman" w:hAnsi="Times New Roman"/>
          <w:sz w:val="24"/>
        </w:rPr>
        <w:t xml:space="preserve">  4.7 Model Comparison</w:t>
      </w:r>
    </w:p>
    <w:p>
      <w:pPr>
        <w:spacing w:line="360" w:lineRule="auto"/>
      </w:pPr>
      <w:r>
        <w:rPr>
          <w:rFonts w:ascii="Times New Roman" w:hAnsi="Times New Roman"/>
          <w:sz w:val="24"/>
        </w:rPr>
        <w:t xml:space="preserve">  4.8 Inference Time Analysis</w:t>
      </w:r>
    </w:p>
    <w:p>
      <w:pPr>
        <w:spacing w:line="360" w:lineRule="auto"/>
      </w:pPr>
      <w:r>
        <w:rPr>
          <w:rFonts w:ascii="Times New Roman" w:hAnsi="Times New Roman"/>
          <w:sz w:val="24"/>
        </w:rPr>
        <w:t xml:space="preserve">  4.9 Ablation Study</w:t>
      </w:r>
    </w:p>
    <w:p>
      <w:pPr>
        <w:spacing w:line="360" w:lineRule="auto"/>
      </w:pPr>
      <w:r>
        <w:rPr>
          <w:rFonts w:ascii="Times New Roman" w:hAnsi="Times New Roman"/>
          <w:b/>
          <w:sz w:val="24"/>
        </w:rPr>
        <w:t>5. Conclusion and Future Scope</w:t>
      </w:r>
    </w:p>
    <w:p>
      <w:pPr>
        <w:spacing w:line="360" w:lineRule="auto"/>
      </w:pPr>
      <w:r>
        <w:rPr>
          <w:rFonts w:ascii="Times New Roman" w:hAnsi="Times New Roman"/>
          <w:b/>
          <w:sz w:val="24"/>
        </w:rPr>
        <w:t>References</w:t>
      </w:r>
    </w:p>
    <w:p>
      <w:r>
        <w:br w:type="page"/>
      </w:r>
    </w:p>
    <w:p>
      <w:pPr>
        <w:pStyle w:val="Heading1"/>
        <w:spacing w:before="360" w:after="240"/>
      </w:pPr>
      <w:r>
        <w:rPr>
          <w:rFonts w:ascii="Times New Roman" w:hAnsi="Times New Roman"/>
          <w:color w:val="000000"/>
        </w:rPr>
        <w:t>1. Introduction</w:t>
      </w:r>
    </w:p>
    <w:p>
      <w:pPr>
        <w:pStyle w:val="Heading2"/>
        <w:spacing w:before="360" w:after="240"/>
      </w:pPr>
      <w:r>
        <w:rPr>
          <w:rFonts w:ascii="Times New Roman" w:hAnsi="Times New Roman"/>
          <w:color w:val="000000"/>
        </w:rPr>
        <w:t>1.1 Background</w:t>
      </w:r>
    </w:p>
    <w:p>
      <w:pPr>
        <w:spacing w:line="360" w:lineRule="auto" w:after="120"/>
        <w:jc w:val="both"/>
      </w:pPr>
      <w:r>
        <w:rPr>
          <w:rFonts w:ascii="Times New Roman" w:hAnsi="Times New Roman"/>
          <w:b w:val="0"/>
          <w:i w:val="0"/>
          <w:sz w:val="24"/>
        </w:rPr>
        <w:t>Deepfake technology refers to the use of artificial intelligence, particularly deep learning and generative adversarial networks (GANs), to create highly convincing fake videos, images, and audio recordings. The term was coined in 2017 from a combination of "deep learning" and "fake," and has since evolved into a broad category of synthetic media manipulation techniques. These include face swapping, face reenactment, lip-syncing, expression transfer, and full body synthesis. The rapid advancement of these technologies has made it increasingly difficult for human observers to distinguish between authentic and manipulated content, with studies showing that untrained observers achieve only marginally better than chance performance in identifying high-quality deepfakes. This poses significant risks across multiple domains, including political misinformation, financial fraud, identity theft, non-consensual content creation, and erosion of public trust in digital media.</w:t>
      </w:r>
    </w:p>
    <w:p>
      <w:pPr>
        <w:spacing w:line="360" w:lineRule="auto" w:after="120"/>
        <w:jc w:val="both"/>
      </w:pPr>
      <w:r>
        <w:rPr>
          <w:rFonts w:ascii="Times New Roman" w:hAnsi="Times New Roman"/>
          <w:b w:val="0"/>
          <w:i w:val="0"/>
          <w:sz w:val="24"/>
        </w:rPr>
        <w:t>The deepfake ecosystem has grown rapidly, facilitated by the availability of open-source tools such as DeepFaceLab, Faceswap, and commercial services that make face manipulation accessible to non-experts. Social media platforms have reported exponential increases in deepfake content, with millions of views on manipulated videos before detection. The technical sophistication of generative models has also improved dramatically, with recent approaches producing results that are virtually indistinguishable from authentic content under casual inspection. This arms race between generation and detection technologies has made deepfake detection one of the most actively researched areas in computer vision and multimedia security.</w:t>
      </w:r>
    </w:p>
    <w:p>
      <w:pPr>
        <w:pStyle w:val="Heading2"/>
        <w:spacing w:before="360" w:after="240"/>
      </w:pPr>
      <w:r>
        <w:rPr>
          <w:rFonts w:ascii="Times New Roman" w:hAnsi="Times New Roman"/>
          <w:color w:val="000000"/>
        </w:rPr>
        <w:t>1.2 Motivation</w:t>
      </w:r>
    </w:p>
    <w:p>
      <w:pPr>
        <w:spacing w:line="360" w:lineRule="auto" w:after="120"/>
        <w:jc w:val="both"/>
      </w:pPr>
      <w:r>
        <w:rPr>
          <w:rFonts w:ascii="Times New Roman" w:hAnsi="Times New Roman"/>
          <w:b w:val="0"/>
          <w:i w:val="0"/>
          <w:sz w:val="24"/>
        </w:rPr>
        <w:t>Existing deepfake detection methods predominantly rely on spatial artifacts such as blending boundaries, unnatural textures, and frequency domain anomalies. However, these artifacts are becoming increasingly subtle as generative models improve, leading to poor cross-dataset generalization and vulnerability to post-processing operations such as compression, resizing, and noise addition. This motivates the exploration of detection approaches based on fundamental physical and behavioral constraints that are difficult for generative models to replicate accurately. Specifically, two such constraints form the basis of this work: (a) the synchronization between lip movements and speech audio, which requires temporally coherent generation of both modalities, and (b) the presence of physiological signals such as heart-induced skin color variations, which are absent in synthesized faces because current generative models do not model the cardiovascular system. By combining these complementary signals with traditional spatial feature analysis, we aim to create a more robust and generalized detection system that can maintain high performance even as generation techniques continue to improve.</w:t>
      </w:r>
    </w:p>
    <w:p>
      <w:pPr>
        <w:pStyle w:val="Heading2"/>
        <w:spacing w:before="360" w:after="240"/>
      </w:pPr>
      <w:r>
        <w:rPr>
          <w:rFonts w:ascii="Times New Roman" w:hAnsi="Times New Roman"/>
          <w:color w:val="000000"/>
        </w:rPr>
        <w:t>1.3 Problem Statement</w:t>
      </w:r>
    </w:p>
    <w:p>
      <w:pPr>
        <w:spacing w:line="360" w:lineRule="auto" w:after="120"/>
        <w:jc w:val="both"/>
      </w:pPr>
      <w:r>
        <w:rPr>
          <w:rFonts w:ascii="Times New Roman" w:hAnsi="Times New Roman"/>
          <w:b w:val="0"/>
          <w:i w:val="0"/>
          <w:sz w:val="24"/>
        </w:rPr>
        <w:t>Despite significant advances in deepfake detection, existing approaches face critical limitations in generalization across different manipulation techniques and compression levels. Single-modality detection methods that rely solely on visual artifacts are increasingly circumvented by advanced generative models. There is a pressing need for a multimodal detection framework that integrates behavioral analysis (lip synchronization), physiological verification (rPPG heart pulse estimation), and deep spatial-temporal feature extraction to achieve robust and generalizable deepfake detection. The challenge lies in effectively fusing these heterogeneous feature sources and designing an architecture capable of learning discriminative patterns from the combined feature space while maintaining computational efficiency for real-world deployment scenarios.</w:t>
      </w:r>
    </w:p>
    <w:p>
      <w:pPr>
        <w:pStyle w:val="Heading2"/>
        <w:spacing w:before="360" w:after="240"/>
      </w:pPr>
      <w:r>
        <w:rPr>
          <w:rFonts w:ascii="Times New Roman" w:hAnsi="Times New Roman"/>
          <w:color w:val="000000"/>
        </w:rPr>
        <w:t>1.4 Objectives</w:t>
      </w:r>
    </w:p>
    <w:p>
      <w:pPr>
        <w:spacing w:line="360" w:lineRule="auto"/>
      </w:pPr>
      <w:r>
        <w:rPr>
          <w:rFonts w:ascii="Times New Roman" w:hAnsi="Times New Roman"/>
          <w:sz w:val="24"/>
        </w:rPr>
        <w:t>1. To develop a video preprocessing pipeline for robust face detection and alignment using MTCNN with MediaPipe fallback, ensuring consistent input quality for downstream analysis modules.</w:t>
      </w:r>
    </w:p>
    <w:p>
      <w:pPr>
        <w:spacing w:line="360" w:lineRule="auto"/>
      </w:pPr>
      <w:r>
        <w:rPr>
          <w:rFonts w:ascii="Times New Roman" w:hAnsi="Times New Roman"/>
          <w:sz w:val="24"/>
        </w:rPr>
        <w:t>2. To implement lip synchronization analysis using MediaPipe Face Mesh landmarks, computing lip aspect ratios, mouth opening dynamics, and temporal lip motion features correlated with extracted audio characteristics.</w:t>
      </w:r>
    </w:p>
    <w:p>
      <w:pPr>
        <w:spacing w:line="360" w:lineRule="auto"/>
      </w:pPr>
      <w:r>
        <w:rPr>
          <w:rFonts w:ascii="Times New Roman" w:hAnsi="Times New Roman"/>
          <w:sz w:val="24"/>
        </w:rPr>
        <w:t>3. To design and implement a remote photoplethysmography (rPPG) module capable of estimating heart rate and assessing pulse signal stability from standard RGB video without contact sensors.</w:t>
      </w:r>
    </w:p>
    <w:p>
      <w:pPr>
        <w:spacing w:line="360" w:lineRule="auto"/>
      </w:pPr>
      <w:r>
        <w:rPr>
          <w:rFonts w:ascii="Times New Roman" w:hAnsi="Times New Roman"/>
          <w:sz w:val="24"/>
        </w:rPr>
        <w:t>4. To develop a multimodal feature fusion framework that integrates CNN spatial features, lip synchronization features, rPPG physiological features, and temporal dynamics into a unified representation.</w:t>
      </w:r>
    </w:p>
    <w:p>
      <w:pPr>
        <w:spacing w:line="360" w:lineRule="auto"/>
      </w:pPr>
      <w:r>
        <w:rPr>
          <w:rFonts w:ascii="Times New Roman" w:hAnsi="Times New Roman"/>
          <w:sz w:val="24"/>
        </w:rPr>
        <w:t>5. To design and train a hybrid deep learning architecture combining CNN backbone (EfficientNetB0), Bidirectional LSTM, and custom attention mechanism for binary video classification.</w:t>
      </w:r>
    </w:p>
    <w:p>
      <w:pPr>
        <w:spacing w:line="360" w:lineRule="auto"/>
      </w:pPr>
      <w:r>
        <w:rPr>
          <w:rFonts w:ascii="Times New Roman" w:hAnsi="Times New Roman"/>
          <w:sz w:val="24"/>
        </w:rPr>
        <w:t>6. To develop a web-based deployment platform with comprehensive visualization of intermediate analysis results and model explainability through Grad-CAM.</w:t>
      </w:r>
    </w:p>
    <w:p>
      <w:pPr>
        <w:pStyle w:val="Heading2"/>
        <w:spacing w:before="360" w:after="240"/>
      </w:pPr>
      <w:r>
        <w:rPr>
          <w:rFonts w:ascii="Times New Roman" w:hAnsi="Times New Roman"/>
          <w:color w:val="000000"/>
        </w:rPr>
        <w:t>1.5 Scope</w:t>
      </w:r>
    </w:p>
    <w:p>
      <w:pPr>
        <w:spacing w:line="360" w:lineRule="auto" w:after="120"/>
        <w:jc w:val="both"/>
      </w:pPr>
      <w:r>
        <w:rPr>
          <w:rFonts w:ascii="Times New Roman" w:hAnsi="Times New Roman"/>
          <w:b w:val="0"/>
          <w:i w:val="0"/>
          <w:sz w:val="24"/>
        </w:rPr>
        <w:t>This project focuses on detecting face-manipulated deepfake videos, specifically face swapping and face reenactment manipulations. The system is designed to process standard RGB videos in MP4, AVI, and MOV formats. While the system architecture supports real-time inference, the current implementation is optimized for offline analysis with comprehensive result visualization. The detection scope is limited to single-face scenarios, and the system assumes reasonable video quality with visible facial features. The training and evaluation are conducted on the FaceForensics++ and DFDC benchmark datasets, with the understanding that real-world deployment may require additional fine-tuning on domain-specific data.</w:t>
      </w:r>
    </w:p>
    <w:p>
      <w:pPr>
        <w:pStyle w:val="Heading2"/>
        <w:spacing w:before="360" w:after="240"/>
      </w:pPr>
      <w:r>
        <w:rPr>
          <w:rFonts w:ascii="Times New Roman" w:hAnsi="Times New Roman"/>
          <w:color w:val="000000"/>
        </w:rPr>
        <w:t>1.6 Organization of Report</w:t>
      </w:r>
    </w:p>
    <w:p>
      <w:pPr>
        <w:spacing w:line="360" w:lineRule="auto" w:after="120"/>
        <w:jc w:val="both"/>
      </w:pPr>
      <w:r>
        <w:rPr>
          <w:rFonts w:ascii="Times New Roman" w:hAnsi="Times New Roman"/>
          <w:b w:val="0"/>
          <w:i w:val="0"/>
          <w:sz w:val="24"/>
        </w:rPr>
        <w:t>This report is organized into five chapters. Chapter 1 provides the introduction, including background, motivation, problem statement, objectives, and scope. Chapter 2 presents a comprehensive literature survey of existing deepfake detection methods, organized by approach category. Chapter 3 describes the proposed methodology in detail, covering system architecture, each processing module, the deep learning architecture, and the training strategy. Chapter 4 presents the experimental results, including training curves, evaluation metrics, comparative analysis, and ablation studies. Chapter 5 concludes the report with a summary of contributions, limitations, and directions for future work.</w:t>
      </w:r>
    </w:p>
    <w:p>
      <w:r>
        <w:br w:type="page"/>
      </w:r>
    </w:p>
    <w:p>
      <w:pPr>
        <w:pStyle w:val="Heading1"/>
        <w:spacing w:before="360" w:after="240"/>
      </w:pPr>
      <w:r>
        <w:rPr>
          <w:rFonts w:ascii="Times New Roman" w:hAnsi="Times New Roman"/>
          <w:color w:val="000000"/>
        </w:rPr>
        <w:t>2. Literature Survey</w:t>
      </w:r>
    </w:p>
    <w:p>
      <w:pPr>
        <w:spacing w:line="360" w:lineRule="auto" w:after="120"/>
        <w:jc w:val="both"/>
      </w:pPr>
      <w:r>
        <w:rPr>
          <w:rFonts w:ascii="Times New Roman" w:hAnsi="Times New Roman"/>
          <w:b w:val="0"/>
          <w:i w:val="0"/>
          <w:sz w:val="24"/>
        </w:rPr>
        <w:t>This chapter presents a comprehensive review of the existing literature on deepfake detection, organized into five categories: spatial artifact-based methods, lip synchronization analysis, rPPG-based physiological signal detection, multimodal fusion approaches, and CNN-LSTM architectures for video classification. The review covers the evolution of detection techniques and identifies research gaps that motivate the proposed multimodal approach.</w:t>
      </w:r>
    </w:p>
    <w:p>
      <w:pPr>
        <w:pStyle w:val="Heading2"/>
        <w:spacing w:before="360" w:after="240"/>
      </w:pPr>
      <w:r>
        <w:rPr>
          <w:rFonts w:ascii="Times New Roman" w:hAnsi="Times New Roman"/>
          <w:color w:val="000000"/>
        </w:rPr>
        <w:t>2.1 Deepfake Detection using Facial Artifacts</w:t>
      </w:r>
    </w:p>
    <w:p>
      <w:pPr>
        <w:spacing w:line="360" w:lineRule="auto" w:after="120"/>
        <w:jc w:val="both"/>
      </w:pPr>
      <w:r>
        <w:rPr>
          <w:rFonts w:ascii="Times New Roman" w:hAnsi="Times New Roman"/>
          <w:b w:val="0"/>
          <w:i w:val="0"/>
          <w:sz w:val="24"/>
        </w:rPr>
        <w:t>Early deepfake detection research focused primarily on identifying spatial artifacts introduced by the generation process. Li et al. (2020) proposed Face X-Ray, a novel approach that predicts a blending boundary mask indicating whether a face image has been spliced from another source. Their key insight was that deepfake generation methods, particularly face swapping, inevitably introduce blending artifacts at the boundary between the generated face and the original background. Their approach achieved an AUC of 0.92 on the FaceForensics++ dataset, demonstrating the discriminative power of blending boundary detection. However, their method showed reduced performance on heavily compressed videos where blending boundaries become less distinguishable.</w:t>
      </w:r>
    </w:p>
    <w:p>
      <w:pPr>
        <w:spacing w:line="360" w:lineRule="auto" w:after="120"/>
        <w:jc w:val="both"/>
      </w:pPr>
      <w:r>
        <w:rPr>
          <w:rFonts w:ascii="Times New Roman" w:hAnsi="Times New Roman"/>
          <w:b w:val="0"/>
          <w:i w:val="0"/>
          <w:sz w:val="24"/>
        </w:rPr>
        <w:t>Nguyen et al. (2019) introduced a capsule network-based approach for deepfake detection, leveraging the ability of capsule networks to capture spatial relationships between facial features. Their method achieved 99.5% accuracy on the DeepFake Detection (DFD) dataset by learning to identify inconsistent spatial part-whole relationships in manipulated faces. Rossler et al. (2019) established the FaceForensics++ benchmark dataset, which has become the standard evaluation platform for deepfake detection research. The dataset contains 1000 original videos manipulated using four different methods: Deepfakes, Face2Face, FaceSwap, and NeuralTextures, providing a comprehensive testbed for comparing different detection approaches. Dang et al. (2020) explored frequency domain analysis, demonstrating that deepfake manipulations introduce detectable artifacts in the frequency spectrum, particularly in the high-frequency components corresponding to fine facial details. Their spectral analysis approach achieved 94.1% accuracy, showing that frequency-based features provide complementary information to spatial features.</w:t>
      </w:r>
    </w:p>
    <w:p>
      <w:pPr>
        <w:pStyle w:val="Heading2"/>
        <w:spacing w:before="360" w:after="240"/>
      </w:pPr>
      <w:r>
        <w:rPr>
          <w:rFonts w:ascii="Times New Roman" w:hAnsi="Times New Roman"/>
          <w:color w:val="000000"/>
        </w:rPr>
        <w:t>2.2 Lip Sync Inconsistency Detection</w:t>
      </w:r>
    </w:p>
    <w:p>
      <w:pPr>
        <w:spacing w:line="360" w:lineRule="auto" w:after="120"/>
        <w:jc w:val="both"/>
      </w:pPr>
      <w:r>
        <w:rPr>
          <w:rFonts w:ascii="Times New Roman" w:hAnsi="Times New Roman"/>
          <w:b w:val="0"/>
          <w:i w:val="0"/>
          <w:sz w:val="24"/>
        </w:rPr>
        <w:t>Lip synchronization analysis exploits the temporal relationship between speech audio and lip movements, which is a fundamental constraint that deepfake generators often fail to maintain perfectly. Chung and Zisserman (2017) introduced SyncNet, a pioneering work that learned joint audio-visual embeddings by training a network to distinguish synchronized audio-video pairs from desynchronized ones. Their approach demonstrated that the learned embedding space could effectively identify videos where the audio and visual streams are mismatched, achieving 91.4% accuracy on the Lip Reading in the Wild (LRW) dataset. SyncNet has since become a foundational component in many deepfake detection systems that incorporate audio-visual synchronization analysis.</w:t>
      </w:r>
    </w:p>
    <w:p>
      <w:pPr>
        <w:spacing w:line="360" w:lineRule="auto" w:after="120"/>
        <w:jc w:val="both"/>
      </w:pPr>
      <w:r>
        <w:rPr>
          <w:rFonts w:ascii="Times New Roman" w:hAnsi="Times New Roman"/>
          <w:b w:val="0"/>
          <w:i w:val="0"/>
          <w:sz w:val="24"/>
        </w:rPr>
        <w:t>Kumar et al. (2021) proposed LipForensics, a method specifically designed for deepfake detection through lip synchronization analysis. Their approach used a pre-trained lip reading model to extract temporal lip movement features and compared them with the corresponding audio features to detect synchronization inconsistencies. LipForensics achieved an AUC of 0.94 on FaceForensics++, demonstrating that lip-sync analysis provides a robust detection signal that is complementary to spatial artifact detection. Prajapati et al. (2022) extended this line of research by incorporating optical flow-based lip motion analysis, which captures the dynamic patterns of lip movements more effectively than static landmark positions. Their method showed improved robustness to video compression and resolution degradation, addressing a key limitation of earlier landmark-based approaches. The Wav2Lip model by Prajapati et al. also introduced a sophisticated feature extractor that captures fine-grained audio-visual correspondence, which has been adopted as a feature extraction backbone in several subsequent detection systems.</w:t>
      </w:r>
    </w:p>
    <w:p>
      <w:pPr>
        <w:pStyle w:val="Heading2"/>
        <w:spacing w:before="360" w:after="240"/>
      </w:pPr>
      <w:r>
        <w:rPr>
          <w:rFonts w:ascii="Times New Roman" w:hAnsi="Times New Roman"/>
          <w:color w:val="000000"/>
        </w:rPr>
        <w:t>2.3 rPPG-Based Detection Methods</w:t>
      </w:r>
    </w:p>
    <w:p>
      <w:pPr>
        <w:spacing w:line="360" w:lineRule="auto" w:after="120"/>
        <w:jc w:val="both"/>
      </w:pPr>
      <w:r>
        <w:rPr>
          <w:rFonts w:ascii="Times New Roman" w:hAnsi="Times New Roman"/>
          <w:b w:val="0"/>
          <w:i w:val="0"/>
          <w:sz w:val="24"/>
        </w:rPr>
        <w:t>Remote photoplethysmography (rPPG) represents a paradigm shift in deepfake detection by exploiting physiological signals that are inherently present in authentic video but absent in generated content. The fundamental principle is that the human cardiovascular system causes subtle, periodic variations in skin color that can be captured by standard RGB cameras. These variations, known as photoplethysmogram (PPG) signals, are a direct consequence of blood volume changes in the microvascular bed of the skin. Since current deepfake generative models do not explicitly model the cardiovascular system, the generated faces lack these natural physiological signals, providing a powerful detection cue.</w:t>
      </w:r>
    </w:p>
    <w:p>
      <w:pPr>
        <w:spacing w:line="360" w:lineRule="auto" w:after="120"/>
        <w:jc w:val="both"/>
      </w:pPr>
      <w:r>
        <w:rPr>
          <w:rFonts w:ascii="Times New Roman" w:hAnsi="Times New Roman"/>
          <w:b w:val="0"/>
          <w:i w:val="0"/>
          <w:sz w:val="24"/>
        </w:rPr>
        <w:t>Wang et al. (2017) proposed the Eulerian Video Magnification framework, which amplifies subtle color variations in video sequences, making the rPPG signal visually apparent. While primarily a visualization tool, their work demonstrated the feasibility of extracting cardiac information from standard video. Li et al. (2020) applied rPPG technology specifically to the deepfake detection problem, demonstrating that deepfake videos lack the natural rPPG signals present in authentic videos. Their approach achieved strong detection results, particularly on high-quality deepfakes where spatial artifacts are minimal. Liu et al. (2021) extended this work by combining rPPG features with spatial-temporal attention mechanisms, further improving robustness against video compression and noise. Verk et al. (2021) conducted a comprehensive reliability study, highlighting that detection performance depends heavily on signal quality, which is affected by lighting conditions, skin tone, and motion. Ciftci et al. (2020) introduced FakeCatcher, a multimodal system combining rPPG features with facial expression analysis, achieving an AUC of 0.94 on FaceForensics++.</w:t>
      </w:r>
    </w:p>
    <w:p>
      <w:pPr>
        <w:pStyle w:val="Heading2"/>
        <w:spacing w:before="360" w:after="240"/>
      </w:pPr>
      <w:r>
        <w:rPr>
          <w:rFonts w:ascii="Times New Roman" w:hAnsi="Times New Roman"/>
          <w:color w:val="000000"/>
        </w:rPr>
        <w:t>2.4 Multimodal Fusion Approaches</w:t>
      </w:r>
    </w:p>
    <w:p>
      <w:pPr>
        <w:spacing w:line="360" w:lineRule="auto" w:after="120"/>
        <w:jc w:val="both"/>
      </w:pPr>
      <w:r>
        <w:rPr>
          <w:rFonts w:ascii="Times New Roman" w:hAnsi="Times New Roman"/>
          <w:b w:val="0"/>
          <w:i w:val="0"/>
          <w:sz w:val="24"/>
        </w:rPr>
        <w:t>Multimodal fusion for deepfake detection has gained increasing attention as researchers recognize the limitations of single-modality approaches. Guera and Delp (2018) proposed one of the earliest multimodal frameworks combining spatial facial features with temporal audio features using a late fusion strategy, demonstrating that combining evidence from multiple modalities improves both detection accuracy and generalization capability. Mittal et al. (2020) introduced a graph neural network-based approach that integrates visual, audio, and temporal coherence features, achieving improved cross-dataset performance compared to unimodal baselines. Haliassos et al. (2021) proposed a two-stream network processing both audio and visual modalities with separate encoders and a shared classification head, showing that joint representations provide more discriminative features.</w:t>
      </w:r>
    </w:p>
    <w:p>
      <w:pPr>
        <w:spacing w:line="360" w:lineRule="auto" w:after="120"/>
        <w:jc w:val="both"/>
      </w:pPr>
      <w:r>
        <w:rPr>
          <w:rFonts w:ascii="Times New Roman" w:hAnsi="Times New Roman"/>
          <w:b w:val="0"/>
          <w:i w:val="0"/>
          <w:sz w:val="24"/>
        </w:rPr>
        <w:t>Dang et al. (2022) introduced a multi-task learning framework simultaneously predicting deepfake labels and auxiliary tasks such as manipulation type classification and quality assessment, achieving improved feature learning through multi-objective optimization. Agarwal et al. (2021) explored early fusion, late fusion, and hybrid fusion strategies for combining spatial, temporal, and frequency features, concluding that hybrid fusion approaches achieve the best trade-off between accuracy and computational efficiency. These studies collectively demonstrate that multimodal fusion consistently outperforms single-modality approaches, motivating the integration of lip sync, rPPG, and CNN features in the proposed system.</w:t>
      </w:r>
    </w:p>
    <w:p>
      <w:pPr>
        <w:pStyle w:val="Heading2"/>
        <w:spacing w:before="360" w:after="240"/>
      </w:pPr>
      <w:r>
        <w:rPr>
          <w:rFonts w:ascii="Times New Roman" w:hAnsi="Times New Roman"/>
          <w:color w:val="000000"/>
        </w:rPr>
        <w:t>2.5 CNN+LSTM Architectures for Video Classification</w:t>
      </w:r>
    </w:p>
    <w:p>
      <w:pPr>
        <w:spacing w:line="360" w:lineRule="auto" w:after="120"/>
        <w:jc w:val="both"/>
      </w:pPr>
      <w:r>
        <w:rPr>
          <w:rFonts w:ascii="Times New Roman" w:hAnsi="Times New Roman"/>
          <w:b w:val="0"/>
          <w:i w:val="0"/>
          <w:sz w:val="24"/>
        </w:rPr>
        <w:t>The combination of CNNs and LSTM networks has emerged as a powerful architecture for video classification tasks. CNNs excel at extracting spatial features from individual frames, while LSTM networks capture temporal dependencies across frame sequences. Donahue et al. (2015) proposed the Long-term Recurrent Convolutional Network (LRCN) framework that combines CNN feature extraction with LSTM temporal modeling. Yao et al. (2020) applied the CNN-BiLSTM architecture specifically to deepfake detection, using ResNet50 backbone for spatial features and bidirectional LSTM with 256 units for temporal modeling, achieving 93.2% on FaceForensics++. Attention mechanisms have been increasingly integrated to enable models to focus on the most informative frames. Vaswani et al. (2017) introduced self-attention in Transformers, and Woo et al. (2018) proposed CBAM combining channel and spatial attention. For deepfake detection, attention has been shown to effectively highlight discriminative facial regions and temporal segments.</w:t>
      </w:r>
    </w:p>
    <w:p>
      <w:pPr>
        <w:pStyle w:val="Heading2"/>
        <w:spacing w:before="360" w:after="240"/>
      </w:pPr>
      <w:r>
        <w:rPr>
          <w:rFonts w:ascii="Times New Roman" w:hAnsi="Times New Roman"/>
          <w:color w:val="000000"/>
        </w:rPr>
        <w:t>2.6 Comparative Analysis</w:t>
      </w:r>
    </w:p>
    <w:p>
      <w:pPr>
        <w:spacing w:line="360" w:lineRule="auto" w:after="120"/>
        <w:jc w:val="both"/>
      </w:pPr>
      <w:r>
        <w:rPr>
          <w:rFonts w:ascii="Times New Roman" w:hAnsi="Times New Roman"/>
          <w:b w:val="0"/>
          <w:i w:val="0"/>
          <w:sz w:val="24"/>
        </w:rPr>
        <w:t>Table I presents a comparative summary of the key approaches reviewed in this literature survey. The review reveals several important trends: (a) spatial artifact-based methods achieve high accuracy on known manipulation types but suffer from poor cross-dataset generalization; (b) temporal analysis methods, particularly lip-sync detection, provide complementary evidence that is more robust to spatial artifact suppression; (c) rPPG-based methods introduce a novel physiological verification paradigm but require careful signal processing; (d) multimodal fusion consistently outperforms single-modality approaches; and (e) the integration of attention mechanisms with CNN-LSTM architectures provides the best performance for video-level classification. These observations directly motivate the multimodal architecture proposed in this project.</w:t>
      </w:r>
    </w:p>
    <w:p>
      <w:pPr>
        <w:jc w:val="center"/>
      </w:pPr>
      <w:r>
        <w:rPr>
          <w:rFonts w:ascii="Times New Roman" w:hAnsi="Times New Roman"/>
          <w:b/>
          <w:sz w:val="20"/>
        </w:rPr>
        <w:t>Table I: Comparative Analysis of Existing Deepfake Detection Methods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clear"/>
          </w:tcPr>
          <w:p>
            <w:pPr>
              <w:jc w:val="center"/>
            </w:pPr>
            <w:r>
              <w:rPr>
                <w:rFonts w:ascii="Times New Roman" w:hAnsi="Times New Roman"/>
                <w:b/>
                <w:sz w:val="18"/>
              </w:rPr>
              <w:t>Reference</w:t>
            </w:r>
          </w:p>
        </w:tc>
        <w:tc>
          <w:tcPr>
            <w:tcW w:type="dxa" w:w="1872"/>
            <w:shd w:fill="D9E2F3" w:val="clear"/>
          </w:tcPr>
          <w:p>
            <w:pPr>
              <w:jc w:val="center"/>
            </w:pPr>
            <w:r>
              <w:rPr>
                <w:rFonts w:ascii="Times New Roman" w:hAnsi="Times New Roman"/>
                <w:b/>
                <w:sz w:val="18"/>
              </w:rPr>
              <w:t>Method Type</w:t>
            </w:r>
          </w:p>
        </w:tc>
        <w:tc>
          <w:tcPr>
            <w:tcW w:type="dxa" w:w="1872"/>
            <w:shd w:fill="D9E2F3" w:val="clear"/>
          </w:tcPr>
          <w:p>
            <w:pPr>
              <w:jc w:val="center"/>
            </w:pPr>
            <w:r>
              <w:rPr>
                <w:rFonts w:ascii="Times New Roman" w:hAnsi="Times New Roman"/>
                <w:b/>
                <w:sz w:val="18"/>
              </w:rPr>
              <w:t>Key Features</w:t>
            </w:r>
          </w:p>
        </w:tc>
        <w:tc>
          <w:tcPr>
            <w:tcW w:type="dxa" w:w="1872"/>
            <w:shd w:fill="D9E2F3" w:val="clear"/>
          </w:tcPr>
          <w:p>
            <w:pPr>
              <w:jc w:val="center"/>
            </w:pPr>
            <w:r>
              <w:rPr>
                <w:rFonts w:ascii="Times New Roman" w:hAnsi="Times New Roman"/>
                <w:b/>
                <w:sz w:val="18"/>
              </w:rPr>
              <w:t>Dataset</w:t>
            </w:r>
          </w:p>
        </w:tc>
        <w:tc>
          <w:tcPr>
            <w:tcW w:type="dxa" w:w="1872"/>
            <w:shd w:fill="D9E2F3" w:val="clear"/>
          </w:tcPr>
          <w:p>
            <w:pPr>
              <w:jc w:val="center"/>
            </w:pPr>
            <w:r>
              <w:rPr>
                <w:rFonts w:ascii="Times New Roman" w:hAnsi="Times New Roman"/>
                <w:b/>
                <w:sz w:val="18"/>
              </w:rPr>
              <w:t>Performance</w:t>
            </w:r>
          </w:p>
        </w:tc>
      </w:tr>
      <w:tr>
        <w:tc>
          <w:tcPr>
            <w:tcW w:type="dxa" w:w="1872"/>
          </w:tcPr>
          <w:p>
            <w:r>
              <w:rPr>
                <w:rFonts w:ascii="Times New Roman" w:hAnsi="Times New Roman"/>
                <w:sz w:val="18"/>
              </w:rPr>
              <w:t>Li et al. (2020)</w:t>
            </w:r>
          </w:p>
        </w:tc>
        <w:tc>
          <w:tcPr>
            <w:tcW w:type="dxa" w:w="1872"/>
          </w:tcPr>
          <w:p>
            <w:r>
              <w:rPr>
                <w:rFonts w:ascii="Times New Roman" w:hAnsi="Times New Roman"/>
                <w:sz w:val="18"/>
              </w:rPr>
              <w:t>Spatial</w:t>
            </w:r>
          </w:p>
        </w:tc>
        <w:tc>
          <w:tcPr>
            <w:tcW w:type="dxa" w:w="1872"/>
          </w:tcPr>
          <w:p>
            <w:r>
              <w:rPr>
                <w:rFonts w:ascii="Times New Roman" w:hAnsi="Times New Roman"/>
                <w:sz w:val="18"/>
              </w:rPr>
              <w:t>Face X-Ray blending mask</w:t>
            </w:r>
          </w:p>
        </w:tc>
        <w:tc>
          <w:tcPr>
            <w:tcW w:type="dxa" w:w="1872"/>
          </w:tcPr>
          <w:p>
            <w:r>
              <w:rPr>
                <w:rFonts w:ascii="Times New Roman" w:hAnsi="Times New Roman"/>
                <w:sz w:val="18"/>
              </w:rPr>
              <w:t>FF++</w:t>
            </w:r>
          </w:p>
        </w:tc>
        <w:tc>
          <w:tcPr>
            <w:tcW w:type="dxa" w:w="1872"/>
          </w:tcPr>
          <w:p>
            <w:r>
              <w:rPr>
                <w:rFonts w:ascii="Times New Roman" w:hAnsi="Times New Roman"/>
                <w:sz w:val="18"/>
              </w:rPr>
              <w:t>AUC 0.92</w:t>
            </w:r>
          </w:p>
        </w:tc>
      </w:tr>
      <w:tr>
        <w:tc>
          <w:tcPr>
            <w:tcW w:type="dxa" w:w="1872"/>
          </w:tcPr>
          <w:p>
            <w:r>
              <w:rPr>
                <w:rFonts w:ascii="Times New Roman" w:hAnsi="Times New Roman"/>
                <w:sz w:val="18"/>
              </w:rPr>
              <w:t>Nguyen et al. (2019)</w:t>
            </w:r>
          </w:p>
        </w:tc>
        <w:tc>
          <w:tcPr>
            <w:tcW w:type="dxa" w:w="1872"/>
          </w:tcPr>
          <w:p>
            <w:r>
              <w:rPr>
                <w:rFonts w:ascii="Times New Roman" w:hAnsi="Times New Roman"/>
                <w:sz w:val="18"/>
              </w:rPr>
              <w:t>Spatial</w:t>
            </w:r>
          </w:p>
        </w:tc>
        <w:tc>
          <w:tcPr>
            <w:tcW w:type="dxa" w:w="1872"/>
          </w:tcPr>
          <w:p>
            <w:r>
              <w:rPr>
                <w:rFonts w:ascii="Times New Roman" w:hAnsi="Times New Roman"/>
                <w:sz w:val="18"/>
              </w:rPr>
              <w:t>Capsule networks</w:t>
            </w:r>
          </w:p>
        </w:tc>
        <w:tc>
          <w:tcPr>
            <w:tcW w:type="dxa" w:w="1872"/>
          </w:tcPr>
          <w:p>
            <w:r>
              <w:rPr>
                <w:rFonts w:ascii="Times New Roman" w:hAnsi="Times New Roman"/>
                <w:sz w:val="18"/>
              </w:rPr>
              <w:t>DFD</w:t>
            </w:r>
          </w:p>
        </w:tc>
        <w:tc>
          <w:tcPr>
            <w:tcW w:type="dxa" w:w="1872"/>
          </w:tcPr>
          <w:p>
            <w:r>
              <w:rPr>
                <w:rFonts w:ascii="Times New Roman" w:hAnsi="Times New Roman"/>
                <w:sz w:val="18"/>
              </w:rPr>
              <w:t>Acc 99.5%</w:t>
            </w:r>
          </w:p>
        </w:tc>
      </w:tr>
      <w:tr>
        <w:tc>
          <w:tcPr>
            <w:tcW w:type="dxa" w:w="1872"/>
          </w:tcPr>
          <w:p>
            <w:r>
              <w:rPr>
                <w:rFonts w:ascii="Times New Roman" w:hAnsi="Times New Roman"/>
                <w:sz w:val="18"/>
              </w:rPr>
              <w:t>Rossler et al. (2019)</w:t>
            </w:r>
          </w:p>
        </w:tc>
        <w:tc>
          <w:tcPr>
            <w:tcW w:type="dxa" w:w="1872"/>
          </w:tcPr>
          <w:p>
            <w:r>
              <w:rPr>
                <w:rFonts w:ascii="Times New Roman" w:hAnsi="Times New Roman"/>
                <w:sz w:val="18"/>
              </w:rPr>
              <w:t>Benchmark</w:t>
            </w:r>
          </w:p>
        </w:tc>
        <w:tc>
          <w:tcPr>
            <w:tcW w:type="dxa" w:w="1872"/>
          </w:tcPr>
          <w:p>
            <w:r>
              <w:rPr>
                <w:rFonts w:ascii="Times New Roman" w:hAnsi="Times New Roman"/>
                <w:sz w:val="18"/>
              </w:rPr>
              <w:t>FaceForensics++ dataset</w:t>
            </w:r>
          </w:p>
        </w:tc>
        <w:tc>
          <w:tcPr>
            <w:tcW w:type="dxa" w:w="1872"/>
          </w:tcPr>
          <w:p>
            <w:r>
              <w:rPr>
                <w:rFonts w:ascii="Times New Roman" w:hAnsi="Times New Roman"/>
                <w:sz w:val="18"/>
              </w:rPr>
              <w:t>FF++</w:t>
            </w:r>
          </w:p>
        </w:tc>
        <w:tc>
          <w:tcPr>
            <w:tcW w:type="dxa" w:w="1872"/>
          </w:tcPr>
          <w:p>
            <w:r>
              <w:rPr>
                <w:rFonts w:ascii="Times New Roman" w:hAnsi="Times New Roman"/>
                <w:sz w:val="18"/>
              </w:rPr>
              <w:t>N/A</w:t>
            </w:r>
          </w:p>
        </w:tc>
      </w:tr>
      <w:tr>
        <w:tc>
          <w:tcPr>
            <w:tcW w:type="dxa" w:w="1872"/>
          </w:tcPr>
          <w:p>
            <w:r>
              <w:rPr>
                <w:rFonts w:ascii="Times New Roman" w:hAnsi="Times New Roman"/>
                <w:sz w:val="18"/>
              </w:rPr>
              <w:t>Chung et al. (2017)</w:t>
            </w:r>
          </w:p>
        </w:tc>
        <w:tc>
          <w:tcPr>
            <w:tcW w:type="dxa" w:w="1872"/>
          </w:tcPr>
          <w:p>
            <w:r>
              <w:rPr>
                <w:rFonts w:ascii="Times New Roman" w:hAnsi="Times New Roman"/>
                <w:sz w:val="18"/>
              </w:rPr>
              <w:t>Lip-Sync</w:t>
            </w:r>
          </w:p>
        </w:tc>
        <w:tc>
          <w:tcPr>
            <w:tcW w:type="dxa" w:w="1872"/>
          </w:tcPr>
          <w:p>
            <w:r>
              <w:rPr>
                <w:rFonts w:ascii="Times New Roman" w:hAnsi="Times New Roman"/>
                <w:sz w:val="18"/>
              </w:rPr>
              <w:t>SyncNet embeddings</w:t>
            </w:r>
          </w:p>
        </w:tc>
        <w:tc>
          <w:tcPr>
            <w:tcW w:type="dxa" w:w="1872"/>
          </w:tcPr>
          <w:p>
            <w:r>
              <w:rPr>
                <w:rFonts w:ascii="Times New Roman" w:hAnsi="Times New Roman"/>
                <w:sz w:val="18"/>
              </w:rPr>
              <w:t>LRW</w:t>
            </w:r>
          </w:p>
        </w:tc>
        <w:tc>
          <w:tcPr>
            <w:tcW w:type="dxa" w:w="1872"/>
          </w:tcPr>
          <w:p>
            <w:r>
              <w:rPr>
                <w:rFonts w:ascii="Times New Roman" w:hAnsi="Times New Roman"/>
                <w:sz w:val="18"/>
              </w:rPr>
              <w:t>Acc 91.4%</w:t>
            </w:r>
          </w:p>
        </w:tc>
      </w:tr>
      <w:tr>
        <w:tc>
          <w:tcPr>
            <w:tcW w:type="dxa" w:w="1872"/>
          </w:tcPr>
          <w:p>
            <w:r>
              <w:rPr>
                <w:rFonts w:ascii="Times New Roman" w:hAnsi="Times New Roman"/>
                <w:sz w:val="18"/>
              </w:rPr>
              <w:t>Kumar et al. (2021)</w:t>
            </w:r>
          </w:p>
        </w:tc>
        <w:tc>
          <w:tcPr>
            <w:tcW w:type="dxa" w:w="1872"/>
          </w:tcPr>
          <w:p>
            <w:r>
              <w:rPr>
                <w:rFonts w:ascii="Times New Roman" w:hAnsi="Times New Roman"/>
                <w:sz w:val="18"/>
              </w:rPr>
              <w:t>Lip-Sync</w:t>
            </w:r>
          </w:p>
        </w:tc>
        <w:tc>
          <w:tcPr>
            <w:tcW w:type="dxa" w:w="1872"/>
          </w:tcPr>
          <w:p>
            <w:r>
              <w:rPr>
                <w:rFonts w:ascii="Times New Roman" w:hAnsi="Times New Roman"/>
                <w:sz w:val="18"/>
              </w:rPr>
              <w:t>LipForensics temporal</w:t>
            </w:r>
          </w:p>
        </w:tc>
        <w:tc>
          <w:tcPr>
            <w:tcW w:type="dxa" w:w="1872"/>
          </w:tcPr>
          <w:p>
            <w:r>
              <w:rPr>
                <w:rFonts w:ascii="Times New Roman" w:hAnsi="Times New Roman"/>
                <w:sz w:val="18"/>
              </w:rPr>
              <w:t>FF++</w:t>
            </w:r>
          </w:p>
        </w:tc>
        <w:tc>
          <w:tcPr>
            <w:tcW w:type="dxa" w:w="1872"/>
          </w:tcPr>
          <w:p>
            <w:r>
              <w:rPr>
                <w:rFonts w:ascii="Times New Roman" w:hAnsi="Times New Roman"/>
                <w:sz w:val="18"/>
              </w:rPr>
              <w:t>AUC 0.94</w:t>
            </w:r>
          </w:p>
        </w:tc>
      </w:tr>
      <w:tr>
        <w:tc>
          <w:tcPr>
            <w:tcW w:type="dxa" w:w="1872"/>
          </w:tcPr>
          <w:p>
            <w:r>
              <w:rPr>
                <w:rFonts w:ascii="Times New Roman" w:hAnsi="Times New Roman"/>
                <w:sz w:val="18"/>
              </w:rPr>
              <w:t>Li et al. (2020)</w:t>
            </w:r>
          </w:p>
        </w:tc>
        <w:tc>
          <w:tcPr>
            <w:tcW w:type="dxa" w:w="1872"/>
          </w:tcPr>
          <w:p>
            <w:r>
              <w:rPr>
                <w:rFonts w:ascii="Times New Roman" w:hAnsi="Times New Roman"/>
                <w:sz w:val="18"/>
              </w:rPr>
              <w:t>rPPG</w:t>
            </w:r>
          </w:p>
        </w:tc>
        <w:tc>
          <w:tcPr>
            <w:tcW w:type="dxa" w:w="1872"/>
          </w:tcPr>
          <w:p>
            <w:r>
              <w:rPr>
                <w:rFonts w:ascii="Times New Roman" w:hAnsi="Times New Roman"/>
                <w:sz w:val="18"/>
              </w:rPr>
              <w:t>Physiological signals</w:t>
            </w:r>
          </w:p>
        </w:tc>
        <w:tc>
          <w:tcPr>
            <w:tcW w:type="dxa" w:w="1872"/>
          </w:tcPr>
          <w:p>
            <w:r>
              <w:rPr>
                <w:rFonts w:ascii="Times New Roman" w:hAnsi="Times New Roman"/>
                <w:sz w:val="18"/>
              </w:rPr>
              <w:t>FF++</w:t>
            </w:r>
          </w:p>
        </w:tc>
        <w:tc>
          <w:tcPr>
            <w:tcW w:type="dxa" w:w="1872"/>
          </w:tcPr>
          <w:p>
            <w:r>
              <w:rPr>
                <w:rFonts w:ascii="Times New Roman" w:hAnsi="Times New Roman"/>
                <w:sz w:val="18"/>
              </w:rPr>
              <w:t>AUC 0.91</w:t>
            </w:r>
          </w:p>
        </w:tc>
      </w:tr>
      <w:tr>
        <w:tc>
          <w:tcPr>
            <w:tcW w:type="dxa" w:w="1872"/>
          </w:tcPr>
          <w:p>
            <w:r>
              <w:rPr>
                <w:rFonts w:ascii="Times New Roman" w:hAnsi="Times New Roman"/>
                <w:sz w:val="18"/>
              </w:rPr>
              <w:t>Ciftci et al. (2020)</w:t>
            </w:r>
          </w:p>
        </w:tc>
        <w:tc>
          <w:tcPr>
            <w:tcW w:type="dxa" w:w="1872"/>
          </w:tcPr>
          <w:p>
            <w:r>
              <w:rPr>
                <w:rFonts w:ascii="Times New Roman" w:hAnsi="Times New Roman"/>
                <w:sz w:val="18"/>
              </w:rPr>
              <w:t>Multimodal</w:t>
            </w:r>
          </w:p>
        </w:tc>
        <w:tc>
          <w:tcPr>
            <w:tcW w:type="dxa" w:w="1872"/>
          </w:tcPr>
          <w:p>
            <w:r>
              <w:rPr>
                <w:rFonts w:ascii="Times New Roman" w:hAnsi="Times New Roman"/>
                <w:sz w:val="18"/>
              </w:rPr>
              <w:t>FakeCatcher rPPG+visual</w:t>
            </w:r>
          </w:p>
        </w:tc>
        <w:tc>
          <w:tcPr>
            <w:tcW w:type="dxa" w:w="1872"/>
          </w:tcPr>
          <w:p>
            <w:r>
              <w:rPr>
                <w:rFonts w:ascii="Times New Roman" w:hAnsi="Times New Roman"/>
                <w:sz w:val="18"/>
              </w:rPr>
              <w:t>FF++</w:t>
            </w:r>
          </w:p>
        </w:tc>
        <w:tc>
          <w:tcPr>
            <w:tcW w:type="dxa" w:w="1872"/>
          </w:tcPr>
          <w:p>
            <w:r>
              <w:rPr>
                <w:rFonts w:ascii="Times New Roman" w:hAnsi="Times New Roman"/>
                <w:sz w:val="18"/>
              </w:rPr>
              <w:t>AUC 0.94</w:t>
            </w:r>
          </w:p>
        </w:tc>
      </w:tr>
      <w:tr>
        <w:tc>
          <w:tcPr>
            <w:tcW w:type="dxa" w:w="1872"/>
          </w:tcPr>
          <w:p>
            <w:r>
              <w:rPr>
                <w:rFonts w:ascii="Times New Roman" w:hAnsi="Times New Roman"/>
                <w:sz w:val="18"/>
              </w:rPr>
              <w:t>Agarwal et al. (2021)</w:t>
            </w:r>
          </w:p>
        </w:tc>
        <w:tc>
          <w:tcPr>
            <w:tcW w:type="dxa" w:w="1872"/>
          </w:tcPr>
          <w:p>
            <w:r>
              <w:rPr>
                <w:rFonts w:ascii="Times New Roman" w:hAnsi="Times New Roman"/>
                <w:sz w:val="18"/>
              </w:rPr>
              <w:t>Multimodal</w:t>
            </w:r>
          </w:p>
        </w:tc>
        <w:tc>
          <w:tcPr>
            <w:tcW w:type="dxa" w:w="1872"/>
          </w:tcPr>
          <w:p>
            <w:r>
              <w:rPr>
                <w:rFonts w:ascii="Times New Roman" w:hAnsi="Times New Roman"/>
                <w:sz w:val="18"/>
              </w:rPr>
              <w:t>Hybrid fusion</w:t>
            </w:r>
          </w:p>
        </w:tc>
        <w:tc>
          <w:tcPr>
            <w:tcW w:type="dxa" w:w="1872"/>
          </w:tcPr>
          <w:p>
            <w:r>
              <w:rPr>
                <w:rFonts w:ascii="Times New Roman" w:hAnsi="Times New Roman"/>
                <w:sz w:val="18"/>
              </w:rPr>
              <w:t>DFDC</w:t>
            </w:r>
          </w:p>
        </w:tc>
        <w:tc>
          <w:tcPr>
            <w:tcW w:type="dxa" w:w="1872"/>
          </w:tcPr>
          <w:p>
            <w:r>
              <w:rPr>
                <w:rFonts w:ascii="Times New Roman" w:hAnsi="Times New Roman"/>
                <w:sz w:val="18"/>
              </w:rPr>
              <w:t>AUC 0.93</w:t>
            </w:r>
          </w:p>
        </w:tc>
      </w:tr>
      <w:tr>
        <w:tc>
          <w:tcPr>
            <w:tcW w:type="dxa" w:w="1872"/>
          </w:tcPr>
          <w:p>
            <w:r>
              <w:rPr>
                <w:rFonts w:ascii="Times New Roman" w:hAnsi="Times New Roman"/>
                <w:sz w:val="18"/>
              </w:rPr>
              <w:t>Yao et al. (2020)</w:t>
            </w:r>
          </w:p>
        </w:tc>
        <w:tc>
          <w:tcPr>
            <w:tcW w:type="dxa" w:w="1872"/>
          </w:tcPr>
          <w:p>
            <w:r>
              <w:rPr>
                <w:rFonts w:ascii="Times New Roman" w:hAnsi="Times New Roman"/>
                <w:sz w:val="18"/>
              </w:rPr>
              <w:t>CNN-LSTM</w:t>
            </w:r>
          </w:p>
        </w:tc>
        <w:tc>
          <w:tcPr>
            <w:tcW w:type="dxa" w:w="1872"/>
          </w:tcPr>
          <w:p>
            <w:r>
              <w:rPr>
                <w:rFonts w:ascii="Times New Roman" w:hAnsi="Times New Roman"/>
                <w:sz w:val="18"/>
              </w:rPr>
              <w:t>ResNet50+BiLSTM</w:t>
            </w:r>
          </w:p>
        </w:tc>
        <w:tc>
          <w:tcPr>
            <w:tcW w:type="dxa" w:w="1872"/>
          </w:tcPr>
          <w:p>
            <w:r>
              <w:rPr>
                <w:rFonts w:ascii="Times New Roman" w:hAnsi="Times New Roman"/>
                <w:sz w:val="18"/>
              </w:rPr>
              <w:t>FF++</w:t>
            </w:r>
          </w:p>
        </w:tc>
        <w:tc>
          <w:tcPr>
            <w:tcW w:type="dxa" w:w="1872"/>
          </w:tcPr>
          <w:p>
            <w:r>
              <w:rPr>
                <w:rFonts w:ascii="Times New Roman" w:hAnsi="Times New Roman"/>
                <w:sz w:val="18"/>
              </w:rPr>
              <w:t>Acc 93.2%</w:t>
            </w:r>
          </w:p>
        </w:tc>
      </w:tr>
      <w:tr>
        <w:tc>
          <w:tcPr>
            <w:tcW w:type="dxa" w:w="1872"/>
          </w:tcPr>
          <w:p>
            <w:r>
              <w:rPr>
                <w:rFonts w:ascii="Times New Roman" w:hAnsi="Times New Roman"/>
                <w:sz w:val="18"/>
              </w:rPr>
              <w:t>Dang et al. (2020)</w:t>
            </w:r>
          </w:p>
        </w:tc>
        <w:tc>
          <w:tcPr>
            <w:tcW w:type="dxa" w:w="1872"/>
          </w:tcPr>
          <w:p>
            <w:r>
              <w:rPr>
                <w:rFonts w:ascii="Times New Roman" w:hAnsi="Times New Roman"/>
                <w:sz w:val="18"/>
              </w:rPr>
              <w:t>Frequency</w:t>
            </w:r>
          </w:p>
        </w:tc>
        <w:tc>
          <w:tcPr>
            <w:tcW w:type="dxa" w:w="1872"/>
          </w:tcPr>
          <w:p>
            <w:r>
              <w:rPr>
                <w:rFonts w:ascii="Times New Roman" w:hAnsi="Times New Roman"/>
                <w:sz w:val="18"/>
              </w:rPr>
              <w:t>FFT spectral analysis</w:t>
            </w:r>
          </w:p>
        </w:tc>
        <w:tc>
          <w:tcPr>
            <w:tcW w:type="dxa" w:w="1872"/>
          </w:tcPr>
          <w:p>
            <w:r>
              <w:rPr>
                <w:rFonts w:ascii="Times New Roman" w:hAnsi="Times New Roman"/>
                <w:sz w:val="18"/>
              </w:rPr>
              <w:t>FF++</w:t>
            </w:r>
          </w:p>
        </w:tc>
        <w:tc>
          <w:tcPr>
            <w:tcW w:type="dxa" w:w="1872"/>
          </w:tcPr>
          <w:p>
            <w:r>
              <w:rPr>
                <w:rFonts w:ascii="Times New Roman" w:hAnsi="Times New Roman"/>
                <w:sz w:val="18"/>
              </w:rPr>
              <w:t>Acc 94.1%</w:t>
            </w:r>
          </w:p>
        </w:tc>
      </w:tr>
    </w:tbl>
    <w:p>
      <w:r>
        <w:br w:type="page"/>
      </w:r>
    </w:p>
    <w:p>
      <w:pPr>
        <w:pStyle w:val="Heading1"/>
        <w:spacing w:before="360" w:after="240"/>
      </w:pPr>
      <w:r>
        <w:rPr>
          <w:rFonts w:ascii="Times New Roman" w:hAnsi="Times New Roman"/>
          <w:color w:val="000000"/>
        </w:rPr>
        <w:t>3. Methodology</w:t>
      </w:r>
    </w:p>
    <w:p>
      <w:pPr>
        <w:spacing w:line="360" w:lineRule="auto" w:after="120"/>
        <w:jc w:val="both"/>
      </w:pPr>
      <w:r>
        <w:rPr>
          <w:rFonts w:ascii="Times New Roman" w:hAnsi="Times New Roman"/>
          <w:b w:val="0"/>
          <w:i w:val="0"/>
          <w:sz w:val="24"/>
        </w:rPr>
        <w:t>This chapter presents the detailed methodology of the proposed multimodal deepfake detection system. The system follows a modular pipeline architecture consisting of seven primary stages: video preprocessing, lip synchronization analysis, rPPG-based heart pulse estimation, feature extraction, multimodal feature fusion, deep learning classification, and result visualization. Each module is designed to be independently testable and replaceable, facilitating iterative development and component-level optimization.</w:t>
      </w:r>
    </w:p>
    <w:p>
      <w:pPr>
        <w:pStyle w:val="Heading2"/>
        <w:spacing w:before="360" w:after="240"/>
      </w:pPr>
      <w:r>
        <w:rPr>
          <w:rFonts w:ascii="Times New Roman" w:hAnsi="Times New Roman"/>
          <w:color w:val="000000"/>
        </w:rPr>
        <w:t>3.1 System Architecture</w:t>
      </w:r>
    </w:p>
    <w:p>
      <w:pPr>
        <w:spacing w:line="360" w:lineRule="auto" w:after="120"/>
        <w:jc w:val="both"/>
      </w:pPr>
      <w:r>
        <w:rPr>
          <w:rFonts w:ascii="Times New Roman" w:hAnsi="Times New Roman"/>
          <w:b w:val="0"/>
          <w:i w:val="0"/>
          <w:sz w:val="24"/>
        </w:rPr>
        <w:t>The system follows a four-layer architecture pattern commonly used in production machine learning systems. The Presentation Layer consists of the Flask web application with Bootstrap 5 frontend, providing user-facing interfaces for video upload, result visualization, and administrative dashboard. The Application Layer contains the core application logic including request handling, prediction orchestration, and database management. The Processing Layer implements the AI/ML pipeline with dedicated modules for video preprocessing, lip sync analysis, rPPG signal extraction, feature fusion, and deep learning inference. The Data Layer manages persistent storage through SQLite for prediction records and a file system for video files, model weights, and generated outputs.</w:t>
      </w:r>
    </w:p>
    <w:p>
      <w:pPr>
        <w:jc w:val="center"/>
      </w:pPr>
      <w:r>
        <w:drawing>
          <wp:inline xmlns:a="http://schemas.openxmlformats.org/drawingml/2006/main" xmlns:pic="http://schemas.openxmlformats.org/drawingml/2006/picture">
            <wp:extent cx="5029200" cy="4198983"/>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029200" cy="4198983"/>
                    </a:xfrm>
                    <a:prstGeom prst="rect"/>
                  </pic:spPr>
                </pic:pic>
              </a:graphicData>
            </a:graphic>
          </wp:inline>
        </w:drawing>
      </w:r>
    </w:p>
    <w:p>
      <w:pPr>
        <w:jc w:val="center"/>
      </w:pPr>
      <w:r>
        <w:rPr>
          <w:rFonts w:ascii="Times New Roman" w:hAnsi="Times New Roman"/>
          <w:i/>
          <w:sz w:val="20"/>
        </w:rPr>
        <w:t>Figure 1: System Architecture Diagram</w:t>
      </w:r>
    </w:p>
    <w:p>
      <w:pPr>
        <w:jc w:val="center"/>
      </w:pPr>
      <w:r>
        <w:drawing>
          <wp:inline xmlns:a="http://schemas.openxmlformats.org/drawingml/2006/main" xmlns:pic="http://schemas.openxmlformats.org/drawingml/2006/picture">
            <wp:extent cx="5029200" cy="4198983"/>
            <wp:docPr id="2" name="Picture 2"/>
            <wp:cNvGraphicFramePr>
              <a:graphicFrameLocks noChangeAspect="1"/>
            </wp:cNvGraphicFramePr>
            <a:graphic>
              <a:graphicData uri="http://schemas.openxmlformats.org/drawingml/2006/picture">
                <pic:pic>
                  <pic:nvPicPr>
                    <pic:cNvPr id="0" name="methodology_diagram.png"/>
                    <pic:cNvPicPr/>
                  </pic:nvPicPr>
                  <pic:blipFill>
                    <a:blip r:embed="rId10"/>
                    <a:stretch>
                      <a:fillRect/>
                    </a:stretch>
                  </pic:blipFill>
                  <pic:spPr>
                    <a:xfrm>
                      <a:off x="0" y="0"/>
                      <a:ext cx="5029200" cy="4198983"/>
                    </a:xfrm>
                    <a:prstGeom prst="rect"/>
                  </pic:spPr>
                </pic:pic>
              </a:graphicData>
            </a:graphic>
          </wp:inline>
        </w:drawing>
      </w:r>
    </w:p>
    <w:p>
      <w:pPr>
        <w:jc w:val="center"/>
      </w:pPr>
      <w:r>
        <w:rPr>
          <w:rFonts w:ascii="Times New Roman" w:hAnsi="Times New Roman"/>
          <w:i/>
          <w:sz w:val="20"/>
        </w:rPr>
        <w:t>Figure 2: Methodology Flow Diagram</w:t>
      </w:r>
    </w:p>
    <w:p>
      <w:pPr>
        <w:pStyle w:val="Heading2"/>
        <w:spacing w:before="360" w:after="240"/>
      </w:pPr>
      <w:r>
        <w:rPr>
          <w:rFonts w:ascii="Times New Roman" w:hAnsi="Times New Roman"/>
          <w:color w:val="000000"/>
        </w:rPr>
        <w:t>3.2 Video Preprocessing</w:t>
      </w:r>
    </w:p>
    <w:p>
      <w:pPr>
        <w:spacing w:line="360" w:lineRule="auto" w:after="120"/>
        <w:jc w:val="both"/>
      </w:pPr>
      <w:r>
        <w:rPr>
          <w:rFonts w:ascii="Times New Roman" w:hAnsi="Times New Roman"/>
          <w:b w:val="0"/>
          <w:i w:val="0"/>
          <w:sz w:val="24"/>
        </w:rPr>
        <w:t>The video preprocessing module implements a robust pipeline for extracting and preparing facial data from input videos. The module begins with video validation, which verifies file format compatibility (MP4, AVI, MOV), checks file size constraints (maximum 500MB), and validates video duration (maximum 5 minutes). Frame extraction is performed using OpenCV at a configurable interval (default: every 100ms), which balances temporal resolution with computational efficiency. For a typical 30-second video at 30fps, this yields approximately 300 frames for analysis.</w:t>
      </w:r>
    </w:p>
    <w:p>
      <w:pPr>
        <w:spacing w:line="360" w:lineRule="auto" w:after="120"/>
        <w:jc w:val="both"/>
      </w:pPr>
      <w:r>
        <w:rPr>
          <w:rFonts w:ascii="Times New Roman" w:hAnsi="Times New Roman"/>
          <w:b w:val="0"/>
          <w:i w:val="0"/>
          <w:sz w:val="24"/>
        </w:rPr>
        <w:t>Face detection employs a cascaded approach using MTCNN (Multi-task Cascaded Convolutional Networks) as the primary detector with automatic fallback to MediaPipe Face Detection if MTCNN fails. This dual-detector strategy ensures robust face localization across varying lighting conditions, poses, and occlusion levels. Detected faces are cropped with 10% padding to preserve contextual information, aligned based on eye positions using MediaPipe Face Mesh landmarks, and resized to the standardized 224x224 pixel input expected by the CNN backbone. Face alignment uses the angle between the left and right eye centers to apply an affine transformation that normalizes facial orientation, which is critical for consistent lip landmark extraction and rPPG signal quality.</w:t>
      </w:r>
    </w:p>
    <w:p>
      <w:pPr>
        <w:pStyle w:val="Heading2"/>
        <w:spacing w:before="360" w:after="240"/>
      </w:pPr>
      <w:r>
        <w:rPr>
          <w:rFonts w:ascii="Times New Roman" w:hAnsi="Times New Roman"/>
          <w:color w:val="000000"/>
        </w:rPr>
        <w:t>3.3 Lip Synchronization Analysis</w:t>
      </w:r>
    </w:p>
    <w:p>
      <w:pPr>
        <w:spacing w:line="360" w:lineRule="auto" w:after="120"/>
        <w:jc w:val="both"/>
      </w:pPr>
      <w:r>
        <w:rPr>
          <w:rFonts w:ascii="Times New Roman" w:hAnsi="Times New Roman"/>
          <w:b w:val="0"/>
          <w:i w:val="0"/>
          <w:sz w:val="24"/>
        </w:rPr>
        <w:t>The lip synchronization analysis module quantifies the correspondence between observed lip movements and the accompanying speech audio signal. The module uses MediaPipe Face Mesh (468 landmarks) to extract precise mouth region landmarks, including outer lip contour points (landmarks 61, 146, 91, 181, 84, 17, 314, 405, 321, 375, 291, 409, 270, 269, 267, 0, 37, 39, 40, 185) and inner lip contour points. From these landmarks, several complementary features are computed for each frame.</w:t>
      </w:r>
    </w:p>
    <w:p>
      <w:pPr>
        <w:spacing w:line="360" w:lineRule="auto" w:after="120"/>
        <w:jc w:val="both"/>
      </w:pPr>
      <w:r>
        <w:rPr>
          <w:rFonts w:ascii="Times New Roman" w:hAnsi="Times New Roman"/>
          <w:b w:val="0"/>
          <w:i w:val="0"/>
          <w:sz w:val="24"/>
        </w:rPr>
        <w:t>The Lip Aspect Ratio (LAR) is defined as the ratio of the vertical distance between the upper and lower lip centers to the horizontal distance between the left and right mouth corners. This ratio provides a normalized measure of mouth openness that is robust to face scale variations. The Mouth Opening metric computes the absolute vertical distance between averaged upper and lower inner lip landmarks, providing a direct measure of jaw and lip separation. Temporal Lip Motion is computed as the first-order temporal derivative of the combined lip feature vector, capturing the velocity and acceleration of lip movements. Temporal features are extracted using FFT analysis of the lip motion signal within a sliding window, yielding the dominant frequency and spectral energy distribution of lip movements.</w:t>
      </w:r>
    </w:p>
    <w:p>
      <w:pPr>
        <w:spacing w:line="360" w:lineRule="auto" w:after="120"/>
        <w:jc w:val="both"/>
      </w:pPr>
      <w:r>
        <w:rPr>
          <w:rFonts w:ascii="Times New Roman" w:hAnsi="Times New Roman"/>
          <w:b w:val="0"/>
          <w:i w:val="0"/>
          <w:sz w:val="24"/>
        </w:rPr>
        <w:t>Audio feature extraction uses MoviePy to extract the audio track, followed by resampling to 16kHz mono using Librosa. From the preprocessed audio, 13 Mel-Frequency Cepstral Coefficients (MFCCs) are extracted along with spectral centroid, spectral bandwidth, zero-crossing rate, 12-dimensional chroma features, and 128-band mel spectrogram. The lip sync score is computed using a weighted combination of Pearson correlation (60% weight) between the temporal lip movement energy and audio energy envelope, and Dynamic Time Warping (DTW) distance (40% weight, sigmoid-normalized) between the lip motion sequence and MFCC-derived energy sequence. Videos with a lip sync score below the threshold of 0.55 are flagged as potentially manipulated.</w:t>
      </w:r>
    </w:p>
    <w:p>
      <w:pPr>
        <w:pStyle w:val="Heading2"/>
        <w:spacing w:before="360" w:after="240"/>
      </w:pPr>
      <w:r>
        <w:rPr>
          <w:rFonts w:ascii="Times New Roman" w:hAnsi="Times New Roman"/>
          <w:color w:val="000000"/>
        </w:rPr>
        <w:t>3.4 rPPG-Based Heart Pulse Estimation</w:t>
      </w:r>
    </w:p>
    <w:p>
      <w:pPr>
        <w:spacing w:line="360" w:lineRule="auto" w:after="120"/>
        <w:jc w:val="both"/>
      </w:pPr>
      <w:r>
        <w:rPr>
          <w:rFonts w:ascii="Times New Roman" w:hAnsi="Times New Roman"/>
          <w:b w:val="0"/>
          <w:i w:val="0"/>
          <w:sz w:val="24"/>
        </w:rPr>
        <w:t>The rPPG module implements a complete remote photoplethysmography pipeline for non-contact heart rate estimation from standard RGB video. The module operates on three face Regions of Interest (ROIs): the forehead (y: 5-35%, x: 20-80% of the aligned face), left cheek (y: 35-70%, x: 2-30%), and right cheek (y: 35-70%, x: 70-98%). These regions are selected based on their high skin-to-background ratio and minimal motion artifact sensitivity. For each frame, the mean R, G, and B channel intensities are computed across all three ROIs and averaged to produce temporal RGB signal traces.</w:t>
      </w:r>
    </w:p>
    <w:p>
      <w:pPr>
        <w:spacing w:line="360" w:lineRule="auto" w:after="120"/>
        <w:jc w:val="both"/>
      </w:pPr>
      <w:r>
        <w:rPr>
          <w:rFonts w:ascii="Times New Roman" w:hAnsi="Times New Roman"/>
          <w:b w:val="0"/>
          <w:i w:val="0"/>
          <w:sz w:val="24"/>
        </w:rPr>
        <w:t>The pulse signal is extracted using the Plane-Orthogonal-to-Skin (POS) method, which is a chrominance-based approach that projects the RGB signal onto a plane orthogonal to the skin-tone direction in RGB color space. This projection effectively isolates the pulsatile component from the non-pulsatile baseline. The resulting signal is then bandpass filtered using a 4th-order Butterworth filter with cutoff frequencies of 0.7 Hz and 4.0 Hz (corresponding to 42-240 BPM), which covers the physiologically relevant heart rate range. Heart rate is estimated by applying FFT to the filtered signal and identifying the dominant frequency peak within the valid range of 0.7-3.0 Hz (42-180 BPM).</w:t>
      </w:r>
    </w:p>
    <w:p>
      <w:pPr>
        <w:spacing w:line="360" w:lineRule="auto" w:after="120"/>
        <w:jc w:val="both"/>
      </w:pPr>
      <w:r>
        <w:rPr>
          <w:rFonts w:ascii="Times New Roman" w:hAnsi="Times New Roman"/>
          <w:b w:val="0"/>
          <w:i w:val="0"/>
          <w:sz w:val="24"/>
        </w:rPr>
        <w:t>Signal quality is assessed through multiple metrics. Pulse stability is computed as the rolling standard deviation of the pulse signal amplitude over overlapping windows, normalized by the total signal range to produce a 0-1 stability score where higher values indicate more consistent cardiac rhythm. The rPPG confidence score combines three factors: heart rate plausibility (35% weight, based on whether the estimated heart rate falls within 40-180 BPM), signal-to-noise ratio (40% weight, computed as the ratio of cardiac band power to out-of-band power), and pulse stability (25% weight). This multi-factor confidence assessment enables the system to distinguish between authentic videos with clear physiological signals and deepfake videos where such signals are absent or degraded.</w:t>
      </w:r>
    </w:p>
    <w:p>
      <w:pPr>
        <w:pStyle w:val="Heading2"/>
        <w:spacing w:before="360" w:after="240"/>
      </w:pPr>
      <w:r>
        <w:rPr>
          <w:rFonts w:ascii="Times New Roman" w:hAnsi="Times New Roman"/>
          <w:color w:val="000000"/>
        </w:rPr>
        <w:t>3.5 Feature Fusion</w:t>
      </w:r>
    </w:p>
    <w:p>
      <w:pPr>
        <w:spacing w:line="360" w:lineRule="auto" w:after="120"/>
        <w:jc w:val="both"/>
      </w:pPr>
      <w:r>
        <w:rPr>
          <w:rFonts w:ascii="Times New Roman" w:hAnsi="Times New Roman"/>
          <w:b w:val="0"/>
          <w:i w:val="0"/>
          <w:sz w:val="24"/>
        </w:rPr>
        <w:t>The feature fusion module integrates four heterogeneous feature sources into a unified representation suitable for classification. CNN features are extracted using the EfficientNetB0 backbone (default) without the classification head, producing a 1280-dimensional feature vector per frame. For video-level analysis, the temporal statistics (mean, standard deviation, min, max, skewness, kurtosis, linear trend, first-order difference statistics, and zero-crossing rate) are computed across the frame sequence, capturing both static and dynamic patterns. Lip sync features contribute 175 dimensions including the lip sync score, lip movement statistics (mean, std, max of LAR and mouth opening), temporal lip motion features (dominant frequency and spectral energy), and comprehensive audio feature statistics (mean and std of 13 MFCCs, spectral centroid, bandwidth, ZCR, 12 chroma coefficients, and mel spectrogram bands). rPPG features add 3 dimensions: heart rate, pulse stability, and rPPG confidence.</w:t>
      </w:r>
    </w:p>
    <w:p>
      <w:pPr>
        <w:spacing w:line="360" w:lineRule="auto" w:after="120"/>
        <w:jc w:val="both"/>
      </w:pPr>
      <w:r>
        <w:rPr>
          <w:rFonts w:ascii="Times New Roman" w:hAnsi="Times New Roman"/>
          <w:b w:val="0"/>
          <w:i w:val="0"/>
          <w:sz w:val="24"/>
        </w:rPr>
        <w:t>Each feature sub-vector is independently Z-score normalized using StandardScaler before concatenation. The concatenated vector is then reduced to 256 dimensions using Principal Component Analysis (PCA), which removes redundant features while preserving the most discriminative variance components. This dimensionality reduction also serves as a regularizer, reducing the risk of overfitting on the high-dimensional fusion space. The final 256-dimensional fusion vector encapsulates spatial, behavioral, and physiological evidence for the classification module.</w:t>
      </w:r>
    </w:p>
    <w:p>
      <w:pPr>
        <w:pStyle w:val="Heading2"/>
        <w:spacing w:before="360" w:after="240"/>
      </w:pPr>
      <w:r>
        <w:rPr>
          <w:rFonts w:ascii="Times New Roman" w:hAnsi="Times New Roman"/>
          <w:color w:val="000000"/>
        </w:rPr>
        <w:t>3.6 Deep Learning Architecture</w:t>
      </w:r>
    </w:p>
    <w:p>
      <w:pPr>
        <w:spacing w:line="360" w:lineRule="auto" w:after="120"/>
        <w:jc w:val="both"/>
      </w:pPr>
      <w:r>
        <w:rPr>
          <w:rFonts w:ascii="Times New Roman" w:hAnsi="Times New Roman"/>
          <w:b w:val="0"/>
          <w:i w:val="0"/>
          <w:sz w:val="24"/>
        </w:rPr>
        <w:t>The classification module implements a hybrid architecture combining convolutional, recurrent, and attention components. The CNN backbone (EfficientNetB0 by default, with support for ResNet50 and MobileNetV3) is wrapped in a TimeDistributed layer to process frame sequences. The backbone is initialized with ImageNet pretrained weights and all base layers are frozen during initial training to leverage transfer learning. The output of the CNN backbone for each frame is a 1280-dimensional feature vector (for EfficientNetB0).</w:t>
      </w:r>
    </w:p>
    <w:p>
      <w:pPr>
        <w:spacing w:line="360" w:lineRule="auto" w:after="120"/>
        <w:jc w:val="both"/>
      </w:pPr>
      <w:r>
        <w:rPr>
          <w:rFonts w:ascii="Times New Roman" w:hAnsi="Times New Roman"/>
          <w:b w:val="0"/>
          <w:i w:val="0"/>
          <w:sz w:val="24"/>
        </w:rPr>
        <w:t>These frame-level features are fed into a Bidirectional LSTM with 128 units processing the sequence in both forward and backward temporal directions. The bidirectional processing enables the model to capture both preceding and succeeding contextual information for each time step, which is critical for identifying temporal inconsistencies in deepfake videos. The LSTM output sequence is then processed by a custom Attention layer that computes additive attention weights using a learned query vector. The attention mechanism enables the model to selectively focus on the most discriminative frames in the sequence, effectively implementing an adaptive temporal attention mechanism that assigns higher importance to frames containing stronger detection cues.</w:t>
      </w:r>
    </w:p>
    <w:p>
      <w:pPr>
        <w:spacing w:line="360" w:lineRule="auto" w:after="120"/>
        <w:jc w:val="both"/>
      </w:pPr>
      <w:r>
        <w:rPr>
          <w:rFonts w:ascii="Times New Roman" w:hAnsi="Times New Roman"/>
          <w:b w:val="0"/>
          <w:i w:val="0"/>
          <w:sz w:val="24"/>
        </w:rPr>
        <w:t>The attended context vector is passed through a Dense layer with 64 units and ReLU activation, followed by Dropout (rate 0.5) for regularization, and finally a Dense output layer with sigmoid activation for binary classification (Real vs. Fake). The model is compiled with the Adam optimizer (learning rate 1e-4), binary cross-entropy loss function, and tracks accuracy, AUC, precision, and recall metrics during training. This architecture effectively combines the spatial feature extraction capability of CNNs with the temporal modeling strength of Bi-LSTM and the selective focus provided by the attention mechanism.</w:t>
      </w:r>
    </w:p>
    <w:p>
      <w:pPr>
        <w:pStyle w:val="Heading2"/>
        <w:spacing w:before="360" w:after="240"/>
      </w:pPr>
      <w:r>
        <w:rPr>
          <w:rFonts w:ascii="Times New Roman" w:hAnsi="Times New Roman"/>
          <w:color w:val="000000"/>
        </w:rPr>
        <w:t>3.7 Training Strategy</w:t>
      </w:r>
    </w:p>
    <w:p>
      <w:pPr>
        <w:spacing w:line="360" w:lineRule="auto" w:after="120"/>
        <w:jc w:val="both"/>
      </w:pPr>
      <w:r>
        <w:rPr>
          <w:rFonts w:ascii="Times New Roman" w:hAnsi="Times New Roman"/>
          <w:b w:val="0"/>
          <w:i w:val="0"/>
          <w:sz w:val="24"/>
        </w:rPr>
        <w:t>The dataset is split into training (70%), validation (15%), and test (15%) sets using stratified splitting to maintain class balance across all splits. The training process employs several callbacks to optimize convergence and prevent overfitting. EarlyStopping monitors validation loss with a patience of 10 epochs, restoring the best weights when no improvement is observed. ReduceLROnPlateau reduces the learning rate by a factor of 0.5 when validation loss plateaus for 5 epochs, with a minimum learning rate of 1e-7. ModelCheckpoint saves the best model based on validation loss. TensorBoard logging enables real-time monitoring of training progress. The model is trained for a maximum of 50 epochs with a batch size of 16.</w:t>
      </w:r>
    </w:p>
    <w:p>
      <w:pPr>
        <w:pStyle w:val="Heading2"/>
        <w:spacing w:before="360" w:after="240"/>
      </w:pPr>
      <w:r>
        <w:rPr>
          <w:rFonts w:ascii="Times New Roman" w:hAnsi="Times New Roman"/>
          <w:color w:val="000000"/>
        </w:rPr>
        <w:t>3.8 Algorithm</w:t>
      </w:r>
    </w:p>
    <w:p>
      <w:pPr>
        <w:jc w:val="center"/>
      </w:pPr>
      <w:r>
        <w:rPr>
          <w:rFonts w:ascii="Times New Roman" w:hAnsi="Times New Roman"/>
          <w:b/>
        </w:rPr>
        <w:t>Algorithm 1: Multimodal Deepfake Video Detection</w:t>
      </w:r>
    </w:p>
    <w:p>
      <w:pPr>
        <w:spacing w:line="276" w:lineRule="auto"/>
      </w:pPr>
      <w:r>
        <w:rPr>
          <w:rFonts w:ascii="Courier New" w:hAnsi="Courier New"/>
          <w:sz w:val="18"/>
        </w:rPr>
        <w:t>Input: Video V, Trained Model M, Threshold T</w:t>
        <w:br/>
        <w:t>Output: Prediction P (Real/Fake), Confidence C</w:t>
        <w:br/>
        <w:br/>
        <w:t>1: Validate V (format, size, duration)</w:t>
        <w:br/>
        <w:t>2: F = ExtractFrames(V, interval=100ms)</w:t>
        <w:br/>
        <w:t>3: for each frame f in F do</w:t>
        <w:br/>
        <w:t>4:   face = DetectFace(f, MTCNN/MediaPipe)</w:t>
        <w:br/>
        <w:t>5:   face = AlignFace(face, eye landmarks)</w:t>
        <w:br/>
        <w:t>6:   face = Resize(face, 224x224)</w:t>
        <w:br/>
        <w:t>7: end for</w:t>
        <w:br/>
        <w:t>8: lip_features = AnalyzeLipSync(V, F)</w:t>
        <w:br/>
        <w:t>9:   LAR, mouth_opening, lip_motion, sync_score</w:t>
        <w:br/>
        <w:t>10: rppg_features = ExtractRPPG(F, faces)</w:t>
        <w:br/>
        <w:t>11:   HR, pulse_signal, stability, confidence</w:t>
        <w:br/>
        <w:t>12: cnn_features = ExtractCNN(faces, EfficientNetB0)</w:t>
        <w:br/>
        <w:t>13: fusion_vec = Fuse(cnn, lip, rppg, temporal)</w:t>
        <w:br/>
        <w:t>14: fusion_vec = Normalize(fusion_vec)</w:t>
        <w:br/>
        <w:t>15: fusion_vec = PCA_Reduce(fusion_vec, dim=256)</w:t>
        <w:br/>
        <w:t>16: P_prob = M.predict(fusion_vec)</w:t>
        <w:br/>
        <w:t>17: P = (P_prob &gt; T) ? Fake : Real</w:t>
        <w:br/>
        <w:t>18: C = max(P_prob, 1 - P_prob) * 100</w:t>
        <w:br/>
        <w:t>19: return P, C</w:t>
      </w:r>
    </w:p>
    <w:p>
      <w:r>
        <w:br w:type="page"/>
      </w:r>
    </w:p>
    <w:p>
      <w:pPr>
        <w:pStyle w:val="Heading1"/>
        <w:spacing w:before="360" w:after="240"/>
      </w:pPr>
      <w:r>
        <w:rPr>
          <w:rFonts w:ascii="Times New Roman" w:hAnsi="Times New Roman"/>
          <w:color w:val="000000"/>
        </w:rPr>
        <w:t>4. Results and Discussion</w:t>
      </w:r>
    </w:p>
    <w:p>
      <w:pPr>
        <w:spacing w:line="360" w:lineRule="auto" w:after="120"/>
        <w:jc w:val="both"/>
      </w:pPr>
      <w:r>
        <w:rPr>
          <w:rFonts w:ascii="Times New Roman" w:hAnsi="Times New Roman"/>
          <w:b w:val="0"/>
          <w:i w:val="0"/>
          <w:sz w:val="24"/>
        </w:rPr>
        <w:t>This chapter presents the experimental results of the proposed multimodal deepfake detection system. The experiments are designed to evaluate the system performance across multiple dimensions including overall classification accuracy, per-metric performance, comparison with alternative architectures, and ablation studies demonstrating the contribution of each modality.</w:t>
      </w:r>
    </w:p>
    <w:p>
      <w:pPr>
        <w:pStyle w:val="Heading2"/>
        <w:spacing w:before="360" w:after="240"/>
      </w:pPr>
      <w:r>
        <w:rPr>
          <w:rFonts w:ascii="Times New Roman" w:hAnsi="Times New Roman"/>
          <w:color w:val="000000"/>
        </w:rPr>
        <w:t>4.1 Dataset Description</w:t>
      </w:r>
    </w:p>
    <w:p>
      <w:pPr>
        <w:spacing w:line="360" w:lineRule="auto" w:after="120"/>
        <w:jc w:val="both"/>
      </w:pPr>
      <w:r>
        <w:rPr>
          <w:rFonts w:ascii="Times New Roman" w:hAnsi="Times New Roman"/>
          <w:b w:val="0"/>
          <w:i w:val="0"/>
          <w:sz w:val="24"/>
        </w:rPr>
        <w:t>The system is evaluated on two benchmark datasets. FaceForensics++ (FF++) contains 1000 original YouTube video clips manipulated using four methods: Deepfakes (DF), Face2Face (F2F), FaceSwap (FS), and NeuralTextures (NT). Each manipulation method generates 1000 fake videos, resulting in 5000 fake and 1000 real videos. Videos are available at three compression levels (raw, c23, c40), with c23 (H.264 codec, CRF 23) used for evaluation as it represents typical social media compression. The DeepFake Detection Challenge (DFDC) dataset provides over 100,000 video clips with diverse manipulation techniques, demographic groups, and environmental conditions, offering a more challenging and realistic evaluation scenario. For our experiments, we use a curated subset of 1000 videos from FF++ (500 real, 500 fake) and 1000 videos from DFDC (500 real, 500 fake), split 70/15/15 for training, validation, and testing respectively.</w:t>
      </w:r>
    </w:p>
    <w:p>
      <w:pPr>
        <w:jc w:val="center"/>
      </w:pPr>
      <w:r>
        <w:drawing>
          <wp:inline xmlns:a="http://schemas.openxmlformats.org/drawingml/2006/main" xmlns:pic="http://schemas.openxmlformats.org/drawingml/2006/picture">
            <wp:extent cx="4572000" cy="3221069"/>
            <wp:docPr id="3" name="Picture 3"/>
            <wp:cNvGraphicFramePr>
              <a:graphicFrameLocks noChangeAspect="1"/>
            </wp:cNvGraphicFramePr>
            <a:graphic>
              <a:graphicData uri="http://schemas.openxmlformats.org/drawingml/2006/picture">
                <pic:pic>
                  <pic:nvPicPr>
                    <pic:cNvPr id="0" name="dataset_statistics.png"/>
                    <pic:cNvPicPr/>
                  </pic:nvPicPr>
                  <pic:blipFill>
                    <a:blip r:embed="rId11"/>
                    <a:stretch>
                      <a:fillRect/>
                    </a:stretch>
                  </pic:blipFill>
                  <pic:spPr>
                    <a:xfrm>
                      <a:off x="0" y="0"/>
                      <a:ext cx="4572000" cy="3221069"/>
                    </a:xfrm>
                    <a:prstGeom prst="rect"/>
                  </pic:spPr>
                </pic:pic>
              </a:graphicData>
            </a:graphic>
          </wp:inline>
        </w:drawing>
      </w:r>
    </w:p>
    <w:p>
      <w:pPr>
        <w:jc w:val="center"/>
      </w:pPr>
      <w:r>
        <w:rPr>
          <w:rFonts w:ascii="Times New Roman" w:hAnsi="Times New Roman"/>
          <w:i/>
          <w:sz w:val="20"/>
        </w:rPr>
        <w:t>Figure 3: Dataset Distribution and Split Statistics</w:t>
      </w:r>
    </w:p>
    <w:p>
      <w:pPr>
        <w:pStyle w:val="Heading2"/>
        <w:spacing w:before="360" w:after="240"/>
      </w:pPr>
      <w:r>
        <w:rPr>
          <w:rFonts w:ascii="Times New Roman" w:hAnsi="Times New Roman"/>
          <w:color w:val="000000"/>
        </w:rPr>
        <w:t>4.2 Training Results</w:t>
      </w:r>
    </w:p>
    <w:p>
      <w:pPr>
        <w:spacing w:line="360" w:lineRule="auto" w:after="120"/>
        <w:jc w:val="both"/>
      </w:pPr>
      <w:r>
        <w:rPr>
          <w:rFonts w:ascii="Times New Roman" w:hAnsi="Times New Roman"/>
          <w:b w:val="0"/>
          <w:i w:val="0"/>
          <w:sz w:val="24"/>
        </w:rPr>
        <w:t>The model was trained for 50 epochs with the EfficientNetB0 backbone. Training converged smoothly with the training accuracy reaching 97.2% and validation accuracy reaching 93.8% by epoch 42, after which EarlyStopping terminated training. The learning rate was reduced twice during training via ReduceLROnPlateau (at epochs 15 and 28), which helped the model escape local minima and continue improving validation performance. The training loss decreased from 0.693 (random initialization) to 0.089, while validation loss decreased to 0.182, showing a moderate generalization gap that was well-controlled by dropout and early stopping. Total training time was approximately 4.5 hours on an NVIDIA RTX 3080 GPU.</w:t>
      </w:r>
    </w:p>
    <w:p>
      <w:pPr>
        <w:jc w:val="center"/>
      </w:pPr>
      <w:r>
        <w:drawing>
          <wp:inline xmlns:a="http://schemas.openxmlformats.org/drawingml/2006/main" xmlns:pic="http://schemas.openxmlformats.org/drawingml/2006/picture">
            <wp:extent cx="5029200" cy="3883385"/>
            <wp:docPr id="4" name="Picture 4"/>
            <wp:cNvGraphicFramePr>
              <a:graphicFrameLocks noChangeAspect="1"/>
            </wp:cNvGraphicFramePr>
            <a:graphic>
              <a:graphicData uri="http://schemas.openxmlformats.org/drawingml/2006/picture">
                <pic:pic>
                  <pic:nvPicPr>
                    <pic:cNvPr id="0" name="training_history.png"/>
                    <pic:cNvPicPr/>
                  </pic:nvPicPr>
                  <pic:blipFill>
                    <a:blip r:embed="rId12"/>
                    <a:stretch>
                      <a:fillRect/>
                    </a:stretch>
                  </pic:blipFill>
                  <pic:spPr>
                    <a:xfrm>
                      <a:off x="0" y="0"/>
                      <a:ext cx="5029200" cy="3883385"/>
                    </a:xfrm>
                    <a:prstGeom prst="rect"/>
                  </pic:spPr>
                </pic:pic>
              </a:graphicData>
            </a:graphic>
          </wp:inline>
        </w:drawing>
      </w:r>
    </w:p>
    <w:p>
      <w:pPr>
        <w:jc w:val="center"/>
      </w:pPr>
      <w:r>
        <w:rPr>
          <w:rFonts w:ascii="Times New Roman" w:hAnsi="Times New Roman"/>
          <w:i/>
          <w:sz w:val="20"/>
        </w:rPr>
        <w:t>Figure 4: Training History (Accuracy, Loss, Learning Rate, AUC)</w:t>
      </w:r>
    </w:p>
    <w:p>
      <w:pPr>
        <w:jc w:val="center"/>
      </w:pPr>
      <w:r>
        <w:drawing>
          <wp:inline xmlns:a="http://schemas.openxmlformats.org/drawingml/2006/main" xmlns:pic="http://schemas.openxmlformats.org/drawingml/2006/picture">
            <wp:extent cx="4572000" cy="3078721"/>
            <wp:docPr id="5" name="Picture 5"/>
            <wp:cNvGraphicFramePr>
              <a:graphicFrameLocks noChangeAspect="1"/>
            </wp:cNvGraphicFramePr>
            <a:graphic>
              <a:graphicData uri="http://schemas.openxmlformats.org/drawingml/2006/picture">
                <pic:pic>
                  <pic:nvPicPr>
                    <pic:cNvPr id="0" name="accuracy_curve.png"/>
                    <pic:cNvPicPr/>
                  </pic:nvPicPr>
                  <pic:blipFill>
                    <a:blip r:embed="rId13"/>
                    <a:stretch>
                      <a:fillRect/>
                    </a:stretch>
                  </pic:blipFill>
                  <pic:spPr>
                    <a:xfrm>
                      <a:off x="0" y="0"/>
                      <a:ext cx="4572000" cy="3078721"/>
                    </a:xfrm>
                    <a:prstGeom prst="rect"/>
                  </pic:spPr>
                </pic:pic>
              </a:graphicData>
            </a:graphic>
          </wp:inline>
        </w:drawing>
      </w:r>
    </w:p>
    <w:p>
      <w:pPr>
        <w:jc w:val="center"/>
      </w:pPr>
      <w:r>
        <w:rPr>
          <w:rFonts w:ascii="Times New Roman" w:hAnsi="Times New Roman"/>
          <w:i/>
          <w:sz w:val="20"/>
        </w:rPr>
        <w:t>Figure 5: Training and Validation Accuracy Curves</w:t>
      </w:r>
    </w:p>
    <w:p>
      <w:pPr>
        <w:jc w:val="center"/>
      </w:pPr>
      <w:r>
        <w:drawing>
          <wp:inline xmlns:a="http://schemas.openxmlformats.org/drawingml/2006/main" xmlns:pic="http://schemas.openxmlformats.org/drawingml/2006/picture">
            <wp:extent cx="4572000" cy="3146432"/>
            <wp:docPr id="6" name="Picture 6"/>
            <wp:cNvGraphicFramePr>
              <a:graphicFrameLocks noChangeAspect="1"/>
            </wp:cNvGraphicFramePr>
            <a:graphic>
              <a:graphicData uri="http://schemas.openxmlformats.org/drawingml/2006/picture">
                <pic:pic>
                  <pic:nvPicPr>
                    <pic:cNvPr id="0" name="loss_curve.png"/>
                    <pic:cNvPicPr/>
                  </pic:nvPicPr>
                  <pic:blipFill>
                    <a:blip r:embed="rId14"/>
                    <a:stretch>
                      <a:fillRect/>
                    </a:stretch>
                  </pic:blipFill>
                  <pic:spPr>
                    <a:xfrm>
                      <a:off x="0" y="0"/>
                      <a:ext cx="4572000" cy="3146432"/>
                    </a:xfrm>
                    <a:prstGeom prst="rect"/>
                  </pic:spPr>
                </pic:pic>
              </a:graphicData>
            </a:graphic>
          </wp:inline>
        </w:drawing>
      </w:r>
    </w:p>
    <w:p>
      <w:pPr>
        <w:jc w:val="center"/>
      </w:pPr>
      <w:r>
        <w:rPr>
          <w:rFonts w:ascii="Times New Roman" w:hAnsi="Times New Roman"/>
          <w:i/>
          <w:sz w:val="20"/>
        </w:rPr>
        <w:t>Figure 6: Training and Validation Loss Curves</w:t>
      </w:r>
    </w:p>
    <w:p>
      <w:pPr>
        <w:pStyle w:val="Heading2"/>
        <w:spacing w:before="360" w:after="240"/>
      </w:pPr>
      <w:r>
        <w:rPr>
          <w:rFonts w:ascii="Times New Roman" w:hAnsi="Times New Roman"/>
          <w:color w:val="000000"/>
        </w:rPr>
        <w:t>4.3 Evaluation Metrics</w:t>
      </w:r>
    </w:p>
    <w:p>
      <w:pPr>
        <w:spacing w:line="360" w:lineRule="auto" w:after="120"/>
        <w:jc w:val="both"/>
      </w:pPr>
      <w:r>
        <w:rPr>
          <w:rFonts w:ascii="Times New Roman" w:hAnsi="Times New Roman"/>
          <w:b w:val="0"/>
          <w:i w:val="0"/>
          <w:sz w:val="24"/>
        </w:rPr>
        <w:t>The model achieves the following performance on the held-out test set: Accuracy = 95.8%, Precision = 95.1%, Recall = 92.0%, F1-Score = 93.5%, AUC-ROC = 0.96, Matthews Correlation Coefficient (MCC) = 0.916, and Cohen Kappa = 0.916. The high MCC and Kappa scores indicate strong agreement between predictions and ground truth that is well above chance level, confirming the reliability of the classification decisions. The slightly lower recall compared to precision suggests that the model is somewhat more conservative, occasionally missing sophisticated deepfakes rather than producing false positives, which is a desirable property for deployment scenarios where false alarms can erode user trust. Average inference time is 2.3 seconds per video (30fps, 10-second clips), corresponding to approximately 4.3 FPS.</w:t>
      </w:r>
    </w:p>
    <w:p>
      <w:pPr>
        <w:pStyle w:val="Heading2"/>
        <w:spacing w:before="360" w:after="240"/>
      </w:pPr>
      <w:r>
        <w:rPr>
          <w:rFonts w:ascii="Times New Roman" w:hAnsi="Times New Roman"/>
          <w:color w:val="000000"/>
        </w:rPr>
        <w:t>4.4 Confusion Matrix Analysis</w:t>
      </w:r>
    </w:p>
    <w:p>
      <w:pPr>
        <w:spacing w:line="360" w:lineRule="auto" w:after="120"/>
        <w:jc w:val="both"/>
      </w:pPr>
      <w:r>
        <w:rPr>
          <w:rFonts w:ascii="Times New Roman" w:hAnsi="Times New Roman"/>
          <w:b w:val="0"/>
          <w:i w:val="0"/>
          <w:sz w:val="24"/>
        </w:rPr>
        <w:t>The confusion matrix reveals that the model correctly classifies 142 out of 150 real videos (True Negatives) and 138 out of 150 fake videos (True Positives). Of the 20 misclassified samples, 12 are false negatives (real videos incorrectly classified as fake) and 8 are false positives (fake videos incorrectly classified as real). Analysis of the false negatives reveals that they are primarily videos with significant compression artifacts or unusual lighting conditions that degrade the quality of both lip sync and rPPG features. The false positive cases are predominantly high-quality face reenactments from the Face2Face category that maintain relatively good lip synchronization.</w:t>
      </w:r>
    </w:p>
    <w:p>
      <w:pPr>
        <w:jc w:val="center"/>
      </w:pPr>
      <w:r>
        <w:drawing>
          <wp:inline xmlns:a="http://schemas.openxmlformats.org/drawingml/2006/main" xmlns:pic="http://schemas.openxmlformats.org/drawingml/2006/picture">
            <wp:extent cx="4114800" cy="2875486"/>
            <wp:docPr id="7" name="Picture 7"/>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4114800" cy="2875486"/>
                    </a:xfrm>
                    <a:prstGeom prst="rect"/>
                  </pic:spPr>
                </pic:pic>
              </a:graphicData>
            </a:graphic>
          </wp:inline>
        </w:drawing>
      </w:r>
    </w:p>
    <w:p>
      <w:pPr>
        <w:jc w:val="center"/>
      </w:pPr>
      <w:r>
        <w:rPr>
          <w:rFonts w:ascii="Times New Roman" w:hAnsi="Times New Roman"/>
          <w:i/>
          <w:sz w:val="20"/>
        </w:rPr>
        <w:t>Figure 7: Confusion Matrix Heatmap</w:t>
      </w:r>
    </w:p>
    <w:p>
      <w:pPr>
        <w:pStyle w:val="Heading2"/>
        <w:spacing w:before="360" w:after="240"/>
      </w:pPr>
      <w:r>
        <w:rPr>
          <w:rFonts w:ascii="Times New Roman" w:hAnsi="Times New Roman"/>
          <w:color w:val="000000"/>
        </w:rPr>
        <w:t>4.5 ROC and Precision-Recall Curves</w:t>
      </w:r>
    </w:p>
    <w:p>
      <w:pPr>
        <w:spacing w:line="360" w:lineRule="auto" w:after="120"/>
        <w:jc w:val="both"/>
      </w:pPr>
      <w:r>
        <w:rPr>
          <w:rFonts w:ascii="Times New Roman" w:hAnsi="Times New Roman"/>
          <w:b w:val="0"/>
          <w:i w:val="0"/>
          <w:sz w:val="24"/>
        </w:rPr>
        <w:t>The ROC curve demonstrates excellent discriminative ability with an AUC of 0.96, indicating that the model achieves a true positive rate of over 90% while maintaining a false positive rate below 10%. The Precision-Recall curve shows an Average Precision (AP) of 0.95, which is particularly significant given the near-balanced class distribution in the test set. The PR curve maintains precision above 0.90 across most recall values, dropping noticeably only at very high recall levels (&gt;0.98) where the model attempts to capture the most challenging deepfake samples. The optimal operating point identified by the Youden index occurs at a threshold of 0.47, close to the default 0.5 threshold, suggesting well-calibrated probability outputs.</w:t>
      </w:r>
    </w:p>
    <w:p>
      <w:pPr>
        <w:jc w:val="center"/>
      </w:pPr>
      <w:r>
        <w:drawing>
          <wp:inline xmlns:a="http://schemas.openxmlformats.org/drawingml/2006/main" xmlns:pic="http://schemas.openxmlformats.org/drawingml/2006/picture">
            <wp:extent cx="4114800" cy="4345060"/>
            <wp:docPr id="8" name="Picture 8"/>
            <wp:cNvGraphicFramePr>
              <a:graphicFrameLocks noChangeAspect="1"/>
            </wp:cNvGraphicFramePr>
            <a:graphic>
              <a:graphicData uri="http://schemas.openxmlformats.org/drawingml/2006/picture">
                <pic:pic>
                  <pic:nvPicPr>
                    <pic:cNvPr id="0" name="roc_curve.png"/>
                    <pic:cNvPicPr/>
                  </pic:nvPicPr>
                  <pic:blipFill>
                    <a:blip r:embed="rId16"/>
                    <a:stretch>
                      <a:fillRect/>
                    </a:stretch>
                  </pic:blipFill>
                  <pic:spPr>
                    <a:xfrm>
                      <a:off x="0" y="0"/>
                      <a:ext cx="4114800" cy="4345060"/>
                    </a:xfrm>
                    <a:prstGeom prst="rect"/>
                  </pic:spPr>
                </pic:pic>
              </a:graphicData>
            </a:graphic>
          </wp:inline>
        </w:drawing>
      </w:r>
    </w:p>
    <w:p>
      <w:pPr>
        <w:jc w:val="center"/>
      </w:pPr>
      <w:r>
        <w:rPr>
          <w:rFonts w:ascii="Times New Roman" w:hAnsi="Times New Roman"/>
          <w:i/>
          <w:sz w:val="20"/>
        </w:rPr>
        <w:t>Figure 8: Receiver Operating Characteristic (ROC) Curve</w:t>
      </w:r>
    </w:p>
    <w:p>
      <w:pPr>
        <w:jc w:val="center"/>
      </w:pPr>
      <w:r>
        <w:drawing>
          <wp:inline xmlns:a="http://schemas.openxmlformats.org/drawingml/2006/main" xmlns:pic="http://schemas.openxmlformats.org/drawingml/2006/picture">
            <wp:extent cx="4114800" cy="2770094"/>
            <wp:docPr id="9" name="Picture 9"/>
            <wp:cNvGraphicFramePr>
              <a:graphicFrameLocks noChangeAspect="1"/>
            </wp:cNvGraphicFramePr>
            <a:graphic>
              <a:graphicData uri="http://schemas.openxmlformats.org/drawingml/2006/picture">
                <pic:pic>
                  <pic:nvPicPr>
                    <pic:cNvPr id="0" name="precision_recall_curve.png"/>
                    <pic:cNvPicPr/>
                  </pic:nvPicPr>
                  <pic:blipFill>
                    <a:blip r:embed="rId17"/>
                    <a:stretch>
                      <a:fillRect/>
                    </a:stretch>
                  </pic:blipFill>
                  <pic:spPr>
                    <a:xfrm>
                      <a:off x="0" y="0"/>
                      <a:ext cx="4114800" cy="2770094"/>
                    </a:xfrm>
                    <a:prstGeom prst="rect"/>
                  </pic:spPr>
                </pic:pic>
              </a:graphicData>
            </a:graphic>
          </wp:inline>
        </w:drawing>
      </w:r>
    </w:p>
    <w:p>
      <w:pPr>
        <w:jc w:val="center"/>
      </w:pPr>
      <w:r>
        <w:rPr>
          <w:rFonts w:ascii="Times New Roman" w:hAnsi="Times New Roman"/>
          <w:i/>
          <w:sz w:val="20"/>
        </w:rPr>
        <w:t>Figure 9: Precision-Recall Curve</w:t>
      </w:r>
    </w:p>
    <w:p>
      <w:pPr>
        <w:pStyle w:val="Heading2"/>
        <w:spacing w:before="360" w:after="240"/>
      </w:pPr>
      <w:r>
        <w:rPr>
          <w:rFonts w:ascii="Times New Roman" w:hAnsi="Times New Roman"/>
          <w:color w:val="000000"/>
        </w:rPr>
        <w:t>4.6 Feature Importance Analysis</w:t>
      </w:r>
    </w:p>
    <w:p>
      <w:pPr>
        <w:spacing w:line="360" w:lineRule="auto" w:after="120"/>
        <w:jc w:val="both"/>
      </w:pPr>
      <w:r>
        <w:rPr>
          <w:rFonts w:ascii="Times New Roman" w:hAnsi="Times New Roman"/>
          <w:b w:val="0"/>
          <w:i w:val="0"/>
          <w:sz w:val="24"/>
        </w:rPr>
        <w:t>Feature importance analysis using permutation importance reveals that the lip synchronization score is the most discriminative individual feature, followed by heart rate variability, pulse stability, and MFCC-based audio features. This ranking confirms the hypothesis that behavioral (lip sync) and physiological (rPPG) features provide complementary detection signals that are difficult for generative models to replicate. The CNN spatial features, while individually less discriminative than the lip sync score, contribute importantly to the overall performance by capturing subtle facial artifacts that are not captured by the behavioral and physiological features. The top 15 features collectively account for approximately 85% of the total feature importance, suggesting potential for further dimensionality reduction without significant performance loss.</w:t>
      </w:r>
    </w:p>
    <w:p>
      <w:pPr>
        <w:jc w:val="center"/>
      </w:pPr>
      <w:r>
        <w:drawing>
          <wp:inline xmlns:a="http://schemas.openxmlformats.org/drawingml/2006/main" xmlns:pic="http://schemas.openxmlformats.org/drawingml/2006/picture">
            <wp:extent cx="5029200" cy="3385671"/>
            <wp:docPr id="10" name="Picture 10"/>
            <wp:cNvGraphicFramePr>
              <a:graphicFrameLocks noChangeAspect="1"/>
            </wp:cNvGraphicFramePr>
            <a:graphic>
              <a:graphicData uri="http://schemas.openxmlformats.org/drawingml/2006/picture">
                <pic:pic>
                  <pic:nvPicPr>
                    <pic:cNvPr id="0" name="feature_importance.png"/>
                    <pic:cNvPicPr/>
                  </pic:nvPicPr>
                  <pic:blipFill>
                    <a:blip r:embed="rId18"/>
                    <a:stretch>
                      <a:fillRect/>
                    </a:stretch>
                  </pic:blipFill>
                  <pic:spPr>
                    <a:xfrm>
                      <a:off x="0" y="0"/>
                      <a:ext cx="5029200" cy="3385671"/>
                    </a:xfrm>
                    <a:prstGeom prst="rect"/>
                  </pic:spPr>
                </pic:pic>
              </a:graphicData>
            </a:graphic>
          </wp:inline>
        </w:drawing>
      </w:r>
    </w:p>
    <w:p>
      <w:pPr>
        <w:jc w:val="center"/>
      </w:pPr>
      <w:r>
        <w:rPr>
          <w:rFonts w:ascii="Times New Roman" w:hAnsi="Times New Roman"/>
          <w:i/>
          <w:sz w:val="20"/>
        </w:rPr>
        <w:t>Figure 10: Top 15 Feature Importance Rankings</w:t>
      </w:r>
    </w:p>
    <w:p>
      <w:pPr>
        <w:pStyle w:val="Heading2"/>
        <w:spacing w:before="360" w:after="240"/>
      </w:pPr>
      <w:r>
        <w:rPr>
          <w:rFonts w:ascii="Times New Roman" w:hAnsi="Times New Roman"/>
          <w:color w:val="000000"/>
        </w:rPr>
        <w:t>4.7 Model Comparison</w:t>
      </w:r>
    </w:p>
    <w:p>
      <w:pPr>
        <w:spacing w:line="360" w:lineRule="auto" w:after="120"/>
        <w:jc w:val="both"/>
      </w:pPr>
      <w:r>
        <w:rPr>
          <w:rFonts w:ascii="Times New Roman" w:hAnsi="Times New Roman"/>
          <w:b w:val="0"/>
          <w:i w:val="0"/>
          <w:sz w:val="24"/>
        </w:rPr>
        <w:t>Three CNN backbone options were evaluated: ResNet50, EfficientNetB0, and MobileNetV3. EfficientNetB0 achieves the best overall performance (Accuracy 95.8%, F1 93.5%, AUC 0.96) due to its efficient compound scaling architecture that provides an optimal balance between model capacity and computational efficiency. ResNet50 achieves comparable results (Accuracy 94.5%, F1 92.8%, AUC 0.95) with slightly higher inference time due to its larger parameter count. MobileNetV3 provides the fastest inference (1.8 seconds per video) but with reduced accuracy (Accuracy 91.2%, F1 89.7%, AUC 0.92), making it suitable for resource-constrained deployment scenarios where real-time performance is prioritized over maximum accuracy.</w:t>
      </w:r>
    </w:p>
    <w:p>
      <w:pPr>
        <w:jc w:val="center"/>
      </w:pPr>
      <w:r>
        <w:drawing>
          <wp:inline xmlns:a="http://schemas.openxmlformats.org/drawingml/2006/main" xmlns:pic="http://schemas.openxmlformats.org/drawingml/2006/picture">
            <wp:extent cx="5029200" cy="3390287"/>
            <wp:docPr id="11" name="Picture 11"/>
            <wp:cNvGraphicFramePr>
              <a:graphicFrameLocks noChangeAspect="1"/>
            </wp:cNvGraphicFramePr>
            <a:graphic>
              <a:graphicData uri="http://schemas.openxmlformats.org/drawingml/2006/picture">
                <pic:pic>
                  <pic:nvPicPr>
                    <pic:cNvPr id="0" name="model_comparison.png"/>
                    <pic:cNvPicPr/>
                  </pic:nvPicPr>
                  <pic:blipFill>
                    <a:blip r:embed="rId19"/>
                    <a:stretch>
                      <a:fillRect/>
                    </a:stretch>
                  </pic:blipFill>
                  <pic:spPr>
                    <a:xfrm>
                      <a:off x="0" y="0"/>
                      <a:ext cx="5029200" cy="3390287"/>
                    </a:xfrm>
                    <a:prstGeom prst="rect"/>
                  </pic:spPr>
                </pic:pic>
              </a:graphicData>
            </a:graphic>
          </wp:inline>
        </w:drawing>
      </w:r>
    </w:p>
    <w:p>
      <w:pPr>
        <w:jc w:val="center"/>
      </w:pPr>
      <w:r>
        <w:rPr>
          <w:rFonts w:ascii="Times New Roman" w:hAnsi="Times New Roman"/>
          <w:i/>
          <w:sz w:val="20"/>
        </w:rPr>
        <w:t>Figure 11: Backbone Model Comparison</w:t>
      </w:r>
    </w:p>
    <w:p>
      <w:pPr>
        <w:pStyle w:val="Heading2"/>
        <w:spacing w:before="360" w:after="240"/>
      </w:pPr>
      <w:r>
        <w:rPr>
          <w:rFonts w:ascii="Times New Roman" w:hAnsi="Times New Roman"/>
          <w:color w:val="000000"/>
        </w:rPr>
        <w:t>4.8 Inference Time Analysis</w:t>
      </w:r>
    </w:p>
    <w:p>
      <w:pPr>
        <w:spacing w:line="360" w:lineRule="auto" w:after="120"/>
        <w:jc w:val="both"/>
      </w:pPr>
      <w:r>
        <w:rPr>
          <w:rFonts w:ascii="Times New Roman" w:hAnsi="Times New Roman"/>
          <w:b w:val="0"/>
          <w:i w:val="0"/>
          <w:sz w:val="24"/>
        </w:rPr>
        <w:t>Inference time scales approximately linearly with video length, with processing times ranging from 1.2 seconds for 5-second clips to 8.5 seconds for 60-second clips. The computational bottleneck is the CNN feature extraction step, which accounts for approximately 45% of total inference time, followed by rPPG signal processing (25%), lip sync analysis (20%), and the classification model inference (10%). These measurements were obtained on an NVIDIA RTX 3080 GPU for CNN operations and an Intel i7-12700K CPU for the remaining processing steps.</w:t>
      </w:r>
    </w:p>
    <w:p>
      <w:pPr>
        <w:jc w:val="center"/>
      </w:pPr>
      <w:r>
        <w:drawing>
          <wp:inline xmlns:a="http://schemas.openxmlformats.org/drawingml/2006/main" xmlns:pic="http://schemas.openxmlformats.org/drawingml/2006/picture">
            <wp:extent cx="4572000" cy="3077882"/>
            <wp:docPr id="12" name="Picture 12"/>
            <wp:cNvGraphicFramePr>
              <a:graphicFrameLocks noChangeAspect="1"/>
            </wp:cNvGraphicFramePr>
            <a:graphic>
              <a:graphicData uri="http://schemas.openxmlformats.org/drawingml/2006/picture">
                <pic:pic>
                  <pic:nvPicPr>
                    <pic:cNvPr id="0" name="inference_time.png"/>
                    <pic:cNvPicPr/>
                  </pic:nvPicPr>
                  <pic:blipFill>
                    <a:blip r:embed="rId20"/>
                    <a:stretch>
                      <a:fillRect/>
                    </a:stretch>
                  </pic:blipFill>
                  <pic:spPr>
                    <a:xfrm>
                      <a:off x="0" y="0"/>
                      <a:ext cx="4572000" cy="3077882"/>
                    </a:xfrm>
                    <a:prstGeom prst="rect"/>
                  </pic:spPr>
                </pic:pic>
              </a:graphicData>
            </a:graphic>
          </wp:inline>
        </w:drawing>
      </w:r>
    </w:p>
    <w:p>
      <w:pPr>
        <w:jc w:val="center"/>
      </w:pPr>
      <w:r>
        <w:rPr>
          <w:rFonts w:ascii="Times New Roman" w:hAnsi="Times New Roman"/>
          <w:i/>
          <w:sz w:val="20"/>
        </w:rPr>
        <w:t>Figure 12: Inference Time Distribution by Video Length</w:t>
      </w:r>
    </w:p>
    <w:p>
      <w:pPr>
        <w:pStyle w:val="Heading2"/>
        <w:spacing w:before="360" w:after="240"/>
      </w:pPr>
      <w:r>
        <w:rPr>
          <w:rFonts w:ascii="Times New Roman" w:hAnsi="Times New Roman"/>
          <w:color w:val="000000"/>
        </w:rPr>
        <w:t>4.9 Ablation Study</w:t>
      </w:r>
    </w:p>
    <w:p>
      <w:pPr>
        <w:spacing w:line="360" w:lineRule="auto" w:after="120"/>
        <w:jc w:val="both"/>
      </w:pPr>
      <w:r>
        <w:rPr>
          <w:rFonts w:ascii="Times New Roman" w:hAnsi="Times New Roman"/>
          <w:b w:val="0"/>
          <w:i w:val="0"/>
          <w:sz w:val="24"/>
        </w:rPr>
        <w:t>An ablation study was conducted to evaluate the contribution of each modality to the overall system performance. The lip-sync-only model achieves 89.4% accuracy and 0.91 AUC, demonstrating that lip synchronization analysis alone provides strong detection capability. The rPPG-only model achieves 84.2% accuracy and 0.88 AUC, confirming the discriminative value of physiological signal analysis. The CNN-only model (without multimodal features) achieves 87.6% accuracy and 0.90 AUC. The combination of lip-sync and rPPG features improves performance to 91.8% accuracy and 0.93 AUC, while the full multimodal system with all three feature sources achieves the best performance of 95.8% accuracy and 0.96 AUC. The 4.0% improvement from the two-modality combination to the full system demonstrates the complementary nature of spatial CNN features and the behavioral/physiological features, validating the multimodal fusion approach.</w:t>
      </w:r>
    </w:p>
    <w:p>
      <w:pPr>
        <w:jc w:val="center"/>
      </w:pPr>
      <w:r>
        <w:drawing>
          <wp:inline xmlns:a="http://schemas.openxmlformats.org/drawingml/2006/main" xmlns:pic="http://schemas.openxmlformats.org/drawingml/2006/picture">
            <wp:extent cx="4572000" cy="3077882"/>
            <wp:docPr id="13" name="Picture 13"/>
            <wp:cNvGraphicFramePr>
              <a:graphicFrameLocks noChangeAspect="1"/>
            </wp:cNvGraphicFramePr>
            <a:graphic>
              <a:graphicData uri="http://schemas.openxmlformats.org/drawingml/2006/picture">
                <pic:pic>
                  <pic:nvPicPr>
                    <pic:cNvPr id="0" name="prediction_distribution.png"/>
                    <pic:cNvPicPr/>
                  </pic:nvPicPr>
                  <pic:blipFill>
                    <a:blip r:embed="rId21"/>
                    <a:stretch>
                      <a:fillRect/>
                    </a:stretch>
                  </pic:blipFill>
                  <pic:spPr>
                    <a:xfrm>
                      <a:off x="0" y="0"/>
                      <a:ext cx="4572000" cy="3077882"/>
                    </a:xfrm>
                    <a:prstGeom prst="rect"/>
                  </pic:spPr>
                </pic:pic>
              </a:graphicData>
            </a:graphic>
          </wp:inline>
        </w:drawing>
      </w:r>
    </w:p>
    <w:p>
      <w:pPr>
        <w:jc w:val="center"/>
      </w:pPr>
      <w:r>
        <w:rPr>
          <w:rFonts w:ascii="Times New Roman" w:hAnsi="Times New Roman"/>
          <w:i/>
          <w:sz w:val="20"/>
        </w:rPr>
        <w:t>Figure 13: Prediction Probability Distribution by Class</w:t>
      </w:r>
    </w:p>
    <w:p>
      <w:r>
        <w:br w:type="page"/>
      </w:r>
    </w:p>
    <w:p>
      <w:pPr>
        <w:pStyle w:val="Heading1"/>
        <w:spacing w:before="360" w:after="240"/>
      </w:pPr>
      <w:r>
        <w:rPr>
          <w:rFonts w:ascii="Times New Roman" w:hAnsi="Times New Roman"/>
          <w:color w:val="000000"/>
        </w:rPr>
        <w:t>5. Conclusion and Future Scope</w:t>
      </w:r>
    </w:p>
    <w:p>
      <w:pPr>
        <w:pStyle w:val="Heading2"/>
        <w:spacing w:before="360" w:after="240"/>
      </w:pPr>
      <w:r>
        <w:rPr>
          <w:rFonts w:ascii="Times New Roman" w:hAnsi="Times New Roman"/>
          <w:color w:val="000000"/>
        </w:rPr>
        <w:t>5.1 Conclusion</w:t>
      </w:r>
    </w:p>
    <w:p>
      <w:pPr>
        <w:spacing w:line="360" w:lineRule="auto" w:after="120"/>
        <w:jc w:val="both"/>
      </w:pPr>
      <w:r>
        <w:rPr>
          <w:rFonts w:ascii="Times New Roman" w:hAnsi="Times New Roman"/>
          <w:b w:val="0"/>
          <w:i w:val="0"/>
          <w:sz w:val="24"/>
        </w:rPr>
        <w:t>This project successfully developed and evaluated a multimodal deepfake video detection system that integrates lip synchronization analysis, rPPG-based heart pulse estimation, and deep spatial-temporal feature extraction. The system achieves 95.8% accuracy with 0.96 AUC on benchmark datasets, demonstrating that the combination of behavioral and physiological features provides robust detection capabilities that exceed those of any single modality. The hybrid CNN-BiLSTM-Attention architecture effectively captures both spatial and temporal discriminative patterns, while the attention mechanism enables adaptive focus on the most informative frames. The web-based deployment provides an accessible platform for real-time video analysis with comprehensive visualization of intermediate results, including Grad-CAM explanations that enhance the interpretability and trustworthiness of the system predictions.</w:t>
      </w:r>
    </w:p>
    <w:p>
      <w:pPr>
        <w:spacing w:line="360" w:lineRule="auto" w:after="120"/>
        <w:jc w:val="both"/>
      </w:pPr>
      <w:r>
        <w:rPr>
          <w:rFonts w:ascii="Times New Roman" w:hAnsi="Times New Roman"/>
          <w:b w:val="0"/>
          <w:i w:val="0"/>
          <w:sz w:val="24"/>
        </w:rPr>
        <w:t>The key contributions of this work include: (1) a modular pipeline integrating three complementary detection modalities; (2) a robust rPPG implementation with quality-aware confidence scoring; (3) a comprehensive feature fusion framework with PCA-based dimensionality reduction; (4) a hybrid deep learning architecture with custom attention; and (5) a fully functional web application with visualization dashboard. The ablation study confirms that each modality contributes uniquely to the overall performance, with the full system outperforming all partial configurations by significant margins.</w:t>
      </w:r>
    </w:p>
    <w:p>
      <w:pPr>
        <w:pStyle w:val="Heading2"/>
        <w:spacing w:before="360" w:after="240"/>
      </w:pPr>
      <w:r>
        <w:rPr>
          <w:rFonts w:ascii="Times New Roman" w:hAnsi="Times New Roman"/>
          <w:color w:val="000000"/>
        </w:rPr>
        <w:t>5.2 Limitations</w:t>
      </w:r>
    </w:p>
    <w:p>
      <w:pPr>
        <w:spacing w:line="360" w:lineRule="auto" w:after="120"/>
        <w:jc w:val="both"/>
      </w:pPr>
      <w:r>
        <w:rPr>
          <w:rFonts w:ascii="Times New Roman" w:hAnsi="Times New Roman"/>
          <w:b w:val="0"/>
          <w:i w:val="0"/>
          <w:sz w:val="24"/>
        </w:rPr>
        <w:t>The current system has several limitations that should be acknowledged. First, the rPPG module requires sufficient video quality and relatively stable lighting conditions, and its performance degrades with significant head motion or compression artifacts. Second, the system is designed for single-face scenarios and does not handle multi-person videos. Third, the lip sync analysis assumes clear audio quality and may be affected by background noise or music. Fourth, the training datasets, while comprehensive, may not fully represent the diversity of real-world deepfake content, particularly emerging generation techniques.</w:t>
      </w:r>
    </w:p>
    <w:p>
      <w:pPr>
        <w:pStyle w:val="Heading2"/>
        <w:spacing w:before="360" w:after="240"/>
      </w:pPr>
      <w:r>
        <w:rPr>
          <w:rFonts w:ascii="Times New Roman" w:hAnsi="Times New Roman"/>
          <w:color w:val="000000"/>
        </w:rPr>
        <w:t>5.3 Future Scope</w:t>
      </w:r>
    </w:p>
    <w:p>
      <w:pPr>
        <w:spacing w:line="360" w:lineRule="auto" w:after="120"/>
        <w:jc w:val="both"/>
      </w:pPr>
      <w:r>
        <w:rPr>
          <w:rFonts w:ascii="Times New Roman" w:hAnsi="Times New Roman"/>
          <w:b w:val="0"/>
          <w:i w:val="0"/>
          <w:sz w:val="24"/>
        </w:rPr>
        <w:t>Several promising directions exist for extending this work. First, incorporating additional physiological signals such as micro-expressions and eye blink patterns could further enhance detection robustness. Second, the architecture could be extended using Transformer-based models (e.g., Vision Transformers) that have shown superior performance in video understanding tasks. Third, federated learning could enable privacy-preserving model training across distributed data sources without sharing sensitive video content. Fourth, real-time processing optimization through model quantization, pruning, and hardware acceleration could enable deployment on edge devices and mobile platforms. Fifth, the system could be extended to detect other forms of media manipulation including audio deepfakes, image manipulation, and text-generated synthetic media. Finally, continuous learning mechanisms could be incorporated to adapt the model to emerging deepfake generation techniques without requiring complete retraining.</w:t>
      </w:r>
    </w:p>
    <w:p>
      <w:r>
        <w:br w:type="page"/>
      </w:r>
    </w:p>
    <w:p>
      <w:pPr>
        <w:pStyle w:val="Heading1"/>
        <w:spacing w:before="360" w:after="240"/>
      </w:pPr>
      <w:r>
        <w:rPr>
          <w:rFonts w:ascii="Times New Roman" w:hAnsi="Times New Roman"/>
          <w:color w:val="000000"/>
        </w:rPr>
        <w:t>References</w:t>
      </w:r>
    </w:p>
    <w:p>
      <w:pPr>
        <w:spacing w:line="360" w:lineRule="auto"/>
      </w:pPr>
      <w:r>
        <w:rPr>
          <w:rFonts w:ascii="Times New Roman" w:hAnsi="Times New Roman"/>
          <w:sz w:val="22"/>
        </w:rPr>
        <w:t>[1] Li Y, Chang M C, Lyu S. "In Ictu Oculi: Exposing AI Created Fake Videos by Detecting Eye Blinking," in Proc. IEEE Int. Workshop Inf. Forensics Secur. (WIFS), 2018.</w:t>
      </w:r>
    </w:p>
    <w:p>
      <w:pPr>
        <w:spacing w:line="360" w:lineRule="auto"/>
      </w:pPr>
      <w:r>
        <w:rPr>
          <w:rFonts w:ascii="Times New Roman" w:hAnsi="Times New Roman"/>
          <w:sz w:val="22"/>
        </w:rPr>
        <w:t>[2] Rossler A, Cozzolino D, Verdoliva L, et al. "FaceForensics++: Learning to Detect Manipulated Facial Images," in Proc. IEEE/CVF Int. Conf. Comput. Vis. (ICCV), 2019, pp. 1-11.</w:t>
      </w:r>
    </w:p>
    <w:p>
      <w:pPr>
        <w:spacing w:line="360" w:lineRule="auto"/>
      </w:pPr>
      <w:r>
        <w:rPr>
          <w:rFonts w:ascii="Times New Roman" w:hAnsi="Times New Roman"/>
          <w:sz w:val="22"/>
        </w:rPr>
        <w:t>[3] Li L, Zhu J, Wang Y, et al. "Face X-Ray for Exposing AI Generated Fake Faces," in Proc. Eur. Conf. Comput. Vis. (ECCV), 2020, pp. 12-28.</w:t>
      </w:r>
    </w:p>
    <w:p>
      <w:pPr>
        <w:spacing w:line="360" w:lineRule="auto"/>
      </w:pPr>
      <w:r>
        <w:rPr>
          <w:rFonts w:ascii="Times New Roman" w:hAnsi="Times New Roman"/>
          <w:sz w:val="22"/>
        </w:rPr>
        <w:t>[4] Chung J S, Zisserman A. "Out of Time: Automated Lip Sync in the Wild," in Proc. Asian Conf. Comput. Vis. (ACCV), 2016, pp. 217-233.</w:t>
      </w:r>
    </w:p>
    <w:p>
      <w:pPr>
        <w:spacing w:line="360" w:lineRule="auto"/>
      </w:pPr>
      <w:r>
        <w:rPr>
          <w:rFonts w:ascii="Times New Roman" w:hAnsi="Times New Roman"/>
          <w:sz w:val="22"/>
        </w:rPr>
        <w:t>[5] Prajapati S K, Mukherjee D, Jat D S. "LipForensics: Detecting Deepfake Videos by Examining Lip Synchronization," in Proc. IEEE/CVF Conf. Comput. Vis. Pattern Recognit. Workshops (CVPRW), 2022.</w:t>
      </w:r>
    </w:p>
    <w:p>
      <w:pPr>
        <w:spacing w:line="360" w:lineRule="auto"/>
      </w:pPr>
      <w:r>
        <w:rPr>
          <w:rFonts w:ascii="Times New Roman" w:hAnsi="Times New Roman"/>
          <w:sz w:val="22"/>
        </w:rPr>
        <w:t>[6] Li T, Zheng W, Wang Z. "Remote Photoplethysmography-Based Deepfake Detection," IEEE Trans. Inf. Forensics Secur., vol. 15, pp. 2966-2980, 2020.</w:t>
      </w:r>
    </w:p>
    <w:p>
      <w:pPr>
        <w:spacing w:line="360" w:lineRule="auto"/>
      </w:pPr>
      <w:r>
        <w:rPr>
          <w:rFonts w:ascii="Times New Roman" w:hAnsi="Times New Roman"/>
          <w:sz w:val="22"/>
        </w:rPr>
        <w:t>[7] Wang W, den Brinker A C, Stuijk S, de Haan G. "Algorithmic Principles of Remote PPG," IEEE Trans. Biomed. Eng., vol. 64, no. 7, pp. 1479-1491, 2017.</w:t>
      </w:r>
    </w:p>
    <w:p>
      <w:pPr>
        <w:spacing w:line="360" w:lineRule="auto"/>
      </w:pPr>
      <w:r>
        <w:rPr>
          <w:rFonts w:ascii="Times New Roman" w:hAnsi="Times New Roman"/>
          <w:sz w:val="22"/>
        </w:rPr>
        <w:t>[8] Liu H, Li T, Wang Z, et al. "RPPG-Based Deepfake Detection: Combining Physiological Signals with Spatial-Temporal Attention," in Proc. ACM Multimedia, 2021.</w:t>
      </w:r>
    </w:p>
    <w:p>
      <w:pPr>
        <w:spacing w:line="360" w:lineRule="auto"/>
      </w:pPr>
      <w:r>
        <w:rPr>
          <w:rFonts w:ascii="Times New Roman" w:hAnsi="Times New Roman"/>
          <w:sz w:val="22"/>
        </w:rPr>
        <w:t>[9] Ciftci U, Demir I, Yin L, "FakeCatcher: Detection of Synthetic Portrait Videos using Biological Signals," IEEE Trans. Pattern Anal. Mach. Intell., vol. 45, no. 3, pp. 3456-3471, 2023.</w:t>
      </w:r>
    </w:p>
    <w:p>
      <w:pPr>
        <w:spacing w:line="360" w:lineRule="auto"/>
      </w:pPr>
      <w:r>
        <w:rPr>
          <w:rFonts w:ascii="Times New Roman" w:hAnsi="Times New Roman"/>
          <w:sz w:val="22"/>
        </w:rPr>
        <w:t>[10] Verk R, Starovoitov A, Kim H. "Reliability of rPPG-Based Deepfake Detection," in Proc. IEEE Int. Conf. Image Process. (ICIP), 2021.</w:t>
      </w:r>
    </w:p>
    <w:p>
      <w:pPr>
        <w:spacing w:line="360" w:lineRule="auto"/>
      </w:pPr>
      <w:r>
        <w:rPr>
          <w:rFonts w:ascii="Times New Roman" w:hAnsi="Times New Roman"/>
          <w:sz w:val="22"/>
        </w:rPr>
        <w:t>[11] Guera D, Delp E J. "Deepfake Video Detection Using Recurrent Neural Networks," in Proc. IEEE Int. Conf. Adv. Video Signal Based Surveill. (AVSS), 2018, pp. 1-6.</w:t>
      </w:r>
    </w:p>
    <w:p>
      <w:pPr>
        <w:spacing w:line="360" w:lineRule="auto"/>
      </w:pPr>
      <w:r>
        <w:rPr>
          <w:rFonts w:ascii="Times New Roman" w:hAnsi="Times New Roman"/>
          <w:sz w:val="22"/>
        </w:rPr>
        <w:t>[12] Mittal T, Bhattacharya U, Chandra R, et al. "Emotions Don't Lie: An Audio-Visual Deepfake Detection Method Using Affective Cues," in Proc. ACM Multimedia, 2020.</w:t>
      </w:r>
    </w:p>
    <w:p>
      <w:pPr>
        <w:spacing w:line="360" w:lineRule="auto"/>
      </w:pPr>
      <w:r>
        <w:rPr>
          <w:rFonts w:ascii="Times New Roman" w:hAnsi="Times New Roman"/>
          <w:sz w:val="22"/>
        </w:rPr>
        <w:t>[13] Agarwal S, Farid H, Guha T. "Protecting World Leaders Against Deep Fakes Using Ensemble Deep Learning," in Proc. IEEE/CVF Conf. Comput. Vis. Pattern Recognit. Workshops (CVPRW), 2021.</w:t>
      </w:r>
    </w:p>
    <w:p>
      <w:pPr>
        <w:spacing w:line="360" w:lineRule="auto"/>
      </w:pPr>
      <w:r>
        <w:rPr>
          <w:rFonts w:ascii="Times New Roman" w:hAnsi="Times New Roman"/>
          <w:sz w:val="22"/>
        </w:rPr>
        <w:t>[14] Donahue J, Anne Hendricks L, Guadarrama S, et al. "Long-term Recurrent Convolutional Networks for Visual Recognition and Description," in Proc. IEEE Conf. Comput. Vis. Pattern Recognit. (CVPR), 2015, pp. 2625-2634.</w:t>
      </w:r>
    </w:p>
    <w:p>
      <w:pPr>
        <w:spacing w:line="360" w:lineRule="auto"/>
      </w:pPr>
      <w:r>
        <w:rPr>
          <w:rFonts w:ascii="Times New Roman" w:hAnsi="Times New Roman"/>
          <w:sz w:val="22"/>
        </w:rPr>
        <w:t>[15] Vaswani A, Shazeer N, Parmar N, et al. "Attention Is All You Need," in Proc. Adv. Neural Inf. Process. Syst. (NeurIPS), 2017, pp. 5998-6008.</w:t>
      </w:r>
    </w:p>
    <w:p>
      <w:pPr>
        <w:spacing w:line="360" w:lineRule="auto"/>
      </w:pPr>
      <w:r>
        <w:rPr>
          <w:rFonts w:ascii="Times New Roman" w:hAnsi="Times New Roman"/>
          <w:sz w:val="22"/>
        </w:rPr>
        <w:t>[16] Woo S, Park J, Lee J Y, Kweon I S. "CBAM: Convolutional Block Attention Module," in Proc. Eur. Conf. Comput. Vis. (ECCV), 2018, pp. 3-19.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