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11827"/>
          <w:sz w:val="48"/>
        </w:rPr>
        <w:t>UI/UX &amp; Accessibility Audit Report</w:t>
      </w:r>
    </w:p>
    <w:p>
      <w:pPr>
        <w:jc w:val="center"/>
      </w:pPr>
      <w:r>
        <w:rPr>
          <w:rFonts w:ascii="Calibri" w:hAnsi="Calibri"/>
          <w:i/>
          <w:color w:val="6B7280"/>
          <w:sz w:val="24"/>
        </w:rPr>
        <w:t>Evaluation of Responsiveness, Visual Hierarchy, WCAG Contrast, and Touch Usability.</w:t>
      </w:r>
    </w:p>
    <w:p/>
    <w:p>
      <w:pPr>
        <w:spacing w:before="280" w:after="80"/>
      </w:pPr>
      <w:r>
        <w:rPr>
          <w:rFonts w:ascii="Calibri" w:hAnsi="Calibri"/>
          <w:b/>
          <w:color w:val="0F172A"/>
          <w:sz w:val="30"/>
        </w:rPr>
        <w:t>1. Mobile Typography Scaling &amp; Hero Overflow (High Severity)</w:t>
      </w:r>
    </w:p>
    <w:p>
      <w:pPr>
        <w:spacing w:after="80"/>
      </w:pPr>
      <w:r>
        <w:rPr>
          <w:b/>
        </w:rPr>
        <w:t xml:space="preserve">Impact: </w:t>
      </w:r>
      <w:r>
        <w:t>Hero headings (85px/75px) wrap into 4-5 lines on smartphones, pushing CTA buttons below the fold.</w:t>
      </w:r>
    </w:p>
    <w:p>
      <w:pPr>
        <w:spacing w:after="160"/>
      </w:pPr>
      <w:r>
        <w:rPr>
          <w:b/>
          <w:color w:val="D97706"/>
        </w:rPr>
        <w:t xml:space="preserve">Recommended Fix: </w:t>
      </w:r>
      <w:r>
        <w:t>Apply fluid font sizing using clamp(36px, 8vw, 52px) on mobile viewports.</w:t>
      </w:r>
    </w:p>
    <w:p>
      <w:pPr>
        <w:spacing w:before="280" w:after="80"/>
      </w:pPr>
      <w:r>
        <w:rPr>
          <w:rFonts w:ascii="Calibri" w:hAnsi="Calibri"/>
          <w:b/>
          <w:color w:val="0F172A"/>
          <w:sz w:val="30"/>
        </w:rPr>
        <w:t>2. Horizontal Grid Blowout on Mobile (High Severity)</w:t>
      </w:r>
    </w:p>
    <w:p>
      <w:pPr>
        <w:spacing w:after="80"/>
      </w:pPr>
      <w:r>
        <w:rPr>
          <w:b/>
        </w:rPr>
        <w:t xml:space="preserve">Impact: </w:t>
      </w:r>
      <w:r>
        <w:t>Fixed pixel columns (grid-template-columns: 460px 1fr) cause page shaking and text clipping on mobile screens.</w:t>
      </w:r>
    </w:p>
    <w:p>
      <w:pPr>
        <w:spacing w:after="160"/>
      </w:pPr>
      <w:r>
        <w:rPr>
          <w:b/>
          <w:color w:val="D97706"/>
        </w:rPr>
        <w:t xml:space="preserve">Recommended Fix: </w:t>
      </w:r>
      <w:r>
        <w:t>Add @media (max-width: 991px) query to collapse grid into a single 100% width column.</w:t>
      </w:r>
    </w:p>
    <w:p>
      <w:pPr>
        <w:spacing w:before="280" w:after="80"/>
      </w:pPr>
      <w:r>
        <w:rPr>
          <w:rFonts w:ascii="Calibri" w:hAnsi="Calibri"/>
          <w:b/>
          <w:color w:val="0F172A"/>
          <w:sz w:val="30"/>
        </w:rPr>
        <w:t>3. WCAG AA Text Contrast in Dark Cards (Medium Severity)</w:t>
      </w:r>
    </w:p>
    <w:p>
      <w:pPr>
        <w:spacing w:after="80"/>
      </w:pPr>
      <w:r>
        <w:rPr>
          <w:b/>
        </w:rPr>
        <w:t xml:space="preserve">Impact: </w:t>
      </w:r>
      <w:r>
        <w:t>Subtitle body text (#9CA3AF on #141414 background) yields a 3.8:1 contrast ratio, failing WCAG AA small text standards.</w:t>
      </w:r>
    </w:p>
    <w:p>
      <w:pPr>
        <w:spacing w:after="160"/>
      </w:pPr>
      <w:r>
        <w:rPr>
          <w:b/>
          <w:color w:val="D97706"/>
        </w:rPr>
        <w:t xml:space="preserve">Recommended Fix: </w:t>
      </w:r>
      <w:r>
        <w:t>Update paragraph color to #D1D5DB to achieve 7.2:1 contrast ratio (Passes WCAG AAA).</w:t>
      </w:r>
    </w:p>
    <w:p>
      <w:pPr>
        <w:spacing w:before="280" w:after="80"/>
      </w:pPr>
      <w:r>
        <w:rPr>
          <w:rFonts w:ascii="Calibri" w:hAnsi="Calibri"/>
          <w:b/>
          <w:color w:val="0F172A"/>
          <w:sz w:val="30"/>
        </w:rPr>
        <w:t>4. Mobile Touch Marquee Control (Medium Severity)</w:t>
      </w:r>
    </w:p>
    <w:p>
      <w:pPr>
        <w:spacing w:after="80"/>
      </w:pPr>
      <w:r>
        <w:rPr>
          <w:b/>
        </w:rPr>
        <w:t xml:space="preserve">Impact: </w:t>
      </w:r>
      <w:r>
        <w:t>Infinite client &amp; photo marquees rely on :hover to pause. Mobile touch screens do not trigger hover.</w:t>
      </w:r>
    </w:p>
    <w:p>
      <w:pPr>
        <w:spacing w:after="160"/>
      </w:pPr>
      <w:r>
        <w:rPr>
          <w:b/>
          <w:color w:val="D97706"/>
        </w:rPr>
        <w:t xml:space="preserve">Recommended Fix: </w:t>
      </w:r>
      <w:r>
        <w:t>Add touch-active state CSS handlers (:active / touchstart listeners) to allow tap-and-hold pause.</w:t>
      </w:r>
    </w:p>
    <w:p>
      <w:pPr>
        <w:spacing w:before="280" w:after="80"/>
      </w:pPr>
      <w:r>
        <w:rPr>
          <w:rFonts w:ascii="Calibri" w:hAnsi="Calibri"/>
          <w:b/>
          <w:color w:val="0F172A"/>
          <w:sz w:val="30"/>
        </w:rPr>
        <w:t>5. Screen Reader ALT Text Gaps (Medium Severity)</w:t>
      </w:r>
    </w:p>
    <w:p>
      <w:pPr>
        <w:spacing w:after="80"/>
      </w:pPr>
      <w:r>
        <w:rPr>
          <w:b/>
        </w:rPr>
        <w:t xml:space="preserve">Impact: </w:t>
      </w:r>
      <w:r>
        <w:t>Over 60 gallery thumbnail images lack descriptive alt tags, reducing accessibility compliance &amp; image SEO.</w:t>
      </w:r>
    </w:p>
    <w:p>
      <w:pPr>
        <w:spacing w:after="160"/>
      </w:pPr>
      <w:r>
        <w:rPr>
          <w:b/>
          <w:color w:val="D97706"/>
        </w:rPr>
        <w:t xml:space="preserve">Recommended Fix: </w:t>
      </w:r>
      <w:r>
        <w:t>Incorporate descriptive ALT attributes across marquee and feature cards.</w:t>
      </w:r>
    </w:p>
    <w:p/>
    <w:p>
      <w:pPr>
        <w:spacing w:before="280" w:after="80"/>
      </w:pPr>
      <w:r>
        <w:rPr>
          <w:rFonts w:ascii="Calibri" w:hAnsi="Calibri"/>
          <w:b/>
          <w:color w:val="0F172A"/>
          <w:sz w:val="30"/>
        </w:rPr>
        <w:t>Summary Priority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11827"/>
          </w:tcPr>
          <w:p>
            <w:r>
              <w:rPr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2484"/>
            <w:shd w:val="clear" w:color="auto" w:fill="111827"/>
          </w:tcPr>
          <w:p>
            <w:r>
              <w:rPr>
                <w:b/>
                <w:color w:val="FFFFFF"/>
                <w:sz w:val="20"/>
              </w:rPr>
              <w:t>UI/UX Issue</w:t>
            </w:r>
          </w:p>
        </w:tc>
        <w:tc>
          <w:tcPr>
            <w:tcW w:type="dxa" w:w="2484"/>
            <w:shd w:val="clear" w:color="auto" w:fill="111827"/>
          </w:tcPr>
          <w:p>
            <w:r>
              <w:rPr>
                <w:b/>
                <w:color w:val="FFFFFF"/>
                <w:sz w:val="20"/>
              </w:rPr>
              <w:t>Affected Section</w:t>
            </w:r>
          </w:p>
        </w:tc>
        <w:tc>
          <w:tcPr>
            <w:tcW w:type="dxa" w:w="2484"/>
            <w:shd w:val="clear" w:color="auto" w:fill="111827"/>
          </w:tcPr>
          <w:p>
            <w:r>
              <w:rPr>
                <w:b/>
                <w:color w:val="FFFFFF"/>
                <w:sz w:val="20"/>
              </w:rPr>
              <w:t>Estimated Effort</w:t>
            </w:r>
          </w:p>
        </w:tc>
      </w:tr>
      <w:tr>
        <w:tc>
          <w:tcPr>
            <w:tcW w:type="dxa" w:w="248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High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Fluid Typography Scaling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Hero Headings (All Pages)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15 mins</w:t>
            </w:r>
          </w:p>
        </w:tc>
      </w:tr>
      <w:tr>
        <w:tc>
          <w:tcPr>
            <w:tcW w:type="dxa" w:w="248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High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Mobile Grid Collapse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Feature Showcase Cards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20 mins</w:t>
            </w:r>
          </w:p>
        </w:tc>
      </w:tr>
      <w:tr>
        <w:tc>
          <w:tcPr>
            <w:tcW w:type="dxa" w:w="248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Medium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WCAG Text Contrast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Dark Methodology Cards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10 mins</w:t>
            </w:r>
          </w:p>
        </w:tc>
      </w:tr>
      <w:tr>
        <w:tc>
          <w:tcPr>
            <w:tcW w:type="dxa" w:w="248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Medium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Mobile Touch Marquee Pause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Client &amp; Photo Marquees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10 mins</w:t>
            </w:r>
          </w:p>
        </w:tc>
      </w:tr>
      <w:tr>
        <w:tc>
          <w:tcPr>
            <w:tcW w:type="dxa" w:w="248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Medium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Accessible ALT Attributes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Galleries &amp; Client Logos</w:t>
            </w:r>
          </w:p>
        </w:tc>
        <w:tc>
          <w:tcPr>
            <w:tcW w:type="dxa" w:w="2484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30 mins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