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over the last decade.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at the outset. The system makes no hiring decision, only evidence for a human to act on. No real candidate data was used at any point; every experiment in Chapter 6 runs on generated material, for the reasons in Section 3.6. And the platform is evaluated as a measurement instrument, not as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directly on this project: the empirical literature on automated interviewing, the fast-moving literature on language models used as evaluators, work on knowledge graphs for competency modelling, and the fairness and regulatory literature on algorithmic hiring. A fifth, smaller literature on remote assessment integrity informs one module. This chapter reviews each, draws out where they agree and where they conflict, and synthesises them into the conceptual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tools have moved from keyword screening of CVs to multimodal assessment of recorded or live interviews. Hickman et al. (2022), reviewing text-mining practice in organisational research, reach a conclusion that is easy to misread as endorsement. Automated scoring is more reliable than unstructured human scoring, in the narrow psychometric sense that it produces the same output for the same input. But they are careful to separate that from criterion validity, and note that automated approaches largely lack the decades of accumulated validation evidence that supports traditional structured interviewing. The distinction matters for this project: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studying applicant reactions to highly automated interviews. They find that candidates rate automated interviews as markedly less fair than human ones, and that the effect is strongest where the system provides no feedback or explanation. The practical consequence they identify is commercially significant: candidates who perceive a process as unfair are less likely to accept an offer, which erodes the efficiency gain that motivated the automation. This finding is the direct motivation for the explanation-first orientation of the present work — the argument for explainability here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an automated judge was popularised by Zheng et al. (2023), whose MT-Bench and Chatbot Arena work established that GPT-4's preference judgements agree with human evaluators at over eighty per cent on open-ended conversational tasks — a rate comparable to inter-human agreement on the same material. The result is genuinely important, because it suggests that for tasks with no single correct answer, a sufficiently capable model can substitute for expensive human annotation.</w:t>
      </w:r>
    </w:p>
    <w:p>
      <w:pPr>
        <w:spacing w:line="360" w:lineRule="auto" w:after="160"/>
        <w:jc w:val="both"/>
      </w:pPr>
      <w:r>
        <w:rPr>
          <w:rFonts w:ascii="Calibri" w:hAnsi="Calibri"/>
          <w:b w:val="0"/>
          <w:i w:val="0"/>
          <w:color w:val="1F2933"/>
          <w:sz w:val="22"/>
        </w:rPr>
        <w:t>The qualifications arrived quickly, and they are specific rather than general. Stureborg, Alikaniotis and Suhara (2024) demonstrate that LLM judges are both inconsistent and biased: presented with the same candidates in a different order, the same model returns different scores. The bias is positional, arising from the sequence in which material is presented rather than from its content. Wang et al. (2024) identify a complementary failure they term verbosity bias, in which longer responses receive higher scores irrespective of whether the additional length carries additional substance.</w:t>
      </w:r>
    </w:p>
    <w:p>
      <w:pPr>
        <w:spacing w:line="360" w:lineRule="auto" w:after="160"/>
        <w:jc w:val="both"/>
      </w:pPr>
      <w:r>
        <w:rPr>
          <w:rFonts w:ascii="Calibri" w:hAnsi="Calibri"/>
          <w:b w:val="0"/>
          <w:i w:val="0"/>
          <w:color w:val="1F2933"/>
          <w:sz w:val="22"/>
        </w:rPr>
        <w:t>These findings are frequently cited as reasons not to trust LLM judges. That reading is too pessimistic, and it misses what makes the findings useful. Both biases are characterised precisely enough to be countered by construction. If a judge's score depends on presentation order, then presenting the same material under several orders and aggregating removes the order-specific component — and, more usefully, the disagreement between the orderings becomes a direct measurement of how unstable that particular judgement was. A bias that can be measured can be reported; a bias that is reported can be acted on. This project treats the Stureborg and Wang results as specifications for countermeasures rather than as grounds for abandoning the approach.</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 relations between them in a form that supports traversal and inference. Chen, Li and Zhang (2021) apply graph-based models to prerequisite identification in online learning, showing that traversal over a structured concept graph can generate coherent learning paths without learned embeddings. Their result is relevant here in a specific way: where the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qualifications and occupations, maintained as an EU standard, with over thirteen thousand skill concepts linked by explicit broader and narrower relations. Using a published taxonomy rather than an ad hoc skill list has a consequence that matters for a high-risk system: when the platform reports that a candidate lacks a required skill, the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system designer is that the Act does not demand that a model be unbiased, which would be unachievable; it demands that bias be tested for, documented, and subject to human oversight. That is a design brief, and it is met by instrumentation rather than by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in the report rather than held internally. And the reliability of every score is measured and reported alongside it, so that a recruiter can see which judgements are firm and which are not. None of this guarantees fairness. It makes unfairness detectable, which is a weaker but achievable claim, and the one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and has been studied extensively in online proctoring. The approach adopted here follows the unsupervised anomaly-detection tradition: rather than attempting to classify cheating directly, which would require labelled examples of cheating that no institution can ethically produce, a model of normal interaction is fitted and departures from it are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in this area is evaluated offline on benchmark datasets, where the mitigation is applied and aggregate agreement is re-measured. That is valuable, but it leaves the practitioner without a per-item reliability signal at inference time. The contribution claimed here is modest and concrete: an interview assessment pipeline in which every score carries an empirically derived confidence derived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which places it squarely in the Design Science Research tradition set out by Hevner et al. (2004). DSR is concerned with the creation and evaluation of IT artefacts that address identified organisational problems, and it distinguishes itself from behavioural research by treating the artefact itself as the vehicle of the contribution. That fits the present work: the claim being made is not about how people behave in interviews but about whether a particular construction of an assessment system can be made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mapped “Team Leadership” onto the ESCO concept “R” and “Communication” onto “telecommunications engineering”, silently, while the gap analysis reported confident nonsense. The second concerned interview delivery, where the voice agent fell silent mid-session because an exhausted synthesis quota returns no audio while still accepting the connection. The third concerned answer evaluation, where measuring a trained second scorer exposed both a data leak in its training set and a circularity in the comparison it was meant to support, and ended the track. Sections 5.3.1, 5.5.2 and 7.2 give the evidence and the resulting design changes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classifier trained end to end on answer text would likely outperform hand-crafted features, but was rejected on explainability grounds: a fine-tuned encoder offers no account of an individual judgement a non-specialist can read. A graph neural network over the skill graph was rejected because ESCO is already a curated hierarchy with explicit relations — learning embeddings over a documented structure adds opacity while removing the property that makes the graph useful in a high-risk system, that every edge traces to a published standard. A custom speech recognition model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of any kind is intrusive, and a system that measures gaze direction and posture is making inferences about a person from signals they cannot fully control. Nervousness reads much like evasion. The mitigation adopted — weighting these signals lightly, calibrating them against the candidate's own neutral pose rather than an assumed ideal, and reporting them as context rather than as findings — reduces the harm but does not eliminate the objection. A production deployment would need explicit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first appears. A language model asked to generate questions returns them in whatever order it composed them, which correlates with nothing. Every interview has a time budget, and any question that falls off the end of that budget is a question never asked. The system therefore re-sorts the technical questions by the priority the graph assigned to their skill before the interview begins, so the budget is spent on genuine gaps first. This is the concrete content of Objective 2: question targeting is driven by the graph, not by the order the model happened to emit.</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from a transcribed answer through to a verdict and, where the two passes disagree, an escalation.</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of the score attributable to presentation order. The more useful output, however, is the disagreement between them. A judge that returns 82 and 81 for the same answer is stable; one that returns 71 and 45 is not, and the mean of 58 conceals that instability entirely. The spread is therefore retained, banded into high, moderate and low consistency, and answers in the low band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approximately 4,500 lines of Python and 4,200 lines of JavaScript, excluding dependencies and generated assets. The backend is organised by module responsibility rather than by technical layer, so that the correspondence between the design in Chapter 4 and the code is direct: a reader looking for Module 6 finds it in core/evaluator/evaluator.py.</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which is appropriate for a research demonstrator and inadequate for anything else. Section 7.3 states the consequences explicitly rather than leaving them to be discovered.</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failing the request, the client strips fences, attempts a strict parse, and falls back to a repair pass before giving up. This is unglamorous but it is the difference between a demonstrator that works and one that fails intermittently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at request time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 cloud platforms, containerisation, CI/CD, backend and frontend frameworks, databases, messaging, machine learning tooling, architecture patterns, version control, APIs, testing, data engineering and productivity software. A soft-skill extension covers five categories that ESCO addresses only sparsely. Extension labels deliberately take precedence over ESCO labels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from preferred labels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actively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then re-sorts the technical questions by graph priority before the interview begins, so that high-priority gaps are asked first. Questions whose skill the graph does not recognise sort after graph-derived ones but before nothing, so they are not silently discarded. The unit tests assert this ordering directly, using a fixture in which the model's emission order is deliberately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were substantial enough to record.</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The solution was to buffer each complete utterance before synthesising it. This costs a little latency and buys two things: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in which the agent spoke the greeting and then went quiet. The synthesis provider's quota had been exhausted, and an exhausted quota accepts the connection and returns no audio frames — indistinguishable from success unless the frames are inspected. The fix was a startup probe that pushes two characters through the engine and confirms at least one audio frame comes back, before the interview begins. If it does not, the agent falls through to the alternative provider, and if neither works it runs in text-only mode with questions still displayed. The interview degrades rather than failing.</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requires no branch on mode; and the minimum question count is clamped never to exceed the maximum, without which a demonstration run configured for three questions would never reach its own limit. Text mode also enables an integrity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therefore merged, so a question split by a pause still produces one exchange.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then proceeds as designed in Section 4.7: a reference answer is generated, the answer is judged twice under permuted rubric orderings, the mean is taken and the spread retained. One detail is worth noting. The judge is asked to return both the four criterion marks and their total, and the implementation trusts the criterion marks over the model's own arithmetic — if the stated total differs from the sum by more than two points, the sum is used. Language models are unreliable at addition in a way they are not unreliable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the definition of response time: the system measures from the question beginning to the answer completing, typically twenty to sixty seconds. An initial baseline assumed it meant thinking time, five to fifteen seconds, and flagged every ordinary session as anomalous. The second is calibration — the raw decision function is not a number a person can interpret, so the baseline's first and ninety-ninth percentiles are mapped onto fifty and one hundred at training time, and the bundle is versioned so that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deliberately deterministic arithmetic rather than a learned combination. Each component is normalised to 0–100, multiplied by its weight, and summed, with the full breakdown returned alongside the total so the report can show its working. A unit test asserts that the component contributions reconcile with the reported total, which guards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in the voice agent was initially disabled, on the reasoning that a candidate should not be able to talk over the interviewer. In testing this caused the framework to discard answers from candidates who began replying while the question was still being spoken — a natural conversational behaviour. Interruptions were re-enabled with a minimum duration and word count, so a cough does not interrupt but an answer does.</w:t>
      </w:r>
    </w:p>
    <w:p>
      <w:pPr>
        <w:spacing w:line="360" w:lineRule="auto" w:after="160"/>
        <w:jc w:val="both"/>
      </w:pPr>
      <w:r>
        <w:rPr>
          <w:rFonts w:ascii="Calibri" w:hAnsi="Calibri"/>
          <w:b w:val="0"/>
          <w:i w:val="0"/>
          <w:color w:val="1F2933"/>
          <w:sz w:val="22"/>
        </w:rPr>
        <w:t>Answer-length thresholds were initially used to skip very short replies. This silently dropped genuine non-answers such as “I have not used that” from the report, which is exactly the evidence a recruiter needs. The threshold now excludes only replies too short to carry any assessable content, and every substantive answer is scored on its merits however brief.</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evaluate the scoring pipeline,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written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of wall-clock time. Fixtures were generated with a non-reasoning model and all judging performed with the model the deployed system uses, so the measurements describe the system as built rather than a proxy for it.</w:t>
      </w:r>
    </w:p>
    <w:p>
      <w:pPr>
        <w:spacing w:line="360" w:lineRule="auto" w:after="160"/>
        <w:jc w:val="both"/>
      </w:pPr>
      <w:r>
        <w:rPr>
          <w:rFonts w:ascii="Calibri" w:hAnsi="Calibri"/>
          <w:b w:val="0"/>
          <w:i w:val="0"/>
          <w:color w:val="1F2933"/>
          <w:sz w:val="22"/>
        </w:rPr>
        <w:t>The sample is deliberately modest: judging uses a reasoning model, each answer costs two calls, and the endpoint throttles concurrency severely. Section 6.10 states the consequence for interpretation.</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Answers written at three intended quality levels were scored without the judge being told which was which.</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and it is reported as one rather than dressed up as a success. The instrumentation is justified by the literature and is demonstrably operative — the spread is computed, banded and acted upon for every answer — but on this corpus it never needed to fire. Two readings are possible and these data cannot separate them. Either the countermeasure works and the averaging is doing its job, or machine-written answers are unusually easy to score consistently and real transcribed speech would produce wider spreads. The worked example in Section 6.9 is weak evidence for the second reading.</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and legitimate. Answers that are technically accurate do genuinely tend to be more complete, because both follow from understanding the material, and no rubric could or should force them apart. But correlations in this range indicate that the four scores carry substantially less than four pieces of information. The judge appears to form an overall impression and then distribute it across the criteria — the classic halo effect described in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of their answer fell short. That defence is weaker than it appeared: if the four marks move together, the breakdown communicates one impression four times rather than decomposing it. It retains value as a record of what the judge was asked to weigh, and the most independent pair does show real separation, but it is not the diagnostic instrument the design assumed. Section 8.3 proposes scoring each criterion in a separate call, so that each is formed without sight of the others.</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additionally exercises the full pipeline against a synthetic candidate and job description, using live model calls at every stage. It asserts that the graph builds, that gap analysis is coherent, that questions are generated and ordered by priority, that logistics exchanges are excluded from scoring, that rubric criteria remain in range and sum to the reported score, and that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classified as logistics and excluded, so they did not dilute the average. The candidate's admission that they had not used Kubernetes scored 50 rather than zero, because the rubric credits accuracy separately from completeness and an honest acknowledgement of a gap contains nothing incorrect. And that same answer carried the widest judge disagreement of the session at 10 points — the only moderate-consistency score in the interview,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in this section. Where the machine-written corpus produced almost uniformly high consistency, the one partial answer in a realistic session produced measurably more disagreement. It is a single observation and proves nothing, but it indicates where the reliability instrumentation would earn its place: not on clearly good or clearly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implemented and operative, and the one realistic partial answer encountered did produce elevated disagreement. But this project has not demonstrated the mechanism catching real failures at scale and does not claim to have done so.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requires no model download, runs offline, keeps all audio on the candidate's device, and every component of the resulting score — projection, fluency, expression, composure — can be inspected and explained. An emotion label from a black-box classifier could not be. In a project whose organising commitment is explainability, the substitution improves coherence, and it is reported here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updated or retired without notice. One model used during this project was retired mid-evaluation, which is a concrete instance of the risk.</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well served by design, since the system issues no hiring decision. Record-keeping is adequate for a demonstrator and inadequate for deployment, with transcripts stored unencrypted and without retention policy. Bias testing has taken a first step — Chapter 6 tests two documented model biases — but not demographic disparity, which needs exactly the human data the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on this project was that measuring my own work changed it more than planning did. Every significant design decision recorded in this dissertation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 would have.</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as a finding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second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core/agents/cv_agent.py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core/agents/jd_agent.py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core/agents/question_agent.py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core/livekit/run_agent.py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core/evaluator/evaluator.py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core/report/generator.py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core/pipeline/session_eval.py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core/evaluator/evaluator.py.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core/livekit/launcher.py,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