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Each answer is scored twice under permuted rubric orderings; the mean is reported and the disagreement is retained as evidence.</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core/evaluator/evaluator.py.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evaluate the scoring pipeline,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written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of wall-clock time. Fixtures were generated with a non-reasoning model and all judging performed with the model the deployed system uses, so the measurements describe the system as built rather than a proxy for it.</w:t>
      </w:r>
    </w:p>
    <w:p>
      <w:pPr>
        <w:spacing w:line="360" w:lineRule="auto" w:after="160"/>
        <w:jc w:val="both"/>
      </w:pPr>
      <w:r>
        <w:rPr>
          <w:rFonts w:ascii="Calibri" w:hAnsi="Calibri"/>
          <w:b w:val="0"/>
          <w:i w:val="0"/>
          <w:color w:val="1F2933"/>
          <w:sz w:val="22"/>
        </w:rPr>
        <w:t>The sample is deliberately modest: judging uses a reasoning model, each answer costs two calls, and the endpoint throttles concurrency severely. Section 6.10 states the consequence for interpretation.</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Answers written at three intended quality levels were scored without the judge being told which was which.</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weak 67.0, min medium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nearly double the threshold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Eighteen answers across six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near 3.0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eighteen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updated or retired without notice. One model used during this project was retired mid-evaluation, which is a concrete instance of the risk.</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core/agents/cv_agent.py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core/agents/jd_agent.py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core/agents/question_agent.py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core/livekit/run_agent.py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core/evaluator/evaluator.py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core/report/generator.py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core/pipeline/session_eval.py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core/evaluator/evaluator.py.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core/livekit/launcher.py,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