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Each answer is scored twice under permuted rubric orderings; the mean is reported and the disagreement is retained as evidence.</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core/evaluator/evaluator.py.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which is appropriate for a research demonstrator and inadequate for anything else. Section 7.3 states the consequences explicitly rather than leaving them to be discovered.</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failing the request, the client strips fences, attempts a strict parse, and falls back to a repair pass before giving up. This is unglamorous but it is the difference between a demonstrator that works and one that fails intermittently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at request time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deliberately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from preferred labels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actively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deliberately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were substantial enough to record.</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two things: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at least one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so a cough does not interrupt but an answer does.</w:t>
      </w:r>
    </w:p>
    <w:p>
      <w:pPr>
        <w:spacing w:line="360" w:lineRule="auto" w:after="160"/>
        <w:jc w:val="both"/>
      </w:pPr>
      <w:r>
        <w:rPr>
          <w:rFonts w:ascii="Calibri" w:hAnsi="Calibri"/>
          <w:b w:val="0"/>
          <w:i w:val="0"/>
          <w:color w:val="1F2933"/>
          <w:sz w:val="22"/>
        </w:rPr>
        <w:t>Answer-length thresholds were initially used to skip very short replies. This silently dropped genuine non-answers such as “I have not used that” from the report, which is exactly the evidence a recruiter needs. The threshold now excludes only replies too short to carry any assessable content, and every substantive answer is scored on its merits however brief.</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evaluate the scoring pipeline,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written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of wall-clock time. Fixtures were generated with a non-reasoning model and all judging performed with the model the deployed system uses, so the measurements describe the system as built rather than a proxy for it.</w:t>
      </w:r>
    </w:p>
    <w:p>
      <w:pPr>
        <w:spacing w:line="360" w:lineRule="auto" w:after="160"/>
        <w:jc w:val="both"/>
      </w:pPr>
      <w:r>
        <w:rPr>
          <w:rFonts w:ascii="Calibri" w:hAnsi="Calibri"/>
          <w:b w:val="0"/>
          <w:i w:val="0"/>
          <w:color w:val="1F2933"/>
          <w:sz w:val="22"/>
        </w:rPr>
        <w:t>The sample is deliberately modest: judging uses a reasoning model, each answer costs two calls, and the endpoint throttles concurrency severely. Section 6.10 states the consequence for interpretation.</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Answers written at three intended quality levels were scored without the judge being told which was which.</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updated or retired without notice. One model used during this project was retired mid-evaluation, which is a concrete instance of the risk.</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core/agents/cv_agent.py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core/agents/jd_agent.py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core/agents/question_agent.py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core/livekit/run_agent.py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core/evaluator/evaluator.py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core/report/generator.py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core/pipeline/session_eval.py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core/evaluator/evaluator.py.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core/livekit/launcher.py,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