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core/evaluator/answer_judge.py.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appropriate for a research demonstrator and inadequate for anything else. Section 7.3 states the consequences explicitly.</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 the request, the client strips fences, attempts a strict parse, and falls back to a repair pass before giving up. This is unglamorous, and it is the difference between a demonstrator that works and one that fails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are worth recording.</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an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Live use showed that was still too permissive: a pause for thought ended the turn early, and the rest of the answer, arriving mid-reply, cut the question off. Two apparent faults, one cause — timings suited to conversation, not to interview answers. The windows were lengthened, and the agent now resumes when an apparent interruption produces no speech.</w:t>
      </w:r>
    </w:p>
    <w:p>
      <w:pPr>
        <w:spacing w:line="360" w:lineRule="auto" w:after="160"/>
        <w:jc w:val="both"/>
      </w:pPr>
      <w:r>
        <w:rPr>
          <w:rFonts w:ascii="Calibri" w:hAnsi="Calibri"/>
          <w:b w:val="0"/>
          <w:i w:val="0"/>
          <w:color w:val="1F2933"/>
          <w:sz w:val="22"/>
        </w:rPr>
        <w:t>Answer-length thresholds initially skipped very short replies. This silently dropped genuine non-answers such as “I have not used that” — exactly the evidence a recruiter needs. The threshold now excludes only replies too short to carry assessable content.</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