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spacing w:after="60" w:line="288" w:lineRule="auto"/>
        <w:ind w:left="397"/>
      </w:pPr>
      <w:r>
        <w:rPr>
          <w:rFonts w:ascii="Calibri" w:hAnsi="Calibri"/>
          <w:b w:val="0"/>
          <w:i w:val="0"/>
          <w:color w:val="5B6B7A"/>
          <w:sz w:val="21"/>
        </w:rPr>
        <w:t>Figure 17  The skill graph built for a real CV and job advert</w:t>
      </w:r>
    </w:p>
    <w:p>
      <w:pPr>
        <w:spacing w:after="60" w:line="288" w:lineRule="auto"/>
        <w:ind w:left="397"/>
      </w:pPr>
      <w:r>
        <w:rPr>
          <w:rFonts w:ascii="Calibri" w:hAnsi="Calibri"/>
          <w:b w:val="0"/>
          <w:i w:val="0"/>
          <w:color w:val="5B6B7A"/>
          <w:sz w:val="21"/>
        </w:rPr>
        <w:t>Figure 18  Generated questions, tagged with the skill each targets</w:t>
      </w:r>
    </w:p>
    <w:p>
      <w:pPr>
        <w:spacing w:after="60" w:line="288" w:lineRule="auto"/>
        <w:ind w:left="397"/>
      </w:pPr>
      <w:r>
        <w:rPr>
          <w:rFonts w:ascii="Calibri" w:hAnsi="Calibri"/>
          <w:b w:val="0"/>
          <w:i w:val="0"/>
          <w:color w:val="5B6B7A"/>
          <w:sz w:val="21"/>
        </w:rPr>
        <w:t>Figure 19  Step 1: CV and job advert parsed into structured data</w:t>
      </w:r>
    </w:p>
    <w:p>
      <w:pPr>
        <w:spacing w:after="60" w:line="288" w:lineRule="auto"/>
        <w:ind w:left="397"/>
      </w:pPr>
      <w:r>
        <w:rPr>
          <w:rFonts w:ascii="Calibri" w:hAnsi="Calibri"/>
          <w:b w:val="0"/>
          <w:i w:val="0"/>
          <w:color w:val="5B6B7A"/>
          <w:sz w:val="21"/>
        </w:rPr>
        <w:t>Figure 20  Step 4: device check and the disclosure screen</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The system makes no hiring decision, only evidence for a human to act on. No real candidate data was used; every experiment in Chapter 6 runs on generated material, for the reasons in Section 3.6. And the platform is evaluated as a measurement instrument, not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on this project: the empirical literature on automated interviewing, the fast-moving literature on language models as evaluators, work on knowledge graphs for competency modelling, and the fairness and regulatory literature on algorithmic hiring. A fifth, on remote assessment integrity, informs one module. This chapter reviews each, draws out where they agree and conflict, and synthesises them into the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has moved from keyword screening to multimodal assessment of live interviews. Hickman et al. (2022) reach a conclusion easy to misread as endorsement: automated scoring is more reliable than unstructured human scoring, in the narrow sense that it returns the same output for the same input. They separate that carefully from criterion validity, noting that automated approaches lack the decades of validation evidence behind structured interviewing. The distinction matters here: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They find candidates rate automated interviews as markedly less fair than human ones, the effect strongest where no feedback or explanation is given. The consequence is commercially significant: candidates who perceive a process as unfair are less likely to accept an offer, eroding the efficiency gain that motivated the automation. This is the direct motivation for the explanation-first orientation here — the argument for explainability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judge was popularised by Zheng et al. (2023), whose MT-Bench and Chatbot Arena work established that GPT-4's preference judgements agree with human evaluators at over eighty per cent on open-ended tasks — comparable to inter-human agreement on the same material. The result matters because it suggests that for tasks with no single correct answer, a capable model can substitute for expensive human annotation.</w:t>
      </w:r>
    </w:p>
    <w:p>
      <w:pPr>
        <w:spacing w:line="360" w:lineRule="auto" w:after="160"/>
        <w:jc w:val="both"/>
      </w:pPr>
      <w:r>
        <w:rPr>
          <w:rFonts w:ascii="Calibri" w:hAnsi="Calibri"/>
          <w:b w:val="0"/>
          <w:i w:val="0"/>
          <w:color w:val="1F2933"/>
          <w:sz w:val="22"/>
        </w:rPr>
        <w:t>The qualifications arrived quickly, and are specific rather than general. Stureborg, Alikaniotis and Suhara (2024) show LLM judges are both inconsistent and biased: presented with the same candidates in a different order, the same model returns different scores. The bias is positional, arising from sequence rather than content. Wang et al. (2024) identify a complementary failure, verbosity bias, in which longer responses score higher irrespective of whether the extra length carries substance.</w:t>
      </w:r>
    </w:p>
    <w:p>
      <w:pPr>
        <w:spacing w:line="360" w:lineRule="auto" w:after="160"/>
        <w:jc w:val="both"/>
      </w:pPr>
      <w:r>
        <w:rPr>
          <w:rFonts w:ascii="Calibri" w:hAnsi="Calibri"/>
          <w:b w:val="0"/>
          <w:i w:val="0"/>
          <w:color w:val="1F2933"/>
          <w:sz w:val="22"/>
        </w:rPr>
        <w:t>These findings are usually cited as reasons not to trust LLM judges. That reading misses what makes them useful: both biases are characterised precisely enough to be countered by construction. If a score depends on presentation order, presenting the same material under several orders and aggregating removes the order-specific component — and the disagreement between orderings becomes a direct measure of how unstable that judgement was. A bias that can be measured can be reported, and one that is reported can be acted on. This project treats these results as specifications for countermeasures, not grounds for abandonment.</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their relations in a form supporting traversal and inference. Chen, Li and Zhang (2021) apply graph-based models to prerequisite identification in online learning, showing traversal over a structured concept graph can generate coherent learning paths without learned embeddings. The relevance here is specific: where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and occupations maintained as an EU standard, with over thirteen thousand skill concepts linked by explicit broader and narrower relations. Using a published taxonomy rather than an ad hoc list matters for a high-risk system: when the platform reports a candidate lacks a required skill, that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designer is that the Act does not demand a model be unbiased, which would be unachievable; it demands that bias be tested for, documented and subject to human oversight. That is a design brief, met by instrumentation rather than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rather than held internally. And the reliability of every score is measured and reported alongside it, so a recruiter can see which judgements are firm. None of this guarantees fairness; it makes unfairness detectable, which is weaker but achievable, and the claim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The approach here follows the unsupervised anomaly-detection tradition: rather than classify cheating directly, which needs labelled examples no institution can ethically produce, a model of normal interaction is fitted and departures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here is evaluated offline on benchmark datasets, applying the mitigation and re-measuring aggregate agreement. That is valuable, but leaves the practitioner without a per-item reliability signal at inference time. The contribution claimed is modest and concrete: an interview pipeline in which every score carries an empirically derived confidence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placing it in the Design Science Research tradition of Hevner et al. (2004), which treats the artefact itself as the vehicle of the contribution. That fits the present work: the claim is not about how people behave in interviews, but about whether an assessment system can be constructed to be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silently mapped “Team Leadership” onto the ESCO concept “R”, while the gap analysis reported confident nonsense. The second concerned delivery, where the voice agent fell silent mid-session because an exhausted synthesis quota returns no audio while still accepting the connection. The third concerned evaluation, where measuring a trained second scorer exposed a data leak and a circularity, and ended the track. Sections 5.3.1, 5.5.2 and 7.2 give the evidence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would likely outperform hand-crafted features, but offers no account of an individual judgement a non-specialist can read. A graph neural network was rejected because ESCO is already a curated hierarchy: learning embeddings over a documented structure adds opacity while removing the property that makes the graph useful in a high-risk system — that every edge traces to a published standard. A custom speech recogniser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is intrusive, and measuring gaze and posture infers things about a person from signals they cannot fully control; nervousness reads much like evasion. Weighting these signals lightly, calibrating against the candidate's own neutral pose, and reporting them as context rather than findings reduces the harm but does not remove the objection. A production deployment would need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appears. A model returns questions in whatever order it composed them, which correlates with nothing, and every interview has a time budget: a question that falls off the end is never asked. The system therefore re-sorts technical questions by the priority the graph assigned to their skill, so the budget is spent on genuine gaps first. This is the concrete content of Objective 2 — targeting driven by the graph, not by emission order.</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attributable to presentation order. The more useful output is their disagreement. A judge returning 82 and 81 is stable; one returning 71 and 45 is not, and the mean of 58 conceals that entirely. The spread is therefore retained, banded high, moderate or low, and low-band answers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5,466 lines of Python and 4,078 lines of JavaScript, excluding dependencies and generated assets. Both figures are counted from the repository when this document is built. The backend is organised by module responsibility rather than by technical layer, so the correspondence between the design in Chapter 4 and the code is direct: a reader looking for Module 6 finds it in core/evaluator/answer_judge.py.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r>
          </w:p>
        </w:tc>
        <w:tc>
          <w:tcPr>
            <w:tcW w:type="dxa" w:w="2608"/>
            <w:shd w:val="clear" w:fill="2C5282"/>
          </w:tcPr>
          <w:p>
            <w:pPr>
              <w:spacing w:after="40" w:before="40" w:line="264" w:lineRule="auto"/>
            </w:pPr>
            <w:r/>
            <w:r>
              <w:rPr>
                <w:rFonts w:ascii="Calibri" w:hAnsi="Calibri"/>
                <w:b/>
                <w:color w:val="FFFFFF"/>
                <w:sz w:val="18"/>
              </w:rPr>
              <w:t>Module</w:t>
            </w:r>
          </w:p>
        </w:tc>
        <w:tc>
          <w:tcPr>
            <w:tcW w:type="dxa" w:w="2948"/>
            <w:shd w:val="clear" w:fill="2C5282"/>
          </w:tcPr>
          <w:p>
            <w:pPr>
              <w:spacing w:after="40" w:before="40" w:line="264" w:lineRule="auto"/>
            </w:pPr>
            <w:r/>
            <w:r>
              <w:rPr>
                <w:rFonts w:ascii="Calibri" w:hAnsi="Calibri"/>
                <w:b/>
                <w:color w:val="FFFFFF"/>
                <w:sz w:val="18"/>
              </w:rPr>
              <w:t>Implemented in</w:t>
            </w:r>
          </w:p>
        </w:tc>
        <w:tc>
          <w:tcPr>
            <w:tcW w:type="dxa" w:w="794"/>
            <w:shd w:val="clear" w:fill="2C5282"/>
          </w:tcPr>
          <w:p>
            <w:pPr>
              <w:spacing w:after="40" w:before="40" w:line="264" w:lineRule="auto"/>
            </w:pPr>
            <w:r/>
            <w:r>
              <w:rPr>
                <w:rFonts w:ascii="Calibri" w:hAnsi="Calibri"/>
                <w:b/>
                <w:color w:val="FFFFFF"/>
                <w:sz w:val="18"/>
              </w:rPr>
              <w:t>Lines</w:t>
            </w:r>
          </w:p>
        </w:tc>
      </w:tr>
      <w:tr>
        <w:tc>
          <w:tcPr>
            <w:tcW w:type="dxa" w:w="567"/>
          </w:tcPr>
          <w:p>
            <w:pPr>
              <w:spacing w:after="40" w:before="40" w:line="264" w:lineRule="auto"/>
            </w:pPr>
            <w:r/>
            <w:r>
              <w:rPr>
                <w:rFonts w:ascii="Calibri" w:hAnsi="Calibri"/>
                <w:b/>
                <w:color w:val="1F2933"/>
                <w:sz w:val="18"/>
              </w:rPr>
              <w:t>M1</w:t>
            </w:r>
          </w:p>
        </w:tc>
        <w:tc>
          <w:tcPr>
            <w:tcW w:type="dxa" w:w="2608"/>
          </w:tcPr>
          <w:p>
            <w:pPr>
              <w:spacing w:after="40" w:before="40" w:line="264" w:lineRule="auto"/>
            </w:pPr>
            <w:r/>
            <w:r>
              <w:rPr>
                <w:rFonts w:ascii="Calibri" w:hAnsi="Calibri"/>
                <w:b w:val="0"/>
                <w:color w:val="1F2933"/>
                <w:sz w:val="18"/>
              </w:rPr>
              <w:t>CV parsing</w:t>
            </w:r>
          </w:p>
        </w:tc>
        <w:tc>
          <w:tcPr>
            <w:tcW w:type="dxa" w:w="2948"/>
          </w:tcPr>
          <w:p>
            <w:pPr>
              <w:spacing w:after="40" w:before="40" w:line="264" w:lineRule="auto"/>
            </w:pPr>
            <w:r/>
            <w:r>
              <w:rPr>
                <w:rFonts w:ascii="Calibri" w:hAnsi="Calibri"/>
                <w:b w:val="0"/>
                <w:color w:val="1F2933"/>
                <w:sz w:val="18"/>
              </w:rPr>
              <w:t>cv_parser.py</w:t>
            </w:r>
          </w:p>
        </w:tc>
        <w:tc>
          <w:tcPr>
            <w:tcW w:type="dxa" w:w="794"/>
          </w:tcPr>
          <w:p>
            <w:pPr>
              <w:spacing w:after="40" w:before="40" w:line="264" w:lineRule="auto"/>
            </w:pPr>
            <w:r/>
            <w:r>
              <w:rPr>
                <w:rFonts w:ascii="Calibri" w:hAnsi="Calibri"/>
                <w:b w:val="0"/>
                <w:color w:val="1F2933"/>
                <w:sz w:val="18"/>
              </w:rPr>
              <w:t>30</w:t>
            </w:r>
          </w:p>
        </w:tc>
      </w:tr>
      <w:tr>
        <w:tc>
          <w:tcPr>
            <w:tcW w:type="dxa" w:w="567"/>
            <w:shd w:val="clear" w:fill="F4F6F9"/>
          </w:tcPr>
          <w:p>
            <w:pPr>
              <w:spacing w:after="40" w:before="40" w:line="264" w:lineRule="auto"/>
            </w:pPr>
            <w:r/>
            <w:r>
              <w:rPr>
                <w:rFonts w:ascii="Calibri" w:hAnsi="Calibri"/>
                <w:b/>
                <w:color w:val="1F2933"/>
                <w:sz w:val="18"/>
              </w:rPr>
              <w:t>M2</w:t>
            </w:r>
          </w:p>
        </w:tc>
        <w:tc>
          <w:tcPr>
            <w:tcW w:type="dxa" w:w="2608"/>
            <w:shd w:val="clear" w:fill="F4F6F9"/>
          </w:tcPr>
          <w:p>
            <w:pPr>
              <w:spacing w:after="40" w:before="40" w:line="264" w:lineRule="auto"/>
            </w:pPr>
            <w:r/>
            <w:r>
              <w:rPr>
                <w:rFonts w:ascii="Calibri" w:hAnsi="Calibri"/>
                <w:b w:val="0"/>
                <w:color w:val="1F2933"/>
                <w:sz w:val="18"/>
              </w:rPr>
              <w:t>Job description parsing</w:t>
            </w:r>
          </w:p>
        </w:tc>
        <w:tc>
          <w:tcPr>
            <w:tcW w:type="dxa" w:w="2948"/>
            <w:shd w:val="clear" w:fill="F4F6F9"/>
          </w:tcPr>
          <w:p>
            <w:pPr>
              <w:spacing w:after="40" w:before="40" w:line="264" w:lineRule="auto"/>
            </w:pPr>
            <w:r/>
            <w:r>
              <w:rPr>
                <w:rFonts w:ascii="Calibri" w:hAnsi="Calibri"/>
                <w:b w:val="0"/>
                <w:color w:val="1F2933"/>
                <w:sz w:val="18"/>
              </w:rPr>
              <w:t>jd_parser.py</w:t>
            </w:r>
          </w:p>
        </w:tc>
        <w:tc>
          <w:tcPr>
            <w:tcW w:type="dxa" w:w="794"/>
            <w:shd w:val="clear" w:fill="F4F6F9"/>
          </w:tcPr>
          <w:p>
            <w:pPr>
              <w:spacing w:after="40" w:before="40" w:line="264" w:lineRule="auto"/>
            </w:pPr>
            <w:r/>
            <w:r>
              <w:rPr>
                <w:rFonts w:ascii="Calibri" w:hAnsi="Calibri"/>
                <w:b w:val="0"/>
                <w:color w:val="1F2933"/>
                <w:sz w:val="18"/>
              </w:rPr>
              <w:t>20</w:t>
            </w:r>
          </w:p>
        </w:tc>
      </w:tr>
      <w:tr>
        <w:tc>
          <w:tcPr>
            <w:tcW w:type="dxa" w:w="567"/>
          </w:tcPr>
          <w:p>
            <w:pPr>
              <w:spacing w:after="40" w:before="40" w:line="264" w:lineRule="auto"/>
            </w:pPr>
            <w:r/>
            <w:r>
              <w:rPr>
                <w:rFonts w:ascii="Calibri" w:hAnsi="Calibri"/>
                <w:b/>
                <w:color w:val="1F2933"/>
                <w:sz w:val="18"/>
              </w:rPr>
              <w:t>M3</w:t>
            </w:r>
          </w:p>
        </w:tc>
        <w:tc>
          <w:tcPr>
            <w:tcW w:type="dxa" w:w="2608"/>
          </w:tcPr>
          <w:p>
            <w:pPr>
              <w:spacing w:after="40" w:before="40" w:line="264" w:lineRule="auto"/>
            </w:pPr>
            <w:r/>
            <w:r>
              <w:rPr>
                <w:rFonts w:ascii="Calibri" w:hAnsi="Calibri"/>
                <w:b w:val="0"/>
                <w:color w:val="1F2933"/>
                <w:sz w:val="18"/>
              </w:rPr>
              <w:t>Skill graph and matching</w:t>
            </w:r>
          </w:p>
        </w:tc>
        <w:tc>
          <w:tcPr>
            <w:tcW w:type="dxa" w:w="2948"/>
          </w:tcPr>
          <w:p>
            <w:pPr>
              <w:spacing w:after="40" w:before="40" w:line="264" w:lineRule="auto"/>
            </w:pPr>
            <w:r/>
            <w:r>
              <w:rPr>
                <w:rFonts w:ascii="Calibri" w:hAnsi="Calibri"/>
                <w:b w:val="0"/>
                <w:color w:val="1F2933"/>
                <w:sz w:val="18"/>
              </w:rPr>
              <w:t>skill_graph.py</w:t>
            </w:r>
          </w:p>
        </w:tc>
        <w:tc>
          <w:tcPr>
            <w:tcW w:type="dxa" w:w="794"/>
          </w:tcPr>
          <w:p>
            <w:pPr>
              <w:spacing w:after="40" w:before="40" w:line="264" w:lineRule="auto"/>
            </w:pPr>
            <w:r/>
            <w:r>
              <w:rPr>
                <w:rFonts w:ascii="Calibri" w:hAnsi="Calibri"/>
                <w:b w:val="0"/>
                <w:color w:val="1F2933"/>
                <w:sz w:val="18"/>
              </w:rPr>
              <w:t>497</w:t>
            </w:r>
          </w:p>
        </w:tc>
      </w:tr>
      <w:tr>
        <w:tc>
          <w:tcPr>
            <w:tcW w:type="dxa" w:w="567"/>
            <w:shd w:val="clear" w:fill="F4F6F9"/>
          </w:tcPr>
          <w:p>
            <w:pPr>
              <w:spacing w:after="40" w:before="40" w:line="264" w:lineRule="auto"/>
            </w:pPr>
            <w:r/>
            <w:r>
              <w:rPr>
                <w:rFonts w:ascii="Calibri" w:hAnsi="Calibri"/>
                <w:b/>
                <w:color w:val="1F2933"/>
                <w:sz w:val="18"/>
              </w:rPr>
              <w:t>M4</w:t>
            </w:r>
          </w:p>
        </w:tc>
        <w:tc>
          <w:tcPr>
            <w:tcW w:type="dxa" w:w="2608"/>
            <w:shd w:val="clear" w:fill="F4F6F9"/>
          </w:tcPr>
          <w:p>
            <w:pPr>
              <w:spacing w:after="40" w:before="40" w:line="264" w:lineRule="auto"/>
            </w:pPr>
            <w:r/>
            <w:r>
              <w:rPr>
                <w:rFonts w:ascii="Calibri" w:hAnsi="Calibri"/>
                <w:b w:val="0"/>
                <w:color w:val="1F2933"/>
                <w:sz w:val="18"/>
              </w:rPr>
              <w:t>Question generation</w:t>
            </w:r>
          </w:p>
        </w:tc>
        <w:tc>
          <w:tcPr>
            <w:tcW w:type="dxa" w:w="2948"/>
            <w:shd w:val="clear" w:fill="F4F6F9"/>
          </w:tcPr>
          <w:p>
            <w:pPr>
              <w:spacing w:after="40" w:before="40" w:line="264" w:lineRule="auto"/>
            </w:pPr>
            <w:r/>
            <w:r>
              <w:rPr>
                <w:rFonts w:ascii="Calibri" w:hAnsi="Calibri"/>
                <w:b w:val="0"/>
                <w:color w:val="1F2933"/>
                <w:sz w:val="18"/>
              </w:rPr>
              <w:t>question_generator.py</w:t>
            </w:r>
          </w:p>
        </w:tc>
        <w:tc>
          <w:tcPr>
            <w:tcW w:type="dxa" w:w="794"/>
            <w:shd w:val="clear" w:fill="F4F6F9"/>
          </w:tcPr>
          <w:p>
            <w:pPr>
              <w:spacing w:after="40" w:before="40" w:line="264" w:lineRule="auto"/>
            </w:pPr>
            <w:r/>
            <w:r>
              <w:rPr>
                <w:rFonts w:ascii="Calibri" w:hAnsi="Calibri"/>
                <w:b w:val="0"/>
                <w:color w:val="1F2933"/>
                <w:sz w:val="18"/>
              </w:rPr>
              <w:t>125</w:t>
            </w:r>
          </w:p>
        </w:tc>
      </w:tr>
      <w:tr>
        <w:tc>
          <w:tcPr>
            <w:tcW w:type="dxa" w:w="567"/>
          </w:tcPr>
          <w:p>
            <w:pPr>
              <w:spacing w:after="40" w:before="40" w:line="264" w:lineRule="auto"/>
            </w:pPr>
            <w:r/>
            <w:r>
              <w:rPr>
                <w:rFonts w:ascii="Calibri" w:hAnsi="Calibri"/>
                <w:b/>
                <w:color w:val="1F2933"/>
                <w:sz w:val="18"/>
              </w:rPr>
              <w:t>M5</w:t>
            </w:r>
          </w:p>
        </w:tc>
        <w:tc>
          <w:tcPr>
            <w:tcW w:type="dxa" w:w="2608"/>
          </w:tcPr>
          <w:p>
            <w:pPr>
              <w:spacing w:after="40" w:before="40" w:line="264" w:lineRule="auto"/>
            </w:pPr>
            <w:r/>
            <w:r>
              <w:rPr>
                <w:rFonts w:ascii="Calibri" w:hAnsi="Calibri"/>
                <w:b w:val="0"/>
                <w:color w:val="1F2933"/>
                <w:sz w:val="18"/>
              </w:rPr>
              <w:t>Voice interview agent</w:t>
            </w:r>
          </w:p>
        </w:tc>
        <w:tc>
          <w:tcPr>
            <w:tcW w:type="dxa" w:w="2948"/>
          </w:tcPr>
          <w:p>
            <w:pPr>
              <w:spacing w:after="40" w:before="40" w:line="264" w:lineRule="auto"/>
            </w:pPr>
            <w:r/>
            <w:r>
              <w:rPr>
                <w:rFonts w:ascii="Calibri" w:hAnsi="Calibri"/>
                <w:b w:val="0"/>
                <w:color w:val="1F2933"/>
                <w:sz w:val="18"/>
              </w:rPr>
              <w:t>voice_agent.py</w:t>
            </w:r>
          </w:p>
        </w:tc>
        <w:tc>
          <w:tcPr>
            <w:tcW w:type="dxa" w:w="794"/>
          </w:tcPr>
          <w:p>
            <w:pPr>
              <w:spacing w:after="40" w:before="40" w:line="264" w:lineRule="auto"/>
            </w:pPr>
            <w:r/>
            <w:r>
              <w:rPr>
                <w:rFonts w:ascii="Calibri" w:hAnsi="Calibri"/>
                <w:b w:val="0"/>
                <w:color w:val="1F2933"/>
                <w:sz w:val="18"/>
              </w:rPr>
              <w:t>497</w:t>
            </w:r>
          </w:p>
        </w:tc>
      </w:tr>
      <w:tr>
        <w:tc>
          <w:tcPr>
            <w:tcW w:type="dxa" w:w="567"/>
            <w:shd w:val="clear" w:fill="F4F6F9"/>
          </w:tcPr>
          <w:p>
            <w:pPr>
              <w:spacing w:after="40" w:before="40" w:line="264" w:lineRule="auto"/>
            </w:pPr>
            <w:r/>
            <w:r>
              <w:rPr>
                <w:rFonts w:ascii="Calibri" w:hAnsi="Calibri"/>
                <w:b/>
                <w:color w:val="1F2933"/>
                <w:sz w:val="18"/>
              </w:rPr>
              <w:t>M5t</w:t>
            </w:r>
          </w:p>
        </w:tc>
        <w:tc>
          <w:tcPr>
            <w:tcW w:type="dxa" w:w="2608"/>
            <w:shd w:val="clear" w:fill="F4F6F9"/>
          </w:tcPr>
          <w:p>
            <w:pPr>
              <w:spacing w:after="40" w:before="40" w:line="264" w:lineRule="auto"/>
            </w:pPr>
            <w:r/>
            <w:r>
              <w:rPr>
                <w:rFonts w:ascii="Calibri" w:hAnsi="Calibri"/>
                <w:b w:val="0"/>
                <w:color w:val="1F2933"/>
                <w:sz w:val="18"/>
              </w:rPr>
              <w:t>Text interview engine</w:t>
            </w:r>
          </w:p>
        </w:tc>
        <w:tc>
          <w:tcPr>
            <w:tcW w:type="dxa" w:w="2948"/>
            <w:shd w:val="clear" w:fill="F4F6F9"/>
          </w:tcPr>
          <w:p>
            <w:pPr>
              <w:spacing w:after="40" w:before="40" w:line="264" w:lineRule="auto"/>
            </w:pPr>
            <w:r/>
            <w:r>
              <w:rPr>
                <w:rFonts w:ascii="Calibri" w:hAnsi="Calibri"/>
                <w:b w:val="0"/>
                <w:color w:val="1F2933"/>
                <w:sz w:val="18"/>
              </w:rPr>
              <w:t>text_interview.py</w:t>
            </w:r>
          </w:p>
        </w:tc>
        <w:tc>
          <w:tcPr>
            <w:tcW w:type="dxa" w:w="794"/>
            <w:shd w:val="clear" w:fill="F4F6F9"/>
          </w:tcPr>
          <w:p>
            <w:pPr>
              <w:spacing w:after="40" w:before="40" w:line="264" w:lineRule="auto"/>
            </w:pPr>
            <w:r/>
            <w:r>
              <w:rPr>
                <w:rFonts w:ascii="Calibri" w:hAnsi="Calibri"/>
                <w:b w:val="0"/>
                <w:color w:val="1F2933"/>
                <w:sz w:val="18"/>
              </w:rPr>
              <w:t>172</w:t>
            </w:r>
          </w:p>
        </w:tc>
      </w:tr>
      <w:tr>
        <w:tc>
          <w:tcPr>
            <w:tcW w:type="dxa" w:w="567"/>
          </w:tcPr>
          <w:p>
            <w:pPr>
              <w:spacing w:after="40" w:before="40" w:line="264" w:lineRule="auto"/>
            </w:pPr>
            <w:r/>
            <w:r>
              <w:rPr>
                <w:rFonts w:ascii="Calibri" w:hAnsi="Calibri"/>
                <w:b/>
                <w:color w:val="1F2933"/>
                <w:sz w:val="18"/>
              </w:rPr>
              <w:t>M6</w:t>
            </w:r>
          </w:p>
        </w:tc>
        <w:tc>
          <w:tcPr>
            <w:tcW w:type="dxa" w:w="2608"/>
          </w:tcPr>
          <w:p>
            <w:pPr>
              <w:spacing w:after="40" w:before="40" w:line="264" w:lineRule="auto"/>
            </w:pPr>
            <w:r/>
            <w:r>
              <w:rPr>
                <w:rFonts w:ascii="Calibri" w:hAnsi="Calibri"/>
                <w:b w:val="0"/>
                <w:color w:val="1F2933"/>
                <w:sz w:val="18"/>
              </w:rPr>
              <w:t>Answer judge</w:t>
            </w:r>
          </w:p>
        </w:tc>
        <w:tc>
          <w:tcPr>
            <w:tcW w:type="dxa" w:w="2948"/>
          </w:tcPr>
          <w:p>
            <w:pPr>
              <w:spacing w:after="40" w:before="40" w:line="264" w:lineRule="auto"/>
            </w:pPr>
            <w:r/>
            <w:r>
              <w:rPr>
                <w:rFonts w:ascii="Calibri" w:hAnsi="Calibri"/>
                <w:b w:val="0"/>
                <w:color w:val="1F2933"/>
                <w:sz w:val="18"/>
              </w:rPr>
              <w:t>answer_judge.py</w:t>
            </w:r>
          </w:p>
        </w:tc>
        <w:tc>
          <w:tcPr>
            <w:tcW w:type="dxa" w:w="794"/>
          </w:tcPr>
          <w:p>
            <w:pPr>
              <w:spacing w:after="40" w:before="40" w:line="264" w:lineRule="auto"/>
            </w:pPr>
            <w:r/>
            <w:r>
              <w:rPr>
                <w:rFonts w:ascii="Calibri" w:hAnsi="Calibri"/>
                <w:b w:val="0"/>
                <w:color w:val="1F2933"/>
                <w:sz w:val="18"/>
              </w:rPr>
              <w:t>194</w:t>
            </w:r>
          </w:p>
        </w:tc>
      </w:tr>
      <w:tr>
        <w:tc>
          <w:tcPr>
            <w:tcW w:type="dxa" w:w="567"/>
            <w:shd w:val="clear" w:fill="F4F6F9"/>
          </w:tcPr>
          <w:p>
            <w:pPr>
              <w:spacing w:after="40" w:before="40" w:line="264" w:lineRule="auto"/>
            </w:pPr>
            <w:r/>
            <w:r>
              <w:rPr>
                <w:rFonts w:ascii="Calibri" w:hAnsi="Calibri"/>
                <w:b/>
                <w:color w:val="1F2933"/>
                <w:sz w:val="18"/>
              </w:rPr>
              <w:t>M6a</w:t>
            </w:r>
          </w:p>
        </w:tc>
        <w:tc>
          <w:tcPr>
            <w:tcW w:type="dxa" w:w="2608"/>
            <w:shd w:val="clear" w:fill="F4F6F9"/>
          </w:tcPr>
          <w:p>
            <w:pPr>
              <w:spacing w:after="40" w:before="40" w:line="264" w:lineRule="auto"/>
            </w:pPr>
            <w:r/>
            <w:r>
              <w:rPr>
                <w:rFonts w:ascii="Calibri" w:hAnsi="Calibri"/>
                <w:b w:val="0"/>
                <w:color w:val="1F2933"/>
                <w:sz w:val="18"/>
              </w:rPr>
              <w:t>Skill state tracker</w:t>
            </w:r>
          </w:p>
        </w:tc>
        <w:tc>
          <w:tcPr>
            <w:tcW w:type="dxa" w:w="2948"/>
            <w:shd w:val="clear" w:fill="F4F6F9"/>
          </w:tcPr>
          <w:p>
            <w:pPr>
              <w:spacing w:after="40" w:before="40" w:line="264" w:lineRule="auto"/>
            </w:pPr>
            <w:r/>
            <w:r>
              <w:rPr>
                <w:rFonts w:ascii="Calibri" w:hAnsi="Calibri"/>
                <w:b w:val="0"/>
                <w:color w:val="1F2933"/>
                <w:sz w:val="18"/>
              </w:rPr>
              <w:t>skill_state.py</w:t>
            </w:r>
          </w:p>
        </w:tc>
        <w:tc>
          <w:tcPr>
            <w:tcW w:type="dxa" w:w="794"/>
            <w:shd w:val="clear" w:fill="F4F6F9"/>
          </w:tcPr>
          <w:p>
            <w:pPr>
              <w:spacing w:after="40" w:before="40" w:line="264" w:lineRule="auto"/>
            </w:pPr>
            <w:r/>
            <w:r>
              <w:rPr>
                <w:rFonts w:ascii="Calibri" w:hAnsi="Calibri"/>
                <w:b w:val="0"/>
                <w:color w:val="1F2933"/>
                <w:sz w:val="18"/>
              </w:rPr>
              <w:t>90</w:t>
            </w:r>
          </w:p>
        </w:tc>
      </w:tr>
      <w:tr>
        <w:tc>
          <w:tcPr>
            <w:tcW w:type="dxa" w:w="567"/>
          </w:tcPr>
          <w:p>
            <w:pPr>
              <w:spacing w:after="40" w:before="40" w:line="264" w:lineRule="auto"/>
            </w:pPr>
            <w:r/>
            <w:r>
              <w:rPr>
                <w:rFonts w:ascii="Calibri" w:hAnsi="Calibri"/>
                <w:b/>
                <w:color w:val="1F2933"/>
                <w:sz w:val="18"/>
              </w:rPr>
              <w:t>M7/M8</w:t>
            </w:r>
          </w:p>
        </w:tc>
        <w:tc>
          <w:tcPr>
            <w:tcW w:type="dxa" w:w="2608"/>
          </w:tcPr>
          <w:p>
            <w:pPr>
              <w:spacing w:after="40" w:before="40" w:line="264" w:lineRule="auto"/>
            </w:pPr>
            <w:r/>
            <w:r>
              <w:rPr>
                <w:rFonts w:ascii="Calibri" w:hAnsi="Calibri"/>
                <w:b w:val="0"/>
                <w:color w:val="1F2933"/>
                <w:sz w:val="18"/>
              </w:rPr>
              <w:t>Attention and posture</w:t>
            </w:r>
          </w:p>
        </w:tc>
        <w:tc>
          <w:tcPr>
            <w:tcW w:type="dxa" w:w="2948"/>
          </w:tcPr>
          <w:p>
            <w:pPr>
              <w:spacing w:after="40" w:before="40" w:line="264" w:lineRule="auto"/>
            </w:pPr>
            <w:r/>
            <w:r>
              <w:rPr>
                <w:rFonts w:ascii="Calibri" w:hAnsi="Calibri"/>
                <w:b w:val="0"/>
                <w:color w:val="1F2933"/>
                <w:sz w:val="18"/>
              </w:rPr>
              <w:t>vision.js</w:t>
            </w:r>
          </w:p>
        </w:tc>
        <w:tc>
          <w:tcPr>
            <w:tcW w:type="dxa" w:w="794"/>
          </w:tcPr>
          <w:p>
            <w:pPr>
              <w:spacing w:after="40" w:before="40" w:line="264" w:lineRule="auto"/>
            </w:pPr>
            <w:r/>
            <w:r>
              <w:rPr>
                <w:rFonts w:ascii="Calibri" w:hAnsi="Calibri"/>
                <w:b w:val="0"/>
                <w:color w:val="1F2933"/>
                <w:sz w:val="18"/>
              </w:rPr>
              <w:t>279</w:t>
            </w:r>
          </w:p>
        </w:tc>
      </w:tr>
      <w:tr>
        <w:tc>
          <w:tcPr>
            <w:tcW w:type="dxa" w:w="567"/>
            <w:shd w:val="clear" w:fill="F4F6F9"/>
          </w:tcPr>
          <w:p>
            <w:pPr>
              <w:spacing w:after="40" w:before="40" w:line="264" w:lineRule="auto"/>
            </w:pPr>
            <w:r/>
            <w:r>
              <w:rPr>
                <w:rFonts w:ascii="Calibri" w:hAnsi="Calibri"/>
                <w:b/>
                <w:color w:val="1F2933"/>
                <w:sz w:val="18"/>
              </w:rPr>
              <w:t>M9</w:t>
            </w:r>
          </w:p>
        </w:tc>
        <w:tc>
          <w:tcPr>
            <w:tcW w:type="dxa" w:w="2608"/>
            <w:shd w:val="clear" w:fill="F4F6F9"/>
          </w:tcPr>
          <w:p>
            <w:pPr>
              <w:spacing w:after="40" w:before="40" w:line="264" w:lineRule="auto"/>
            </w:pPr>
            <w:r/>
            <w:r>
              <w:rPr>
                <w:rFonts w:ascii="Calibri" w:hAnsi="Calibri"/>
                <w:b w:val="0"/>
                <w:color w:val="1F2933"/>
                <w:sz w:val="18"/>
              </w:rPr>
              <w:t>Behavioural integrity</w:t>
            </w:r>
          </w:p>
        </w:tc>
        <w:tc>
          <w:tcPr>
            <w:tcW w:type="dxa" w:w="2948"/>
            <w:shd w:val="clear" w:fill="F4F6F9"/>
          </w:tcPr>
          <w:p>
            <w:pPr>
              <w:spacing w:after="40" w:before="40" w:line="264" w:lineRule="auto"/>
            </w:pPr>
            <w:r/>
            <w:r>
              <w:rPr>
                <w:rFonts w:ascii="Calibri" w:hAnsi="Calibri"/>
                <w:b w:val="0"/>
                <w:color w:val="1F2933"/>
                <w:sz w:val="18"/>
              </w:rPr>
              <w:t>behavioural_integrity.py</w:t>
            </w:r>
          </w:p>
        </w:tc>
        <w:tc>
          <w:tcPr>
            <w:tcW w:type="dxa" w:w="794"/>
            <w:shd w:val="clear" w:fill="F4F6F9"/>
          </w:tcPr>
          <w:p>
            <w:pPr>
              <w:spacing w:after="40" w:before="40" w:line="264" w:lineRule="auto"/>
            </w:pPr>
            <w:r/>
            <w:r>
              <w:rPr>
                <w:rFonts w:ascii="Calibri" w:hAnsi="Calibri"/>
                <w:b w:val="0"/>
                <w:color w:val="1F2933"/>
                <w:sz w:val="18"/>
              </w:rPr>
              <w:t>183</w:t>
            </w:r>
          </w:p>
        </w:tc>
      </w:tr>
      <w:tr>
        <w:tc>
          <w:tcPr>
            <w:tcW w:type="dxa" w:w="567"/>
          </w:tcPr>
          <w:p>
            <w:pPr>
              <w:spacing w:after="40" w:before="40" w:line="264" w:lineRule="auto"/>
            </w:pPr>
            <w:r/>
            <w:r>
              <w:rPr>
                <w:rFonts w:ascii="Calibri" w:hAnsi="Calibri"/>
                <w:b/>
                <w:color w:val="1F2933"/>
                <w:sz w:val="18"/>
              </w:rPr>
              <w:t>M10</w:t>
            </w:r>
          </w:p>
        </w:tc>
        <w:tc>
          <w:tcPr>
            <w:tcW w:type="dxa" w:w="2608"/>
          </w:tcPr>
          <w:p>
            <w:pPr>
              <w:spacing w:after="40" w:before="40" w:line="264" w:lineRule="auto"/>
            </w:pPr>
            <w:r/>
            <w:r>
              <w:rPr>
                <w:rFonts w:ascii="Calibri" w:hAnsi="Calibri"/>
                <w:b w:val="0"/>
                <w:color w:val="1F2933"/>
                <w:sz w:val="18"/>
              </w:rPr>
              <w:t>Vocal delivery</w:t>
            </w:r>
          </w:p>
        </w:tc>
        <w:tc>
          <w:tcPr>
            <w:tcW w:type="dxa" w:w="2948"/>
          </w:tcPr>
          <w:p>
            <w:pPr>
              <w:spacing w:after="40" w:before="40" w:line="264" w:lineRule="auto"/>
            </w:pPr>
            <w:r/>
            <w:r>
              <w:rPr>
                <w:rFonts w:ascii="Calibri" w:hAnsi="Calibri"/>
                <w:b w:val="0"/>
                <w:color w:val="1F2933"/>
                <w:sz w:val="18"/>
              </w:rPr>
              <w:t>voice.js</w:t>
            </w:r>
          </w:p>
        </w:tc>
        <w:tc>
          <w:tcPr>
            <w:tcW w:type="dxa" w:w="794"/>
          </w:tcPr>
          <w:p>
            <w:pPr>
              <w:spacing w:after="40" w:before="40" w:line="264" w:lineRule="auto"/>
            </w:pPr>
            <w:r/>
            <w:r>
              <w:rPr>
                <w:rFonts w:ascii="Calibri" w:hAnsi="Calibri"/>
                <w:b w:val="0"/>
                <w:color w:val="1F2933"/>
                <w:sz w:val="18"/>
              </w:rPr>
              <w:t>162</w:t>
            </w:r>
          </w:p>
        </w:tc>
      </w:tr>
      <w:tr>
        <w:tc>
          <w:tcPr>
            <w:tcW w:type="dxa" w:w="567"/>
            <w:shd w:val="clear" w:fill="F4F6F9"/>
          </w:tcPr>
          <w:p>
            <w:pPr>
              <w:spacing w:after="40" w:before="40" w:line="264" w:lineRule="auto"/>
            </w:pPr>
            <w:r/>
            <w:r>
              <w:rPr>
                <w:rFonts w:ascii="Calibri" w:hAnsi="Calibri"/>
                <w:b/>
                <w:color w:val="1F2933"/>
                <w:sz w:val="18"/>
              </w:rPr>
              <w:t>M11</w:t>
            </w:r>
          </w:p>
        </w:tc>
        <w:tc>
          <w:tcPr>
            <w:tcW w:type="dxa" w:w="2608"/>
            <w:shd w:val="clear" w:fill="F4F6F9"/>
          </w:tcPr>
          <w:p>
            <w:pPr>
              <w:spacing w:after="40" w:before="40" w:line="264" w:lineRule="auto"/>
            </w:pPr>
            <w:r/>
            <w:r>
              <w:rPr>
                <w:rFonts w:ascii="Calibri" w:hAnsi="Calibri"/>
                <w:b w:val="0"/>
                <w:color w:val="1F2933"/>
                <w:sz w:val="18"/>
              </w:rPr>
              <w:t>Weighted fusion</w:t>
            </w:r>
          </w:p>
        </w:tc>
        <w:tc>
          <w:tcPr>
            <w:tcW w:type="dxa" w:w="2948"/>
            <w:shd w:val="clear" w:fill="F4F6F9"/>
          </w:tcPr>
          <w:p>
            <w:pPr>
              <w:spacing w:after="40" w:before="40" w:line="264" w:lineRule="auto"/>
            </w:pPr>
            <w:r/>
            <w:r>
              <w:rPr>
                <w:rFonts w:ascii="Calibri" w:hAnsi="Calibri"/>
                <w:b w:val="0"/>
                <w:color w:val="1F2933"/>
                <w:sz w:val="18"/>
              </w:rPr>
              <w:t>score_fusion.py</w:t>
            </w:r>
          </w:p>
        </w:tc>
        <w:tc>
          <w:tcPr>
            <w:tcW w:type="dxa" w:w="794"/>
            <w:shd w:val="clear" w:fill="F4F6F9"/>
          </w:tcPr>
          <w:p>
            <w:pPr>
              <w:spacing w:after="40" w:before="40" w:line="264" w:lineRule="auto"/>
            </w:pPr>
            <w:r/>
            <w:r>
              <w:rPr>
                <w:rFonts w:ascii="Calibri" w:hAnsi="Calibri"/>
                <w:b w:val="0"/>
                <w:color w:val="1F2933"/>
                <w:sz w:val="18"/>
              </w:rPr>
              <w:t>186</w:t>
            </w:r>
          </w:p>
        </w:tc>
      </w:tr>
      <w:tr>
        <w:tc>
          <w:tcPr>
            <w:tcW w:type="dxa" w:w="567"/>
          </w:tcPr>
          <w:p>
            <w:pPr>
              <w:spacing w:after="40" w:before="40" w:line="264" w:lineRule="auto"/>
            </w:pPr>
            <w:r/>
            <w:r>
              <w:rPr>
                <w:rFonts w:ascii="Calibri" w:hAnsi="Calibri"/>
                <w:b/>
                <w:color w:val="1F2933"/>
                <w:sz w:val="18"/>
              </w:rPr>
              <w:t>M12</w:t>
            </w:r>
          </w:p>
        </w:tc>
        <w:tc>
          <w:tcPr>
            <w:tcW w:type="dxa" w:w="2608"/>
          </w:tcPr>
          <w:p>
            <w:pPr>
              <w:spacing w:after="40" w:before="40" w:line="264" w:lineRule="auto"/>
            </w:pPr>
            <w:r/>
            <w:r>
              <w:rPr>
                <w:rFonts w:ascii="Calibri" w:hAnsi="Calibri"/>
                <w:b w:val="0"/>
                <w:color w:val="1F2933"/>
                <w:sz w:val="18"/>
              </w:rPr>
              <w:t>Report assembly</w:t>
            </w:r>
          </w:p>
        </w:tc>
        <w:tc>
          <w:tcPr>
            <w:tcW w:type="dxa" w:w="2948"/>
          </w:tcPr>
          <w:p>
            <w:pPr>
              <w:spacing w:after="40" w:before="40" w:line="264" w:lineRule="auto"/>
            </w:pPr>
            <w:r/>
            <w:r>
              <w:rPr>
                <w:rFonts w:ascii="Calibri" w:hAnsi="Calibri"/>
                <w:b w:val="0"/>
                <w:color w:val="1F2933"/>
                <w:sz w:val="18"/>
              </w:rPr>
              <w:t>report_builder.py</w:t>
            </w:r>
          </w:p>
        </w:tc>
        <w:tc>
          <w:tcPr>
            <w:tcW w:type="dxa" w:w="794"/>
          </w:tcPr>
          <w:p>
            <w:pPr>
              <w:spacing w:after="40" w:before="40" w:line="264" w:lineRule="auto"/>
            </w:pPr>
            <w:r/>
            <w:r>
              <w:rPr>
                <w:rFonts w:ascii="Calibri" w:hAnsi="Calibri"/>
                <w:b w:val="0"/>
                <w:color w:val="1F2933"/>
                <w:sz w:val="18"/>
              </w:rPr>
              <w:t>140</w:t>
            </w:r>
          </w:p>
        </w:tc>
      </w:tr>
      <w:tr>
        <w:tc>
          <w:tcPr>
            <w:tcW w:type="dxa" w:w="567"/>
            <w:shd w:val="clear" w:fill="F4F6F9"/>
          </w:tcPr>
          <w:p>
            <w:pPr>
              <w:spacing w:after="40" w:before="40" w:line="264" w:lineRule="auto"/>
            </w:pPr>
            <w:r/>
            <w:r>
              <w:rPr>
                <w:rFonts w:ascii="Calibri" w:hAnsi="Calibri"/>
                <w:b/>
                <w:color w:val="1F2933"/>
                <w:sz w:val="18"/>
              </w:rPr>
            </w:r>
          </w:p>
        </w:tc>
        <w:tc>
          <w:tcPr>
            <w:tcW w:type="dxa" w:w="2608"/>
            <w:shd w:val="clear" w:fill="F4F6F9"/>
          </w:tcPr>
          <w:p>
            <w:pPr>
              <w:spacing w:after="40" w:before="40" w:line="264" w:lineRule="auto"/>
            </w:pPr>
            <w:r/>
            <w:r>
              <w:rPr>
                <w:rFonts w:ascii="Calibri" w:hAnsi="Calibri"/>
                <w:b w:val="0"/>
                <w:color w:val="1F2933"/>
                <w:sz w:val="18"/>
              </w:rPr>
              <w:t>Total across the thirteen modules</w:t>
            </w:r>
          </w:p>
        </w:tc>
        <w:tc>
          <w:tcPr>
            <w:tcW w:type="dxa" w:w="2948"/>
            <w:shd w:val="clear" w:fill="F4F6F9"/>
          </w:tcPr>
          <w:p>
            <w:pPr>
              <w:spacing w:after="40" w:before="40" w:line="264" w:lineRule="auto"/>
            </w:pPr>
            <w:r/>
            <w:r>
              <w:rPr>
                <w:rFonts w:ascii="Calibri" w:hAnsi="Calibri"/>
                <w:b w:val="0"/>
                <w:color w:val="1F2933"/>
                <w:sz w:val="18"/>
              </w:rPr>
            </w:r>
          </w:p>
        </w:tc>
        <w:tc>
          <w:tcPr>
            <w:tcW w:type="dxa" w:w="794"/>
            <w:shd w:val="clear" w:fill="F4F6F9"/>
          </w:tcPr>
          <w:p>
            <w:pPr>
              <w:spacing w:after="40" w:before="40" w:line="264" w:lineRule="auto"/>
            </w:pPr>
            <w:r/>
            <w:r>
              <w:rPr>
                <w:rFonts w:ascii="Calibri" w:hAnsi="Calibri"/>
                <w:b w:val="0"/>
                <w:color w:val="1F2933"/>
                <w:sz w:val="18"/>
              </w:rPr>
              <w:t>2,575</w:t>
            </w:r>
          </w:p>
        </w:tc>
      </w:tr>
    </w:tbl>
    <w:p>
      <w:pPr>
        <w:spacing w:line="360" w:lineRule="auto" w:after="280"/>
        <w:jc w:val="center"/>
      </w:pPr>
      <w:r>
        <w:rPr>
          <w:rFonts w:ascii="Calibri" w:hAnsi="Calibri"/>
          <w:b w:val="0"/>
          <w:i/>
          <w:color w:val="5B6B7A"/>
          <w:sz w:val="18"/>
        </w:rPr>
        <w:t>Table 5  Each design module and the file implementing it. Line counts exclude blank lines and comments, and are measured at build time.</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appropriate for a research demonstrator and inadequate for anything else. Section 7.3 states the consequences explicitly.</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 the client strips fences, attempts a strict parse, and falls back to a repair pass. This is unglamorous, and it is the difference between a demonstrator that works and one that fails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from cloud platforms and containerisation to testing and data engineering; a soft-skill extension covers five categories ESCO addresses only sparsely. Extension labels take precedence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spacing w:before="160" w:after="6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ui2_graph.png"/>
                    <pic:cNvPicPr/>
                  </pic:nvPicPr>
                  <pic:blipFill>
                    <a:blip r:embed="rId21"/>
                    <a:stretch>
                      <a:fillRect/>
                    </a:stretch>
                  </pic:blipFill>
                  <pic:spPr>
                    <a:xfrm>
                      <a:off x="0" y="0"/>
                      <a:ext cx="5580000" cy="3487500"/>
                    </a:xfrm>
                    <a:prstGeom prst="rect"/>
                  </pic:spPr>
                </pic:pic>
              </a:graphicData>
            </a:graphic>
          </wp:inline>
        </w:drawing>
      </w:r>
    </w:p>
    <w:p>
      <w:pPr>
        <w:spacing w:line="360" w:lineRule="auto" w:after="280"/>
        <w:jc w:val="center"/>
      </w:pPr>
      <w:r>
        <w:rPr>
          <w:rFonts w:ascii="Calibri" w:hAnsi="Calibri"/>
          <w:b w:val="0"/>
          <w:i/>
          <w:color w:val="5B6B7A"/>
          <w:sz w:val="18"/>
        </w:rPr>
        <w:t>Figure 17  The skill graph as built for a real pair of documents. Three of six required skills were evidenced on the CV; Kubernetes, AWS and Microservices are reported as gaps against 1,358 matched taxonomy concepts.</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re-sorts technical questions by graph priority before the interview begins, so high-priority gaps are asked first. Questions whose skill the graph does not recognise sort after graph-derived ones but are not discarded. The unit tests assert this ordering using a fixture in which the model's emission order is the reverse of the priority order.</w:t>
      </w:r>
    </w:p>
    <w:p>
      <w:pPr>
        <w:spacing w:before="160" w:after="6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ui3_questions.png"/>
                    <pic:cNvPicPr/>
                  </pic:nvPicPr>
                  <pic:blipFill>
                    <a:blip r:embed="rId22"/>
                    <a:stretch>
                      <a:fillRect/>
                    </a:stretch>
                  </pic:blipFill>
                  <pic:spPr>
                    <a:xfrm>
                      <a:off x="0" y="0"/>
                      <a:ext cx="5580000" cy="3487500"/>
                    </a:xfrm>
                    <a:prstGeom prst="rect"/>
                  </pic:spPr>
                </pic:pic>
              </a:graphicData>
            </a:graphic>
          </wp:inline>
        </w:drawing>
      </w:r>
    </w:p>
    <w:p>
      <w:pPr>
        <w:spacing w:line="360" w:lineRule="auto" w:after="280"/>
        <w:jc w:val="center"/>
      </w:pPr>
      <w:r>
        <w:rPr>
          <w:rFonts w:ascii="Calibri" w:hAnsi="Calibri"/>
          <w:b w:val="0"/>
          <w:i/>
          <w:color w:val="5B6B7A"/>
          <w:sz w:val="18"/>
        </w:rPr>
        <w:t>Figure 18  Generated questions for the same pair of documents. Each technical question carries the skill it targets and a difficulty; the AWS and Kubernetes questions are those the graph identified as gaps, which is Objective 2 operating end to end.</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are worth recording.</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Buffering each complete utterance before synthesising it costs a little latency and buys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where the agent spoke the greeting then went quiet. The synthesis quota had been exhausted, and an exhausted quota accepts the connection and returns no audio — indistinguishable from success unless the frames are inspected. A startup probe now pushes two characters through the engine and confirms audio comes back before the interview begins; failing that it falls through to the alternative provider, and failing both it runs text-only with questions still displayed. The interview degrades rather than fails.</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needs no branch on mode; and the minimum question count is clamped never to exceed the maximum, without which a run configured for three questions would never reach its own limit. Text mode also enables a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merged, so a question split by a pause still produces one exchange, and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proceeds as designed in Section 4.7: a reference answer is generated, the answer judged twice under permuted rubric orderings, the mean taken and the spread retained. One detail matters. The judge returns four criterion marks and a total, and the implementation trusts the marks over the model's arithmetic — where the stated total differs from the sum by more than two points, the sum wins. Models are unreliable at addition in a way they are not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what response time means: measured from question start to answer completion it is twenty to sixty seconds, but an initial baseline assumed thinking time of five to fifteen and flagged every ordinary session as anomalous. The second is calibration — the raw decision function is not interpretable, so the baseline's first and ninety-ninth percentiles map onto fifty and one hundred, and the bundle is versioned so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deterministic arithmetic rather than a learned combination. Each component is normalised to 0–100, multiplied by its weight and summed, with the full breakdown returned alongside the total so the report can show its working. A unit test asserts the component contributions reconcile with the reported total, guarding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was initially disabled, on the reasoning that a candidate should not talk over the interviewer. In testing this made the framework discard answers from candidates who began replying while the question was still being spoken — natural conversational behaviour. Interruptions were re-enabled with a minimum duration and word count. Live use showed that was still too permissive: a pause for thought ended the turn early, and the rest of the answer, arriving mid-reply, cut the question off. Two apparent faults, one cause — timings suited to conversation, not to interview answers. The windows were lengthened, and the agent now resumes when an apparent interruption produces no speech.</w:t>
      </w:r>
    </w:p>
    <w:p>
      <w:pPr>
        <w:spacing w:line="360" w:lineRule="auto" w:after="160"/>
        <w:jc w:val="both"/>
      </w:pPr>
      <w:r>
        <w:rPr>
          <w:rFonts w:ascii="Calibri" w:hAnsi="Calibri"/>
          <w:b w:val="0"/>
          <w:i w:val="0"/>
          <w:color w:val="1F2933"/>
          <w:sz w:val="22"/>
        </w:rPr>
        <w:t>Answer-length thresholds initially skipped very short replies. This silently dropped genuine non-answers such as “I have not used that” — exactly the evidence a recruiter needs. The threshold now excludes only replies too short to carry assessable content.</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All judging was performed by gemini-2.5-flash, with fixtures generated separately by gemini-flash-lite-latest — a different model from the one grading them, which weakens the objection that the judge recognises its own prose.</w:t>
      </w:r>
    </w:p>
    <w:p>
      <w:pPr>
        <w:spacing w:line="360" w:lineRule="auto" w:after="160"/>
        <w:jc w:val="both"/>
      </w:pPr>
      <w:r>
        <w:rPr>
          <w:rFonts w:ascii="Calibri" w:hAnsi="Calibri"/>
          <w:b w:val="0"/>
          <w:i w:val="0"/>
          <w:color w:val="1F2933"/>
          <w:sz w:val="22"/>
        </w:rPr>
        <w:t>Naming it matters, because it did not survive the project: gemini-2.5-flash was withdrawn from new API keys shortly after these measurements, and the system now runs a later release. The results therefore describe gemini-2.5-flash specifically, not language-model judges in general — the external-dependency risk of Section 7.3, encountered rather than anticipated.</w:t>
      </w:r>
    </w:p>
    <w:p>
      <w:pPr>
        <w:spacing w:line="360" w:lineRule="auto" w:after="160"/>
        <w:jc w:val="both"/>
      </w:pPr>
      <w:r>
        <w:rPr>
          <w:rFonts w:ascii="Calibri" w:hAnsi="Calibri"/>
          <w:b w:val="0"/>
          <w:i w:val="0"/>
          <w:color w:val="1F2933"/>
          <w:sz w:val="22"/>
        </w:rPr>
        <w:t>The sample is deliberately modest: each answer costs two calls and the endpoint throttled concurrency badly. Section 6.10 gives the consequence.</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The three quality levels were scored blind.</w:t>
      </w:r>
    </w:p>
    <w:p>
      <w:pPr>
        <w:spacing w:before="160" w:after="60"/>
        <w:jc w:val="center"/>
      </w:pPr>
      <w:r>
        <w:drawing>
          <wp:inline xmlns:a="http://schemas.openxmlformats.org/drawingml/2006/main" xmlns:pic="http://schemas.openxmlformats.org/drawingml/2006/picture">
            <wp:extent cx="5580000" cy="2464995"/>
            <wp:docPr id="14" name="Picture 14"/>
            <wp:cNvGraphicFramePr>
              <a:graphicFrameLocks noChangeAspect="1"/>
            </wp:cNvGraphicFramePr>
            <a:graphic>
              <a:graphicData uri="http://schemas.openxmlformats.org/drawingml/2006/picture">
                <pic:pic>
                  <pic:nvPicPr>
                    <pic:cNvPr id="0" name="e1_discriminant_validity.png"/>
                    <pic:cNvPicPr/>
                  </pic:nvPicPr>
                  <pic:blipFill>
                    <a:blip r:embed="rId23"/>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5" name="Picture 15"/>
            <wp:cNvGraphicFramePr>
              <a:graphicFrameLocks noChangeAspect="1"/>
            </wp:cNvGraphicFramePr>
            <a:graphic>
              <a:graphicData uri="http://schemas.openxmlformats.org/drawingml/2006/picture">
                <pic:pic>
                  <pic:nvPicPr>
                    <pic:cNvPr id="0" name="e2_positional_bias.png"/>
                    <pic:cNvPicPr/>
                  </pic:nvPicPr>
                  <pic:blipFill>
                    <a:blip r:embed="rId24"/>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reported as one rather than dressed up as a success. The instrumentation is justified by the literature and demonstrably operative — the spread is computed, banded and acted upon for every answer — but on this corpus it never needed to fire. Two readings are possible and these data cannot separate them: either the countermeasure works, or machine-written answers are unusually easy to score consistently and real speech would produce wider spreads. The worked example in Section 6.9 is weak evidence for the second.</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6" name="Picture 16"/>
            <wp:cNvGraphicFramePr>
              <a:graphicFrameLocks noChangeAspect="1"/>
            </wp:cNvGraphicFramePr>
            <a:graphic>
              <a:graphicData uri="http://schemas.openxmlformats.org/drawingml/2006/picture">
                <pic:pic>
                  <pic:nvPicPr>
                    <pic:cNvPr id="0" name="e3_paraphrase_invariance.png"/>
                    <pic:cNvPicPr/>
                  </pic:nvPicPr>
                  <pic:blipFill>
                    <a:blip r:embed="rId25"/>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7" name="Picture 17"/>
            <wp:cNvGraphicFramePr>
              <a:graphicFrameLocks noChangeAspect="1"/>
            </wp:cNvGraphicFramePr>
            <a:graphic>
              <a:graphicData uri="http://schemas.openxmlformats.org/drawingml/2006/picture">
                <pic:pic>
                  <pic:nvPicPr>
                    <pic:cNvPr id="0" name="e4_criterion_correlation.png"/>
                    <pic:cNvPicPr/>
                  </pic:nvPicPr>
                  <pic:blipFill>
                    <a:blip r:embed="rId26"/>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Technically accurate answers do tend to be more complete, since both follow from understanding the material, and no rubric should force them apart. But correlations in this range indicate the four scores carry substantially less than four pieces of information. The judge appears to form an overall impression and distribute it across the criteria — the classic halo effect from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fell short. That defence is weaker than it appeared: if the four marks move together, the breakdown communicates one impression four times rather than decomposing it. It retains value as a record of what the judge was asked to weigh, and the most independent pair does separate, but it is not the diagnostic instrument the design assumed. Section 8.3 proposes scoring each criterion in a separate call.</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8" name="Picture 18"/>
            <wp:cNvGraphicFramePr>
              <a:graphicFrameLocks noChangeAspect="1"/>
            </wp:cNvGraphicFramePr>
            <a:graphic>
              <a:graphicData uri="http://schemas.openxmlformats.org/drawingml/2006/picture">
                <pic:pic>
                  <pic:nvPicPr>
                    <pic:cNvPr id="0" name="e5_verbosity.png"/>
                    <pic:cNvPicPr/>
                  </pic:nvPicPr>
                  <pic:blipFill>
                    <a:blip r:embed="rId27"/>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exercises the full pipeline against a synthetic candidate and job description with live model calls at every stage. It asserts that the graph builds, gap analysis is coherent, questions are generated and ordered by priority, logistics exchanges are excluded, rubric criteria stay in range and sum to the reported score, and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excluded as logistics, so they did not dilute the average. The candidate's admission that they had not used Kubernetes scored 50 rather than zero, because the rubric credits accuracy separately from completeness and an honest acknowledgement contains nothing incorrect. And that answer carried the widest judge disagreement of the session at 10 points — the only moderate-consistency score,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here. Where the machine-written corpus produced almost uniformly high consistency, the one partial answer in a realistic session produced measurably more disagreement. A single observation proves nothing, but it indicates where the instrumentation would earn its place: not on clearly good or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operative, and the one realistic partial answer did produce elevated disagreement. But this project has not demonstrated it catching real failures at scale, and does not claim to.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needs no model download, runs offline, keeps all audio on the candidate's device, and every component of the score — projection, fluency, expression, composure — can be inspected and explained. An emotion label from a black-box classifier could not be. In a project whose organising commitment is explainability, the substitution improves coherence, and is reported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retired without notice. It happened twice here: the fixture model mid-evaluation, the judging model shortly after. The artefact has outlived the model it was measured on.</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served by design, since the system issues no hiring decision. Record-keeping is adequate for a demonstrator and inadequate for deployment, with transcripts stored unencrypted. Bias testing has taken a first step — Chapter 6 tests two documented model biases — but not demographic disparity, which needs exactly the human data this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was that measuring my own work changed it more than planning did. Every significant design decision recorded here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third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core/agents/cv_parser.py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core/agents/jd_parser.py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core/agents/question_generator.py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core/livekit/voice_agent.py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core/evaluator/answer_judge.py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core/graph/skill_state.py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core/evaluator/behavioural_integrity.py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core/evaluator/score_fusion.py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core/report/report_builder.py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core/pipeline/post_interview.py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core/evaluator/answer_judge.py.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p>
      <w:pPr>
        <w:spacing w:before="160" w:after="6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ui1_upload.png"/>
                    <pic:cNvPicPr/>
                  </pic:nvPicPr>
                  <pic:blipFill>
                    <a:blip r:embed="rId28"/>
                    <a:stretch>
                      <a:fillRect/>
                    </a:stretch>
                  </pic:blipFill>
                  <pic:spPr>
                    <a:xfrm>
                      <a:off x="0" y="0"/>
                      <a:ext cx="5580000" cy="3487500"/>
                    </a:xfrm>
                    <a:prstGeom prst="rect"/>
                  </pic:spPr>
                </pic:pic>
              </a:graphicData>
            </a:graphic>
          </wp:inline>
        </w:drawing>
      </w:r>
    </w:p>
    <w:p>
      <w:pPr>
        <w:spacing w:line="360" w:lineRule="auto" w:after="280"/>
        <w:jc w:val="center"/>
      </w:pPr>
      <w:r>
        <w:rPr>
          <w:rFonts w:ascii="Calibri" w:hAnsi="Calibri"/>
          <w:b w:val="0"/>
          <w:i/>
          <w:color w:val="5B6B7A"/>
          <w:sz w:val="18"/>
        </w:rPr>
        <w:t>Figure 19  Step 1. A CV and a job advert are parsed into structured data before anything else runs; the confirmation panels show what was extracted.</w:t>
      </w:r>
    </w:p>
    <w:p>
      <w:pPr>
        <w:spacing w:before="160" w:after="60"/>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ui4_setup.png"/>
                    <pic:cNvPicPr/>
                  </pic:nvPicPr>
                  <pic:blipFill>
                    <a:blip r:embed="rId29"/>
                    <a:stretch>
                      <a:fillRect/>
                    </a:stretch>
                  </pic:blipFill>
                  <pic:spPr>
                    <a:xfrm>
                      <a:off x="0" y="0"/>
                      <a:ext cx="5580000" cy="3487500"/>
                    </a:xfrm>
                    <a:prstGeom prst="rect"/>
                  </pic:spPr>
                </pic:pic>
              </a:graphicData>
            </a:graphic>
          </wp:inline>
        </w:drawing>
      </w:r>
    </w:p>
    <w:p>
      <w:pPr>
        <w:spacing w:line="360" w:lineRule="auto" w:after="280"/>
        <w:jc w:val="center"/>
      </w:pPr>
      <w:r>
        <w:rPr>
          <w:rFonts w:ascii="Calibri" w:hAnsi="Calibri"/>
          <w:b w:val="0"/>
          <w:i/>
          <w:color w:val="5B6B7A"/>
          <w:sz w:val="18"/>
        </w:rPr>
        <w:t>Figure 20  Step 4. The device check and the disclosure screen. Everything the system will measure is named before the interview starts, and the privacy notice states that video and audio are analysed on the candidate's own machine. The camera preview here is a synthetic feed used to capture the screenshot.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Abdul Wahab</cp:lastModifiedBy>
  <cp:revision>1</cp:revision>
  <dcterms:created xsi:type="dcterms:W3CDTF">2013-12-23T23:15:00Z</dcterms:created>
  <dcterms:modified xsi:type="dcterms:W3CDTF">2013-12-23T23:15:00Z</dcterms:modified>
  <cp:category/>
</cp:coreProperties>
</file>