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B365D"/>
          <w:sz w:val="44"/>
        </w:rPr>
        <w:t>Ideation Phase</w:t>
      </w:r>
    </w:p>
    <w:p>
      <w:pPr>
        <w:spacing w:after="280"/>
      </w:pPr>
      <w:r>
        <w:rPr>
          <w:rFonts w:ascii="Calibri" w:hAnsi="Calibri"/>
          <w:b/>
          <w:color w:val="4A5568"/>
          <w:sz w:val="28"/>
        </w:rPr>
        <w:t>Empathize &amp; Discover - Empathy Map Canvas</w:t>
      </w:r>
    </w:p>
    <w:tbl>
      <w:tblPr>
        <w:tblW w:type="auto" w:w="0"/>
        <w:jc w:val="center"/>
        <w:tblLayout w:type="fixed"/>
        <w:tblLook w:firstColumn="1" w:firstRow="1" w:lastColumn="0" w:lastRow="0" w:noHBand="0" w:noVBand="1" w:val="04A0"/>
      </w:tblPr>
      <w:tblGrid>
        <w:gridCol w:w="4680"/>
        <w:gridCol w:w="4680"/>
      </w:tblGrid>
      <w:tr>
        <w:tc>
          <w:tcPr>
            <w:tcW w:type="dxa" w:w="2592"/>
            <w:shd w:val="clear" w:color="auto" w:fill="F0F4F8"/>
            <w:tcMar>
              <w:top w:w="80" w:type="dxa"/>
              <w:bottom w:w="80" w:type="dxa"/>
              <w:left w:w="120" w:type="dxa"/>
              <w:right w:w="120" w:type="dxa"/>
            </w:tcMar>
          </w:tcPr>
          <w:p>
            <w:r>
              <w:rPr>
                <w:rFonts w:ascii="Calibri" w:hAnsi="Calibri"/>
                <w:b/>
                <w:color w:val="1B365D"/>
                <w:sz w:val="21"/>
              </w:rPr>
              <w:t>Date:</w:t>
            </w:r>
          </w:p>
        </w:tc>
        <w:tc>
          <w:tcPr>
            <w:tcW w:type="dxa" w:w="6768"/>
            <w:shd w:val="clear" w:color="auto" w:fill="FAFAFA"/>
            <w:tcMar>
              <w:top w:w="80" w:type="dxa"/>
              <w:bottom w:w="80" w:type="dxa"/>
              <w:left w:w="120" w:type="dxa"/>
              <w:right w:w="120" w:type="dxa"/>
            </w:tcMar>
          </w:tcPr>
          <w:p>
            <w:r>
              <w:rPr>
                <w:rFonts w:ascii="Calibri" w:hAnsi="Calibri"/>
                <w:color w:val="2D3748"/>
                <w:sz w:val="21"/>
              </w:rPr>
              <w:t>30.09.2026</w:t>
            </w:r>
          </w:p>
        </w:tc>
      </w:tr>
      <w:tr>
        <w:tc>
          <w:tcPr>
            <w:tcW w:type="dxa" w:w="2592"/>
            <w:shd w:val="clear" w:color="auto" w:fill="F0F4F8"/>
            <w:tcMar>
              <w:top w:w="80" w:type="dxa"/>
              <w:bottom w:w="80" w:type="dxa"/>
              <w:left w:w="120" w:type="dxa"/>
              <w:right w:w="120" w:type="dxa"/>
            </w:tcMar>
          </w:tcPr>
          <w:p>
            <w:r>
              <w:rPr>
                <w:rFonts w:ascii="Calibri" w:hAnsi="Calibri"/>
                <w:b/>
                <w:color w:val="1B365D"/>
                <w:sz w:val="21"/>
              </w:rPr>
              <w:t>Team ID:</w:t>
            </w:r>
          </w:p>
        </w:tc>
        <w:tc>
          <w:tcPr>
            <w:tcW w:type="dxa" w:w="6768"/>
            <w:shd w:val="clear" w:color="auto" w:fill="FAFAFA"/>
            <w:tcMar>
              <w:top w:w="80" w:type="dxa"/>
              <w:bottom w:w="80" w:type="dxa"/>
              <w:left w:w="120" w:type="dxa"/>
              <w:right w:w="120" w:type="dxa"/>
            </w:tcMar>
          </w:tcPr>
          <w:p>
            <w:r>
              <w:rPr>
                <w:rFonts w:ascii="Calibri" w:hAnsi="Calibri"/>
                <w:color w:val="2D3748"/>
                <w:sz w:val="21"/>
              </w:rPr>
              <w:t>SWTID-2026-2449</w:t>
            </w:r>
          </w:p>
        </w:tc>
      </w:tr>
      <w:tr>
        <w:tc>
          <w:tcPr>
            <w:tcW w:type="dxa" w:w="2592"/>
            <w:shd w:val="clear" w:color="auto" w:fill="F0F4F8"/>
            <w:tcMar>
              <w:top w:w="80" w:type="dxa"/>
              <w:bottom w:w="80" w:type="dxa"/>
              <w:left w:w="120" w:type="dxa"/>
              <w:right w:w="120" w:type="dxa"/>
            </w:tcMar>
          </w:tcPr>
          <w:p>
            <w:r>
              <w:rPr>
                <w:rFonts w:ascii="Calibri" w:hAnsi="Calibri"/>
                <w:b/>
                <w:color w:val="1B365D"/>
                <w:sz w:val="21"/>
              </w:rPr>
              <w:t>Project Name:</w:t>
            </w:r>
          </w:p>
        </w:tc>
        <w:tc>
          <w:tcPr>
            <w:tcW w:type="dxa" w:w="6768"/>
            <w:shd w:val="clear" w:color="auto" w:fill="FAFAFA"/>
            <w:tcMar>
              <w:top w:w="80" w:type="dxa"/>
              <w:bottom w:w="80" w:type="dxa"/>
              <w:left w:w="120" w:type="dxa"/>
              <w:right w:w="120" w:type="dxa"/>
            </w:tcMar>
          </w:tcPr>
          <w:p>
            <w:r>
              <w:rPr>
                <w:rFonts w:ascii="Calibri" w:hAnsi="Calibri"/>
                <w:color w:val="2D3748"/>
                <w:sz w:val="21"/>
              </w:rPr>
              <w:t>Script-Controlled ACL-Restrict Record Access Based on Field Value</w:t>
            </w:r>
          </w:p>
        </w:tc>
      </w:tr>
      <w:tr>
        <w:tc>
          <w:tcPr>
            <w:tcW w:type="dxa" w:w="2592"/>
            <w:shd w:val="clear" w:color="auto" w:fill="F0F4F8"/>
            <w:tcMar>
              <w:top w:w="80" w:type="dxa"/>
              <w:bottom w:w="80" w:type="dxa"/>
              <w:left w:w="120" w:type="dxa"/>
              <w:right w:w="120" w:type="dxa"/>
            </w:tcMar>
          </w:tcPr>
          <w:p>
            <w:r>
              <w:rPr>
                <w:rFonts w:ascii="Calibri" w:hAnsi="Calibri"/>
                <w:b/>
                <w:color w:val="1B365D"/>
                <w:sz w:val="21"/>
              </w:rPr>
              <w:t>Maximum Marks:</w:t>
            </w:r>
          </w:p>
        </w:tc>
        <w:tc>
          <w:tcPr>
            <w:tcW w:type="dxa" w:w="6768"/>
            <w:shd w:val="clear" w:color="auto" w:fill="FAFAFA"/>
            <w:tcMar>
              <w:top w:w="80" w:type="dxa"/>
              <w:bottom w:w="80" w:type="dxa"/>
              <w:left w:w="120" w:type="dxa"/>
              <w:right w:w="120" w:type="dxa"/>
            </w:tcMar>
          </w:tcPr>
          <w:p>
            <w:r>
              <w:rPr>
                <w:rFonts w:ascii="Calibri" w:hAnsi="Calibri"/>
                <w:color w:val="2D3748"/>
                <w:sz w:val="21"/>
              </w:rPr>
              <w:t>4 Marks</w:t>
            </w:r>
          </w:p>
        </w:tc>
      </w:tr>
    </w:tbl>
    <w:p>
      <w:pPr>
        <w:spacing w:after="240"/>
      </w:pPr>
    </w:p>
    <w:p>
      <w:pPr>
        <w:spacing w:before="280" w:after="120"/>
      </w:pPr>
      <w:r>
        <w:rPr>
          <w:rFonts w:ascii="Calibri" w:hAnsi="Calibri"/>
          <w:b/>
          <w:color w:val="1B365D"/>
          <w:sz w:val="28"/>
        </w:rPr>
        <w:t>Empathy Map Canvas Overview:</w:t>
      </w:r>
    </w:p>
    <w:p>
      <w:pPr>
        <w:spacing w:after="200"/>
      </w:pPr>
      <w:r>
        <w:rPr>
          <w:rFonts w:ascii="Calibri" w:hAnsi="Calibri"/>
          <w:color w:val="2D3748"/>
          <w:sz w:val="22"/>
        </w:rPr>
        <w:t>An empathy map is a simple, easy-to-digest visual that captures knowledge about a user’s behaviours and attitudes. It is a useful tool to help teams better understand their users.</w:t>
        <w:br/>
        <w:br/>
        <w:t>Creating an effective solution requires understanding the true problem and the person who is experiencing it. The exercise of creating the map helps participants consider things from the user’s perspective along with his or her goals and challenges.</w:t>
      </w:r>
    </w:p>
    <w:p>
      <w:pPr>
        <w:spacing w:after="280"/>
      </w:pPr>
      <w:r>
        <w:rPr>
          <w:rFonts w:ascii="Calibri" w:hAnsi="Calibri"/>
          <w:i/>
          <w:color w:val="2B6CB0"/>
          <w:sz w:val="19"/>
        </w:rPr>
        <w:t>Reference: https://www.mural.co/templates/empathy-map-canvas</w:t>
      </w:r>
    </w:p>
    <w:p>
      <w:pPr>
        <w:spacing w:before="240" w:after="120"/>
      </w:pPr>
      <w:r>
        <w:rPr>
          <w:rFonts w:ascii="Calibri" w:hAnsi="Calibri"/>
          <w:b/>
          <w:color w:val="1B365D"/>
          <w:sz w:val="24"/>
        </w:rPr>
        <w:t>Empathy Map Categories:</w:t>
      </w:r>
    </w:p>
    <w:p>
      <w:pPr>
        <w:pStyle w:val="ListBullet"/>
        <w:spacing w:after="60"/>
      </w:pPr>
      <w:r>
        <w:rPr>
          <w:rFonts w:ascii="Calibri" w:hAnsi="Calibri"/>
          <w:b/>
          <w:color w:val="1B365D"/>
        </w:rPr>
        <w:t xml:space="preserve">Think &amp; Feel: </w:t>
      </w:r>
      <w:r>
        <w:rPr>
          <w:rFonts w:ascii="Calibri" w:hAnsi="Calibri"/>
          <w:color w:val="2D3748"/>
          <w:sz w:val="20"/>
        </w:rPr>
        <w:t>What really counts? Major preoccupations, worries &amp; aspirations.</w:t>
      </w:r>
    </w:p>
    <w:p>
      <w:pPr>
        <w:pStyle w:val="ListBullet"/>
        <w:spacing w:after="60"/>
      </w:pPr>
      <w:r>
        <w:rPr>
          <w:rFonts w:ascii="Calibri" w:hAnsi="Calibri"/>
          <w:b/>
          <w:color w:val="1B365D"/>
        </w:rPr>
        <w:t xml:space="preserve">Hear: </w:t>
      </w:r>
      <w:r>
        <w:rPr>
          <w:rFonts w:ascii="Calibri" w:hAnsi="Calibri"/>
          <w:color w:val="2D3748"/>
          <w:sz w:val="20"/>
        </w:rPr>
        <w:t>What do friends, bosses, and influencers say?</w:t>
      </w:r>
    </w:p>
    <w:p>
      <w:pPr>
        <w:pStyle w:val="ListBullet"/>
        <w:spacing w:after="60"/>
      </w:pPr>
      <w:r>
        <w:rPr>
          <w:rFonts w:ascii="Calibri" w:hAnsi="Calibri"/>
          <w:b/>
          <w:color w:val="1B365D"/>
        </w:rPr>
        <w:t xml:space="preserve">See: </w:t>
      </w:r>
      <w:r>
        <w:rPr>
          <w:rFonts w:ascii="Calibri" w:hAnsi="Calibri"/>
          <w:color w:val="2D3748"/>
          <w:sz w:val="20"/>
        </w:rPr>
        <w:t>Environment, friends, and what the market offers.</w:t>
      </w:r>
    </w:p>
    <w:p>
      <w:pPr>
        <w:pStyle w:val="ListBullet"/>
        <w:spacing w:after="60"/>
      </w:pPr>
      <w:r>
        <w:rPr>
          <w:rFonts w:ascii="Calibri" w:hAnsi="Calibri"/>
          <w:b/>
          <w:color w:val="1B365D"/>
        </w:rPr>
        <w:t xml:space="preserve">Say &amp; Do: </w:t>
      </w:r>
      <w:r>
        <w:rPr>
          <w:rFonts w:ascii="Calibri" w:hAnsi="Calibri"/>
          <w:color w:val="2D3748"/>
          <w:sz w:val="20"/>
        </w:rPr>
        <w:t>Attitude in public, appearance, behavior towards others.</w:t>
      </w:r>
    </w:p>
    <w:p>
      <w:pPr>
        <w:pStyle w:val="ListBullet"/>
        <w:spacing w:after="60"/>
      </w:pPr>
      <w:r>
        <w:rPr>
          <w:rFonts w:ascii="Calibri" w:hAnsi="Calibri"/>
          <w:b/>
          <w:color w:val="1B365D"/>
        </w:rPr>
        <w:t xml:space="preserve">Pain: </w:t>
      </w:r>
      <w:r>
        <w:rPr>
          <w:rFonts w:ascii="Calibri" w:hAnsi="Calibri"/>
          <w:color w:val="2D3748"/>
          <w:sz w:val="20"/>
        </w:rPr>
        <w:t>Fears, frustrations, obstacles, and measures of difficulty.</w:t>
      </w:r>
    </w:p>
    <w:p>
      <w:pPr>
        <w:pStyle w:val="ListBullet"/>
        <w:spacing w:after="60"/>
      </w:pPr>
      <w:r>
        <w:rPr>
          <w:rFonts w:ascii="Calibri" w:hAnsi="Calibri"/>
          <w:b/>
          <w:color w:val="1B365D"/>
        </w:rPr>
        <w:t xml:space="preserve">Gain: </w:t>
      </w:r>
      <w:r>
        <w:rPr>
          <w:rFonts w:ascii="Calibri" w:hAnsi="Calibri"/>
          <w:color w:val="2D3748"/>
          <w:sz w:val="20"/>
        </w:rPr>
        <w:t>Wants, needs, measures of success, and expected outcomes.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