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5B73" w14:textId="661D4F5F" w:rsidR="0048296E" w:rsidRDefault="0048296E" w:rsidP="0048296E">
      <w:pPr>
        <w:jc w:val="center"/>
        <w:rPr>
          <w:rFonts w:ascii="Helvetica" w:hAnsi="Helvetica" w:cs="Helvetica"/>
          <w:b/>
          <w:bCs/>
          <w:color w:val="001E00"/>
          <w:spacing w:val="9"/>
          <w:shd w:val="clear" w:color="auto" w:fill="FFFFFF"/>
        </w:rPr>
      </w:pPr>
      <w:bookmarkStart w:id="0" w:name="_Hlk119152722"/>
      <w:bookmarkEnd w:id="0"/>
      <w:r w:rsidRPr="0048296E">
        <w:rPr>
          <w:rFonts w:ascii="Helvetica" w:hAnsi="Helvetica" w:cs="Helvetica"/>
          <w:b/>
          <w:bCs/>
          <w:color w:val="001E00"/>
          <w:spacing w:val="9"/>
          <w:sz w:val="40"/>
          <w:szCs w:val="40"/>
          <w:shd w:val="clear" w:color="auto" w:fill="FFFFFF"/>
        </w:rPr>
        <w:t>R</w:t>
      </w:r>
      <w:r w:rsidRPr="0048296E">
        <w:rPr>
          <w:rFonts w:ascii="Helvetica" w:hAnsi="Helvetica" w:cs="Helvetica"/>
          <w:b/>
          <w:bCs/>
          <w:color w:val="001E00"/>
          <w:spacing w:val="9"/>
          <w:sz w:val="40"/>
          <w:szCs w:val="40"/>
          <w:shd w:val="clear" w:color="auto" w:fill="FFFFFF"/>
        </w:rPr>
        <w:t xml:space="preserve">educing gas waste </w:t>
      </w:r>
      <w:r w:rsidRPr="0048296E">
        <w:rPr>
          <w:rFonts w:ascii="Helvetica" w:hAnsi="Helvetica" w:cs="Helvetica"/>
          <w:b/>
          <w:bCs/>
          <w:color w:val="001E00"/>
          <w:spacing w:val="9"/>
          <w:sz w:val="40"/>
          <w:szCs w:val="40"/>
          <w:shd w:val="clear" w:color="auto" w:fill="FFFFFF"/>
        </w:rPr>
        <w:t>in</w:t>
      </w:r>
      <w:r w:rsidRPr="0048296E">
        <w:rPr>
          <w:rFonts w:ascii="Helvetica" w:hAnsi="Helvetica" w:cs="Helvetica"/>
          <w:b/>
          <w:bCs/>
          <w:color w:val="001E00"/>
          <w:spacing w:val="9"/>
          <w:sz w:val="40"/>
          <w:szCs w:val="40"/>
          <w:shd w:val="clear" w:color="auto" w:fill="FFFFFF"/>
        </w:rPr>
        <w:t xml:space="preserve"> smart contracts</w:t>
      </w:r>
    </w:p>
    <w:p w14:paraId="0D7AE959" w14:textId="77777777" w:rsidR="0048296E" w:rsidRPr="0048296E" w:rsidRDefault="0048296E" w:rsidP="0048296E">
      <w:pPr>
        <w:jc w:val="center"/>
        <w:rPr>
          <w:rFonts w:ascii="Helvetica" w:hAnsi="Helvetica" w:cs="Helvetica"/>
          <w:b/>
          <w:bCs/>
          <w:color w:val="001E00"/>
          <w:spacing w:val="9"/>
          <w:shd w:val="clear" w:color="auto" w:fill="FFFFFF"/>
        </w:rPr>
      </w:pPr>
    </w:p>
    <w:p w14:paraId="307D7BCB" w14:textId="3F56BC25" w:rsidR="00A674A5" w:rsidRDefault="00A674A5" w:rsidP="00A674A5">
      <w:pPr>
        <w:rPr>
          <w:b/>
          <w:bCs/>
          <w:sz w:val="28"/>
          <w:szCs w:val="28"/>
        </w:rPr>
      </w:pPr>
      <w:r w:rsidRPr="00A674A5">
        <w:rPr>
          <w:b/>
          <w:bCs/>
          <w:sz w:val="28"/>
          <w:szCs w:val="28"/>
        </w:rPr>
        <w:t>11</w:t>
      </w:r>
      <w:r w:rsidRPr="00A674A5">
        <w:rPr>
          <w:b/>
          <w:bCs/>
          <w:sz w:val="28"/>
          <w:szCs w:val="28"/>
          <w:vertAlign w:val="superscript"/>
        </w:rPr>
        <w:t>th</w:t>
      </w:r>
      <w:r w:rsidRPr="00A674A5">
        <w:rPr>
          <w:b/>
          <w:bCs/>
          <w:sz w:val="28"/>
          <w:szCs w:val="28"/>
        </w:rPr>
        <w:t xml:space="preserve">, November 2022           </w:t>
      </w:r>
      <w:r>
        <w:rPr>
          <w:b/>
          <w:bCs/>
          <w:sz w:val="28"/>
          <w:szCs w:val="28"/>
        </w:rPr>
        <w:t xml:space="preserve">                  </w:t>
      </w:r>
      <w:r w:rsidRPr="00A674A5">
        <w:rPr>
          <w:b/>
          <w:bCs/>
          <w:sz w:val="28"/>
          <w:szCs w:val="28"/>
        </w:rPr>
        <w:t xml:space="preserve">                                             Reported By: </w:t>
      </w:r>
      <w:r>
        <w:rPr>
          <w:b/>
          <w:bCs/>
          <w:sz w:val="28"/>
          <w:szCs w:val="28"/>
        </w:rPr>
        <w:t xml:space="preserve">Syed </w:t>
      </w:r>
      <w:r w:rsidRPr="00A674A5">
        <w:rPr>
          <w:b/>
          <w:bCs/>
          <w:sz w:val="28"/>
          <w:szCs w:val="28"/>
        </w:rPr>
        <w:t>Ali</w:t>
      </w:r>
      <w:r>
        <w:rPr>
          <w:b/>
          <w:bCs/>
          <w:sz w:val="28"/>
          <w:szCs w:val="28"/>
        </w:rPr>
        <w:t xml:space="preserve"> Hamdani</w:t>
      </w:r>
    </w:p>
    <w:p w14:paraId="7D7CB5D9" w14:textId="345940F1" w:rsidR="0048296E" w:rsidRDefault="0048296E" w:rsidP="00A674A5">
      <w:pPr>
        <w:rPr>
          <w:b/>
          <w:bCs/>
          <w:sz w:val="28"/>
          <w:szCs w:val="28"/>
        </w:rPr>
      </w:pPr>
    </w:p>
    <w:p w14:paraId="2567260A" w14:textId="3E037A26" w:rsidR="00BE032E" w:rsidRDefault="0048296E" w:rsidP="00A674A5">
      <w:r>
        <w:rPr>
          <w:b/>
          <w:bCs/>
          <w:sz w:val="28"/>
          <w:szCs w:val="28"/>
        </w:rPr>
        <w:t xml:space="preserve">  </w:t>
      </w:r>
      <w:r>
        <w:t xml:space="preserve">Two smart contracts have been </w:t>
      </w:r>
      <w:r w:rsidR="00BE032E">
        <w:t xml:space="preserve">made and tested on </w:t>
      </w:r>
      <w:hyperlink r:id="rId6" w:history="1">
        <w:r w:rsidR="00BE032E" w:rsidRPr="00BA231A">
          <w:rPr>
            <w:rStyle w:val="Hyperlink"/>
          </w:rPr>
          <w:t>https://remix.ethereum.org</w:t>
        </w:r>
      </w:hyperlink>
      <w:r w:rsidR="00BE032E">
        <w:t xml:space="preserve">  Which is an internet-based ide.</w:t>
      </w:r>
      <w:r>
        <w:t xml:space="preserve"> Both contracts have been deployed by Ali on 11</w:t>
      </w:r>
      <w:r w:rsidRPr="0048296E">
        <w:rPr>
          <w:vertAlign w:val="superscript"/>
        </w:rPr>
        <w:t>th</w:t>
      </w:r>
      <w:r>
        <w:t>, November 2022. Both contracts were making the same token.</w:t>
      </w:r>
      <w:r w:rsidR="002B7BAA" w:rsidRPr="002B7BAA">
        <w:t xml:space="preserve"> </w:t>
      </w:r>
      <w:r w:rsidR="002B7BAA">
        <w:t xml:space="preserve">The unoptimizedCoin </w:t>
      </w:r>
      <w:r>
        <w:t xml:space="preserve">contract code was written </w:t>
      </w:r>
      <w:r w:rsidR="0053026B">
        <w:t xml:space="preserve">without using the optimized </w:t>
      </w:r>
      <w:r w:rsidR="00F2380F">
        <w:t>code</w:t>
      </w:r>
      <w:r w:rsidR="0053026B">
        <w:t xml:space="preserve"> and </w:t>
      </w:r>
      <w:r w:rsidR="00BE032E">
        <w:t xml:space="preserve">the </w:t>
      </w:r>
      <w:r w:rsidR="002B7BAA" w:rsidRPr="002B7BAA">
        <w:t>OptimizedCoin</w:t>
      </w:r>
      <w:r w:rsidR="002B7BAA">
        <w:t xml:space="preserve"> contract</w:t>
      </w:r>
      <w:r w:rsidR="0053026B">
        <w:t xml:space="preserve"> was </w:t>
      </w:r>
      <w:r w:rsidR="002B7BAA">
        <w:t xml:space="preserve">written </w:t>
      </w:r>
      <w:r w:rsidR="0053026B">
        <w:t>with optimized code. The purpose was</w:t>
      </w:r>
      <w:r w:rsidR="00BE032E">
        <w:t xml:space="preserve"> </w:t>
      </w:r>
      <w:r w:rsidR="0053026B">
        <w:t xml:space="preserve">to show how </w:t>
      </w:r>
      <w:r w:rsidR="00BE032E">
        <w:t>many</w:t>
      </w:r>
      <w:r w:rsidR="0053026B">
        <w:t xml:space="preserve"> gas</w:t>
      </w:r>
      <w:r w:rsidR="00BE032E">
        <w:t xml:space="preserve"> units</w:t>
      </w:r>
      <w:r w:rsidR="0053026B">
        <w:t xml:space="preserve"> could be saved with optimized code.</w:t>
      </w:r>
    </w:p>
    <w:p w14:paraId="4B5B83DA" w14:textId="62A787B9" w:rsidR="002B7BAA" w:rsidRDefault="001F15F3" w:rsidP="00A674A5">
      <w:r>
        <w:t xml:space="preserve">   </w:t>
      </w:r>
      <w:r w:rsidR="00F2380F">
        <w:t>3 rules have</w:t>
      </w:r>
      <w:r w:rsidR="002B7BAA">
        <w:t xml:space="preserve"> been used to the contract optimized and saved some gas units.</w:t>
      </w:r>
    </w:p>
    <w:p w14:paraId="6A7FF936" w14:textId="0F62E695" w:rsidR="00BE032E" w:rsidRPr="00237F23" w:rsidRDefault="002B7BAA" w:rsidP="00237F23">
      <w:pPr>
        <w:pStyle w:val="ListParagraph"/>
        <w:numPr>
          <w:ilvl w:val="0"/>
          <w:numId w:val="2"/>
        </w:numPr>
        <w:rPr>
          <w:b/>
          <w:bCs/>
          <w:u w:val="single"/>
        </w:rPr>
      </w:pPr>
      <w:r w:rsidRPr="00237F23">
        <w:rPr>
          <w:b/>
          <w:bCs/>
          <w:u w:val="single"/>
        </w:rPr>
        <w:t>Space-for-Time Rule</w:t>
      </w:r>
    </w:p>
    <w:p w14:paraId="71330873" w14:textId="1797CFE0" w:rsidR="002B7BAA" w:rsidRPr="00237F23" w:rsidRDefault="002B7BAA" w:rsidP="00237F23">
      <w:pPr>
        <w:pStyle w:val="ListParagraph"/>
        <w:numPr>
          <w:ilvl w:val="0"/>
          <w:numId w:val="2"/>
        </w:numPr>
        <w:rPr>
          <w:b/>
          <w:bCs/>
          <w:u w:val="single"/>
        </w:rPr>
      </w:pPr>
      <w:r w:rsidRPr="00237F23">
        <w:rPr>
          <w:b/>
          <w:bCs/>
          <w:u w:val="single"/>
        </w:rPr>
        <w:t xml:space="preserve">Logic Rule 5: Boolean variable Elimination </w:t>
      </w:r>
    </w:p>
    <w:p w14:paraId="095DD8F1" w14:textId="3B80D8DB" w:rsidR="002B7BAA" w:rsidRPr="00237F23" w:rsidRDefault="002B7BAA" w:rsidP="00237F23">
      <w:pPr>
        <w:pStyle w:val="ListParagraph"/>
        <w:numPr>
          <w:ilvl w:val="0"/>
          <w:numId w:val="2"/>
        </w:numPr>
        <w:rPr>
          <w:b/>
          <w:bCs/>
          <w:u w:val="single"/>
        </w:rPr>
      </w:pPr>
      <w:r w:rsidRPr="00237F23">
        <w:rPr>
          <w:b/>
          <w:bCs/>
          <w:u w:val="single"/>
        </w:rPr>
        <w:t>Expression Rule 3: [context-dependent Rule]</w:t>
      </w:r>
    </w:p>
    <w:p w14:paraId="590C0A85" w14:textId="471C5AEF" w:rsidR="00237F23" w:rsidRDefault="00237F23" w:rsidP="00237F23">
      <w:r w:rsidRPr="00237F23">
        <w:t xml:space="preserve"> </w:t>
      </w:r>
      <w:r w:rsidRPr="00237F23">
        <w:rPr>
          <w:b/>
          <w:bCs/>
        </w:rPr>
        <w:t>Space-for-Time rule:</w:t>
      </w:r>
      <w:r>
        <w:t xml:space="preserve"> This rule saved gas units by managing the space in the OptimizedCoin smart contract.  In the blockchain, storage space is more expensive than memory space. By using this </w:t>
      </w:r>
      <w:r w:rsidR="001A09A9">
        <w:t>rule, less</w:t>
      </w:r>
      <w:r>
        <w:t xml:space="preserve"> storage spac</w:t>
      </w:r>
      <w:r w:rsidR="001A09A9">
        <w:t>e was used</w:t>
      </w:r>
      <w:r>
        <w:t xml:space="preserve"> as I</w:t>
      </w:r>
      <w:r w:rsidR="001A09A9">
        <w:t>t could</w:t>
      </w:r>
      <w:r>
        <w:t xml:space="preserve"> </w:t>
      </w:r>
      <w:r w:rsidR="001A09A9">
        <w:t>be</w:t>
      </w:r>
      <w:r>
        <w:t xml:space="preserve"> to reduce the gas units. </w:t>
      </w:r>
    </w:p>
    <w:p w14:paraId="554500CB" w14:textId="04D3C609" w:rsidR="00237F23" w:rsidRDefault="00237F23" w:rsidP="00237F23">
      <w:r w:rsidRPr="00237F23">
        <w:rPr>
          <w:b/>
          <w:bCs/>
          <w:u w:val="single"/>
        </w:rPr>
        <w:t>Logic Rule 5: Boolean variable Elimination</w:t>
      </w:r>
      <w:r>
        <w:rPr>
          <w:b/>
          <w:bCs/>
          <w:u w:val="single"/>
        </w:rPr>
        <w:t xml:space="preserve">: </w:t>
      </w:r>
      <w:r w:rsidR="001A09A9">
        <w:t>By using this rule all the Boolean variables were removed. Instead of a Boolean variable d</w:t>
      </w:r>
      <w:r w:rsidR="001A09A9">
        <w:t xml:space="preserve">irect evaluation of a condition </w:t>
      </w:r>
      <w:r w:rsidR="001A09A9">
        <w:t>was used. This reduces the code size of the smart contract</w:t>
      </w:r>
      <w:r w:rsidR="00705463">
        <w:t>.</w:t>
      </w:r>
    </w:p>
    <w:p w14:paraId="09FDCB2D" w14:textId="7D18D1A0" w:rsidR="001F21BB" w:rsidRDefault="001F15F3" w:rsidP="00237F23">
      <w:r w:rsidRPr="001F15F3">
        <w:rPr>
          <w:b/>
          <w:bCs/>
          <w:u w:val="single"/>
        </w:rPr>
        <w:t>Expression Rule 3: [context-dependent Rule]</w:t>
      </w:r>
      <w:r>
        <w:rPr>
          <w:b/>
          <w:bCs/>
          <w:u w:val="single"/>
        </w:rPr>
        <w:t xml:space="preserve">:  </w:t>
      </w:r>
      <w:r>
        <w:t>Its basic idea is to avoid the repeated calculation of the same expression by saving the result of the first invocation and then reusing this result later</w:t>
      </w:r>
      <w:r>
        <w:t xml:space="preserve"> on. </w:t>
      </w:r>
      <w:r w:rsidR="004364C5">
        <w:t>Avoiding</w:t>
      </w:r>
      <w:r>
        <w:t xml:space="preserve"> repeated calculations helps to</w:t>
      </w:r>
      <w:r w:rsidR="004364C5">
        <w:t xml:space="preserve"> </w:t>
      </w:r>
      <w:r>
        <w:t xml:space="preserve">reduce the size of the bytecode of the smart contract.  </w:t>
      </w:r>
      <w:r w:rsidR="004364C5">
        <w:t xml:space="preserve">If the bytecode size </w:t>
      </w:r>
      <w:r w:rsidR="00345E89">
        <w:t>is reduced</w:t>
      </w:r>
      <w:r w:rsidR="004364C5">
        <w:t xml:space="preserve"> the gas units also </w:t>
      </w:r>
      <w:r w:rsidR="00345E89">
        <w:t>reduce</w:t>
      </w:r>
      <w:r w:rsidR="004364C5">
        <w:t xml:space="preserve"> by </w:t>
      </w:r>
      <w:r w:rsidR="00345E89">
        <w:t>themselves</w:t>
      </w:r>
      <w:r w:rsidR="004364C5">
        <w:t>.</w:t>
      </w:r>
    </w:p>
    <w:p w14:paraId="3C2EF32B" w14:textId="396D4A2B" w:rsidR="001B5A25" w:rsidRDefault="001B5A25" w:rsidP="00237F23">
      <w:r>
        <w:rPr>
          <w:noProof/>
        </w:rPr>
        <w:drawing>
          <wp:inline distT="0" distB="0" distL="0" distR="0" wp14:anchorId="30C332C9" wp14:editId="55AEC201">
            <wp:extent cx="7052310" cy="3968885"/>
            <wp:effectExtent l="0" t="0" r="152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6D0E09" w14:textId="49C04729" w:rsidR="001B5A25" w:rsidRDefault="001B5A25" w:rsidP="00237F23"/>
    <w:p w14:paraId="7076CC34" w14:textId="1884DEB4" w:rsidR="001B5A25" w:rsidRDefault="001B5A25" w:rsidP="00237F23"/>
    <w:p w14:paraId="3C6063F3" w14:textId="77777777" w:rsidR="001B5A25" w:rsidRDefault="001B5A25" w:rsidP="00237F23"/>
    <w:tbl>
      <w:tblPr>
        <w:tblStyle w:val="TableGrid"/>
        <w:tblW w:w="11790" w:type="dxa"/>
        <w:tblInd w:w="-455" w:type="dxa"/>
        <w:tblLook w:val="04A0" w:firstRow="1" w:lastRow="0" w:firstColumn="1" w:lastColumn="0" w:noHBand="0" w:noVBand="1"/>
      </w:tblPr>
      <w:tblGrid>
        <w:gridCol w:w="2880"/>
        <w:gridCol w:w="3690"/>
        <w:gridCol w:w="3420"/>
        <w:gridCol w:w="1800"/>
      </w:tblGrid>
      <w:tr w:rsidR="001F21BB" w14:paraId="3F632738" w14:textId="77777777" w:rsidTr="00705463">
        <w:trPr>
          <w:trHeight w:val="413"/>
        </w:trPr>
        <w:tc>
          <w:tcPr>
            <w:tcW w:w="2880" w:type="dxa"/>
          </w:tcPr>
          <w:p w14:paraId="0DBAF130" w14:textId="7CC4314D" w:rsidR="001F21BB" w:rsidRPr="001F21BB" w:rsidRDefault="001F21BB" w:rsidP="00237F23">
            <w:pPr>
              <w:rPr>
                <w:b/>
                <w:bCs/>
              </w:rPr>
            </w:pPr>
            <w:r w:rsidRPr="001F21BB">
              <w:rPr>
                <w:b/>
                <w:bCs/>
              </w:rPr>
              <w:t>Name of actions</w:t>
            </w:r>
          </w:p>
        </w:tc>
        <w:tc>
          <w:tcPr>
            <w:tcW w:w="3690" w:type="dxa"/>
          </w:tcPr>
          <w:p w14:paraId="57C37895" w14:textId="37575A29" w:rsidR="001F21BB" w:rsidRPr="001F21BB" w:rsidRDefault="001F21BB" w:rsidP="00237F23">
            <w:pPr>
              <w:rPr>
                <w:b/>
                <w:bCs/>
              </w:rPr>
            </w:pPr>
            <w:r w:rsidRPr="001F21BB">
              <w:rPr>
                <w:b/>
                <w:bCs/>
              </w:rPr>
              <w:t>Unoptimizedcoin contract (gas units)</w:t>
            </w:r>
          </w:p>
        </w:tc>
        <w:tc>
          <w:tcPr>
            <w:tcW w:w="3420" w:type="dxa"/>
          </w:tcPr>
          <w:p w14:paraId="00F5C42C" w14:textId="45A5FFC6" w:rsidR="001F21BB" w:rsidRPr="001F21BB" w:rsidRDefault="001F21BB" w:rsidP="00237F23">
            <w:pPr>
              <w:rPr>
                <w:b/>
                <w:bCs/>
              </w:rPr>
            </w:pPr>
            <w:r w:rsidRPr="001F21BB">
              <w:rPr>
                <w:b/>
                <w:bCs/>
              </w:rPr>
              <w:t>Optimizedcoin contract (gas units)</w:t>
            </w:r>
          </w:p>
        </w:tc>
        <w:tc>
          <w:tcPr>
            <w:tcW w:w="1800" w:type="dxa"/>
          </w:tcPr>
          <w:p w14:paraId="6F738FDE" w14:textId="6F6894DA" w:rsidR="001F21BB" w:rsidRPr="001F21BB" w:rsidRDefault="001F21BB" w:rsidP="00237F23">
            <w:pPr>
              <w:rPr>
                <w:b/>
                <w:bCs/>
              </w:rPr>
            </w:pPr>
            <w:r w:rsidRPr="001F21BB">
              <w:rPr>
                <w:b/>
                <w:bCs/>
              </w:rPr>
              <w:t xml:space="preserve">% Gas </w:t>
            </w:r>
            <w:r w:rsidR="00BF374D">
              <w:rPr>
                <w:b/>
                <w:bCs/>
              </w:rPr>
              <w:t>saved</w:t>
            </w:r>
          </w:p>
        </w:tc>
      </w:tr>
      <w:tr w:rsidR="001B5A25" w14:paraId="741B22C9" w14:textId="77777777" w:rsidTr="00705463">
        <w:trPr>
          <w:trHeight w:val="431"/>
        </w:trPr>
        <w:tc>
          <w:tcPr>
            <w:tcW w:w="2880" w:type="dxa"/>
          </w:tcPr>
          <w:p w14:paraId="59E46031" w14:textId="1EE994E1" w:rsidR="001B5A25" w:rsidRDefault="001B5A25" w:rsidP="001B5A25">
            <w:r>
              <w:t>Deployment</w:t>
            </w:r>
          </w:p>
        </w:tc>
        <w:tc>
          <w:tcPr>
            <w:tcW w:w="3690" w:type="dxa"/>
          </w:tcPr>
          <w:p w14:paraId="294B1144" w14:textId="45DF2D52" w:rsidR="001B5A25" w:rsidRDefault="001B5A25" w:rsidP="001B5A25">
            <w:pPr>
              <w:jc w:val="center"/>
            </w:pPr>
            <w:r w:rsidRPr="00BF374D">
              <w:t>1413172</w:t>
            </w:r>
          </w:p>
        </w:tc>
        <w:tc>
          <w:tcPr>
            <w:tcW w:w="3420" w:type="dxa"/>
          </w:tcPr>
          <w:p w14:paraId="3FE232E6" w14:textId="5A5806D5" w:rsidR="001B5A25" w:rsidRDefault="001B5A25" w:rsidP="001B5A25">
            <w:pPr>
              <w:jc w:val="center"/>
            </w:pPr>
            <w:r w:rsidRPr="001F21BB">
              <w:t>1296981</w:t>
            </w:r>
          </w:p>
        </w:tc>
        <w:tc>
          <w:tcPr>
            <w:tcW w:w="1800" w:type="dxa"/>
            <w:vAlign w:val="bottom"/>
          </w:tcPr>
          <w:p w14:paraId="63C7692F" w14:textId="7D30C0E2" w:rsidR="001B5A25" w:rsidRDefault="001B5A25" w:rsidP="00705463">
            <w:pPr>
              <w:jc w:val="center"/>
            </w:pPr>
            <w:r>
              <w:rPr>
                <w:rFonts w:ascii="Calibri" w:hAnsi="Calibri" w:cs="Calibri"/>
                <w:color w:val="000000"/>
              </w:rPr>
              <w:t>8.22</w:t>
            </w:r>
          </w:p>
        </w:tc>
      </w:tr>
      <w:tr w:rsidR="001B5A25" w14:paraId="47F51FB9" w14:textId="77777777" w:rsidTr="00705463">
        <w:trPr>
          <w:trHeight w:val="458"/>
        </w:trPr>
        <w:tc>
          <w:tcPr>
            <w:tcW w:w="2880" w:type="dxa"/>
          </w:tcPr>
          <w:p w14:paraId="50127CBE" w14:textId="64724046" w:rsidR="001B5A25" w:rsidRDefault="001B5A25" w:rsidP="001B5A25">
            <w:proofErr w:type="gramStart"/>
            <w:r>
              <w:t>Mint(</w:t>
            </w:r>
            <w:proofErr w:type="gramEnd"/>
            <w:r>
              <w:t>function call)</w:t>
            </w:r>
          </w:p>
        </w:tc>
        <w:tc>
          <w:tcPr>
            <w:tcW w:w="3690" w:type="dxa"/>
          </w:tcPr>
          <w:p w14:paraId="70486B73" w14:textId="65197786" w:rsidR="001B5A25" w:rsidRDefault="001B5A25" w:rsidP="001B5A25">
            <w:pPr>
              <w:jc w:val="center"/>
            </w:pPr>
            <w:r w:rsidRPr="00BF374D">
              <w:t>72639</w:t>
            </w:r>
          </w:p>
        </w:tc>
        <w:tc>
          <w:tcPr>
            <w:tcW w:w="3420" w:type="dxa"/>
          </w:tcPr>
          <w:p w14:paraId="254F003B" w14:textId="00670C3F" w:rsidR="001B5A25" w:rsidRDefault="001B5A25" w:rsidP="001B5A25">
            <w:pPr>
              <w:jc w:val="center"/>
            </w:pPr>
            <w:r w:rsidRPr="00BF374D">
              <w:t>66833</w:t>
            </w:r>
          </w:p>
        </w:tc>
        <w:tc>
          <w:tcPr>
            <w:tcW w:w="1800" w:type="dxa"/>
            <w:vAlign w:val="bottom"/>
          </w:tcPr>
          <w:p w14:paraId="62C8AF2C" w14:textId="526494A3" w:rsidR="001B5A25" w:rsidRDefault="001B5A25" w:rsidP="00705463">
            <w:pPr>
              <w:jc w:val="center"/>
            </w:pPr>
            <w:r>
              <w:rPr>
                <w:rFonts w:ascii="Calibri" w:hAnsi="Calibri" w:cs="Calibri"/>
                <w:color w:val="000000"/>
              </w:rPr>
              <w:t>7.99</w:t>
            </w:r>
          </w:p>
        </w:tc>
      </w:tr>
      <w:tr w:rsidR="001B5A25" w14:paraId="4C8E33C2" w14:textId="77777777" w:rsidTr="00705463">
        <w:trPr>
          <w:trHeight w:val="431"/>
        </w:trPr>
        <w:tc>
          <w:tcPr>
            <w:tcW w:w="2880" w:type="dxa"/>
          </w:tcPr>
          <w:p w14:paraId="21CED5E6" w14:textId="075A3C9C" w:rsidR="001B5A25" w:rsidRDefault="001B5A25" w:rsidP="001B5A25">
            <w:proofErr w:type="gramStart"/>
            <w:r>
              <w:t>setName(</w:t>
            </w:r>
            <w:proofErr w:type="gramEnd"/>
            <w:r>
              <w:t>function call)</w:t>
            </w:r>
          </w:p>
        </w:tc>
        <w:tc>
          <w:tcPr>
            <w:tcW w:w="3690" w:type="dxa"/>
          </w:tcPr>
          <w:p w14:paraId="16F09C4B" w14:textId="44479286" w:rsidR="001B5A25" w:rsidRDefault="001B5A25" w:rsidP="001B5A25">
            <w:pPr>
              <w:jc w:val="center"/>
            </w:pPr>
            <w:r w:rsidRPr="00BF374D">
              <w:t>31719</w:t>
            </w:r>
          </w:p>
        </w:tc>
        <w:tc>
          <w:tcPr>
            <w:tcW w:w="3420" w:type="dxa"/>
          </w:tcPr>
          <w:p w14:paraId="27A8A484" w14:textId="767A5A1B" w:rsidR="001B5A25" w:rsidRDefault="001B5A25" w:rsidP="001B5A25">
            <w:pPr>
              <w:jc w:val="center"/>
            </w:pPr>
            <w:r w:rsidRPr="00BF374D">
              <w:t>28148</w:t>
            </w:r>
          </w:p>
        </w:tc>
        <w:tc>
          <w:tcPr>
            <w:tcW w:w="1800" w:type="dxa"/>
            <w:vAlign w:val="bottom"/>
          </w:tcPr>
          <w:p w14:paraId="0BBC296F" w14:textId="77A718D6" w:rsidR="001B5A25" w:rsidRDefault="001B5A25" w:rsidP="00705463">
            <w:pPr>
              <w:jc w:val="center"/>
            </w:pPr>
            <w:r>
              <w:rPr>
                <w:rFonts w:ascii="Calibri" w:hAnsi="Calibri" w:cs="Calibri"/>
                <w:color w:val="000000"/>
              </w:rPr>
              <w:t>11.26</w:t>
            </w:r>
          </w:p>
        </w:tc>
      </w:tr>
      <w:tr w:rsidR="001B5A25" w14:paraId="1F005F96" w14:textId="77777777" w:rsidTr="00705463">
        <w:trPr>
          <w:trHeight w:val="350"/>
        </w:trPr>
        <w:tc>
          <w:tcPr>
            <w:tcW w:w="2880" w:type="dxa"/>
          </w:tcPr>
          <w:p w14:paraId="0664684E" w14:textId="15F6FBFA" w:rsidR="001B5A25" w:rsidRDefault="001B5A25" w:rsidP="001B5A25">
            <w:proofErr w:type="gramStart"/>
            <w:r>
              <w:t>setSymbol(</w:t>
            </w:r>
            <w:proofErr w:type="gramEnd"/>
            <w:r>
              <w:t>function call)</w:t>
            </w:r>
          </w:p>
        </w:tc>
        <w:tc>
          <w:tcPr>
            <w:tcW w:w="3690" w:type="dxa"/>
          </w:tcPr>
          <w:p w14:paraId="55022F1C" w14:textId="20B60143" w:rsidR="001B5A25" w:rsidRDefault="001B5A25" w:rsidP="001B5A25">
            <w:pPr>
              <w:jc w:val="center"/>
            </w:pPr>
            <w:r w:rsidRPr="00BF374D">
              <w:t>31685</w:t>
            </w:r>
          </w:p>
        </w:tc>
        <w:tc>
          <w:tcPr>
            <w:tcW w:w="3420" w:type="dxa"/>
          </w:tcPr>
          <w:p w14:paraId="4FD6168B" w14:textId="30B19176" w:rsidR="001B5A25" w:rsidRDefault="001B5A25" w:rsidP="001B5A25">
            <w:pPr>
              <w:jc w:val="center"/>
            </w:pPr>
            <w:r w:rsidRPr="00BF374D">
              <w:t>28114</w:t>
            </w:r>
          </w:p>
        </w:tc>
        <w:tc>
          <w:tcPr>
            <w:tcW w:w="1800" w:type="dxa"/>
            <w:vAlign w:val="bottom"/>
          </w:tcPr>
          <w:p w14:paraId="632BB660" w14:textId="6070D1F6" w:rsidR="001B5A25" w:rsidRDefault="001B5A25" w:rsidP="00705463">
            <w:pPr>
              <w:jc w:val="center"/>
            </w:pPr>
            <w:r>
              <w:rPr>
                <w:rFonts w:ascii="Calibri" w:hAnsi="Calibri" w:cs="Calibri"/>
                <w:color w:val="000000"/>
              </w:rPr>
              <w:t>11.27</w:t>
            </w:r>
          </w:p>
        </w:tc>
      </w:tr>
      <w:tr w:rsidR="001B5A25" w14:paraId="31342520" w14:textId="77777777" w:rsidTr="00705463">
        <w:trPr>
          <w:trHeight w:val="350"/>
        </w:trPr>
        <w:tc>
          <w:tcPr>
            <w:tcW w:w="2880" w:type="dxa"/>
          </w:tcPr>
          <w:p w14:paraId="6C5FC7BE" w14:textId="14887955" w:rsidR="001B5A25" w:rsidRDefault="001B5A25" w:rsidP="001B5A25">
            <w:proofErr w:type="gramStart"/>
            <w:r>
              <w:t>Transfer(</w:t>
            </w:r>
            <w:proofErr w:type="gramEnd"/>
            <w:r>
              <w:t>function call)</w:t>
            </w:r>
          </w:p>
        </w:tc>
        <w:tc>
          <w:tcPr>
            <w:tcW w:w="3690" w:type="dxa"/>
          </w:tcPr>
          <w:p w14:paraId="317EC474" w14:textId="5522D1C8" w:rsidR="001B5A25" w:rsidRDefault="001B5A25" w:rsidP="001B5A25">
            <w:pPr>
              <w:jc w:val="center"/>
            </w:pPr>
            <w:r w:rsidRPr="00BF374D">
              <w:t>67672</w:t>
            </w:r>
          </w:p>
        </w:tc>
        <w:tc>
          <w:tcPr>
            <w:tcW w:w="3420" w:type="dxa"/>
          </w:tcPr>
          <w:p w14:paraId="67435681" w14:textId="7DB54B19" w:rsidR="001B5A25" w:rsidRDefault="001B5A25" w:rsidP="001B5A25">
            <w:pPr>
              <w:jc w:val="center"/>
            </w:pPr>
            <w:r w:rsidRPr="00BF374D">
              <w:t>45289</w:t>
            </w:r>
          </w:p>
        </w:tc>
        <w:tc>
          <w:tcPr>
            <w:tcW w:w="1800" w:type="dxa"/>
            <w:vAlign w:val="bottom"/>
          </w:tcPr>
          <w:p w14:paraId="1D5A6DD4" w14:textId="6333ACE5" w:rsidR="001B5A25" w:rsidRDefault="001B5A25" w:rsidP="00705463">
            <w:pPr>
              <w:jc w:val="center"/>
            </w:pPr>
            <w:r>
              <w:rPr>
                <w:rFonts w:ascii="Calibri" w:hAnsi="Calibri" w:cs="Calibri"/>
                <w:color w:val="000000"/>
              </w:rPr>
              <w:t>33.08</w:t>
            </w:r>
          </w:p>
        </w:tc>
      </w:tr>
      <w:tr w:rsidR="001B5A25" w14:paraId="21B52825" w14:textId="77777777" w:rsidTr="00705463">
        <w:trPr>
          <w:trHeight w:val="350"/>
        </w:trPr>
        <w:tc>
          <w:tcPr>
            <w:tcW w:w="2880" w:type="dxa"/>
          </w:tcPr>
          <w:p w14:paraId="3880FE90" w14:textId="60D59CF1" w:rsidR="001B5A25" w:rsidRDefault="001B5A25" w:rsidP="001B5A25">
            <w:proofErr w:type="gramStart"/>
            <w:r>
              <w:t>approve(</w:t>
            </w:r>
            <w:proofErr w:type="gramEnd"/>
            <w:r>
              <w:t>function call)</w:t>
            </w:r>
          </w:p>
        </w:tc>
        <w:tc>
          <w:tcPr>
            <w:tcW w:w="3690" w:type="dxa"/>
          </w:tcPr>
          <w:p w14:paraId="47B2AE28" w14:textId="0CE5B4AE" w:rsidR="001B5A25" w:rsidRDefault="001B5A25" w:rsidP="001B5A25">
            <w:pPr>
              <w:jc w:val="center"/>
            </w:pPr>
            <w:r w:rsidRPr="00BF374D">
              <w:t>55136</w:t>
            </w:r>
          </w:p>
        </w:tc>
        <w:tc>
          <w:tcPr>
            <w:tcW w:w="3420" w:type="dxa"/>
          </w:tcPr>
          <w:p w14:paraId="2CD01830" w14:textId="52DA5886" w:rsidR="001B5A25" w:rsidRDefault="001B5A25" w:rsidP="001B5A25">
            <w:pPr>
              <w:jc w:val="center"/>
            </w:pPr>
            <w:r w:rsidRPr="00BF374D">
              <w:t>44878</w:t>
            </w:r>
          </w:p>
        </w:tc>
        <w:tc>
          <w:tcPr>
            <w:tcW w:w="1800" w:type="dxa"/>
            <w:vAlign w:val="bottom"/>
          </w:tcPr>
          <w:p w14:paraId="463CB33E" w14:textId="507CC7EC" w:rsidR="001B5A25" w:rsidRDefault="001B5A25" w:rsidP="00705463">
            <w:pPr>
              <w:jc w:val="center"/>
            </w:pPr>
            <w:r>
              <w:rPr>
                <w:rFonts w:ascii="Calibri" w:hAnsi="Calibri" w:cs="Calibri"/>
                <w:color w:val="000000"/>
              </w:rPr>
              <w:t>18.60</w:t>
            </w:r>
          </w:p>
        </w:tc>
      </w:tr>
      <w:tr w:rsidR="001B5A25" w14:paraId="0AF62921" w14:textId="77777777" w:rsidTr="00705463">
        <w:tc>
          <w:tcPr>
            <w:tcW w:w="2880" w:type="dxa"/>
          </w:tcPr>
          <w:p w14:paraId="3DD1C605" w14:textId="41FEAB01" w:rsidR="001B5A25" w:rsidRDefault="001B5A25" w:rsidP="001B5A25">
            <w:r>
              <w:t>transferFrom (function call)</w:t>
            </w:r>
          </w:p>
        </w:tc>
        <w:tc>
          <w:tcPr>
            <w:tcW w:w="3690" w:type="dxa"/>
          </w:tcPr>
          <w:p w14:paraId="33A67899" w14:textId="355EA2C5" w:rsidR="001B5A25" w:rsidRDefault="001B5A25" w:rsidP="001B5A25">
            <w:pPr>
              <w:jc w:val="center"/>
            </w:pPr>
            <w:r w:rsidRPr="00BF374D">
              <w:t>70171</w:t>
            </w:r>
          </w:p>
        </w:tc>
        <w:tc>
          <w:tcPr>
            <w:tcW w:w="3420" w:type="dxa"/>
          </w:tcPr>
          <w:p w14:paraId="146D43B3" w14:textId="7F1F4C9B" w:rsidR="001B5A25" w:rsidRDefault="001B5A25" w:rsidP="001B5A25">
            <w:pPr>
              <w:jc w:val="center"/>
            </w:pPr>
            <w:r w:rsidRPr="00BF374D">
              <w:t>46759</w:t>
            </w:r>
          </w:p>
        </w:tc>
        <w:tc>
          <w:tcPr>
            <w:tcW w:w="1800" w:type="dxa"/>
            <w:vAlign w:val="bottom"/>
          </w:tcPr>
          <w:p w14:paraId="3ECAF3C2" w14:textId="5E0E96CD" w:rsidR="001B5A25" w:rsidRDefault="001B5A25" w:rsidP="00705463">
            <w:pPr>
              <w:jc w:val="center"/>
            </w:pPr>
            <w:r>
              <w:rPr>
                <w:rFonts w:ascii="Calibri" w:hAnsi="Calibri" w:cs="Calibri"/>
                <w:color w:val="000000"/>
              </w:rPr>
              <w:t>33.36</w:t>
            </w:r>
          </w:p>
        </w:tc>
      </w:tr>
    </w:tbl>
    <w:p w14:paraId="682C247A" w14:textId="008057A8" w:rsidR="00F760E6" w:rsidRDefault="00F760E6" w:rsidP="00237F23"/>
    <w:p w14:paraId="75211FF6" w14:textId="7AB7E7A4" w:rsidR="004A2398" w:rsidRDefault="00F760E6" w:rsidP="00237F23">
      <w:r>
        <w:t xml:space="preserve">    </w:t>
      </w:r>
      <w:r w:rsidR="004A2398">
        <w:t>Most of the gas is used at the time of contract deployment. If the contract is optimized it can save up to 8% gas. There are two types of functions in the smart contract read functions</w:t>
      </w:r>
      <w:r w:rsidR="00CB11DE">
        <w:t xml:space="preserve"> </w:t>
      </w:r>
      <w:r w:rsidR="004A2398">
        <w:t>and write functions. Read functions only read the data from the blockchain</w:t>
      </w:r>
      <w:r w:rsidR="00CB11DE">
        <w:t xml:space="preserve"> </w:t>
      </w:r>
      <w:r w:rsidR="004A2398">
        <w:t xml:space="preserve">and </w:t>
      </w:r>
      <w:r w:rsidR="00CB11DE">
        <w:t>do</w:t>
      </w:r>
      <w:r w:rsidR="004A2398">
        <w:t xml:space="preserve"> not consume any gas. That is why I did not mention those </w:t>
      </w:r>
      <w:r w:rsidR="00CB11DE">
        <w:t>functions’</w:t>
      </w:r>
      <w:r w:rsidR="004A2398">
        <w:t xml:space="preserve"> </w:t>
      </w:r>
      <w:r w:rsidR="00CB11DE">
        <w:t>names</w:t>
      </w:r>
      <w:r w:rsidR="004A2398">
        <w:t xml:space="preserve"> here. Write functions</w:t>
      </w:r>
      <w:r w:rsidR="00705463">
        <w:t>, and w</w:t>
      </w:r>
      <w:r w:rsidR="004A2398">
        <w:t xml:space="preserve">rite the data inside the blockchain that uses the gas as </w:t>
      </w:r>
      <w:r w:rsidR="00CB11DE">
        <w:t>an</w:t>
      </w:r>
      <w:r w:rsidR="004A2398">
        <w:t xml:space="preserve"> execution cost. There are 6 write functions in both smart contracts. All </w:t>
      </w:r>
      <w:r w:rsidR="00CB11DE">
        <w:t>written</w:t>
      </w:r>
      <w:r w:rsidR="004A2398">
        <w:t xml:space="preserve"> </w:t>
      </w:r>
      <w:r w:rsidR="00CB11DE">
        <w:t>function</w:t>
      </w:r>
      <w:r w:rsidR="004A2398">
        <w:t xml:space="preserve"> names are </w:t>
      </w:r>
      <w:r w:rsidR="00CB11DE">
        <w:t>mentioned</w:t>
      </w:r>
      <w:r w:rsidR="004A2398">
        <w:t xml:space="preserve"> above </w:t>
      </w:r>
      <w:r w:rsidR="00CB11DE">
        <w:t>as</w:t>
      </w:r>
      <w:r w:rsidR="004A2398">
        <w:t xml:space="preserve"> gas they use during </w:t>
      </w:r>
      <w:r w:rsidR="00CB11DE">
        <w:t xml:space="preserve">the </w:t>
      </w:r>
      <w:r w:rsidR="004A2398">
        <w:t>function call.</w:t>
      </w:r>
    </w:p>
    <w:p w14:paraId="45721194" w14:textId="221739D5" w:rsidR="004A2398" w:rsidRDefault="00CB11DE" w:rsidP="00237F23">
      <w:r>
        <w:t xml:space="preserve">    These rules can save 8 to 33 percent of the gas in contracts. 8% may not bigger amount in this simple smart contract but in the bigger contracts, it will be very big. By using these rules, we can save many gas units in bigger contracts and complete our tasks on time. </w:t>
      </w:r>
    </w:p>
    <w:p w14:paraId="2B990359" w14:textId="027C640C" w:rsidR="004A2398" w:rsidRPr="00237F23" w:rsidRDefault="004A2398" w:rsidP="00237F23">
      <w:r>
        <w:t xml:space="preserve"> </w:t>
      </w:r>
    </w:p>
    <w:p w14:paraId="5B7F0712" w14:textId="56884F41" w:rsidR="00BE032E" w:rsidRDefault="00BE032E" w:rsidP="00A674A5"/>
    <w:p w14:paraId="1722EDE5" w14:textId="77777777" w:rsidR="00BE032E" w:rsidRDefault="00BE032E" w:rsidP="00A674A5"/>
    <w:p w14:paraId="49617123" w14:textId="3A3E324B" w:rsidR="0053026B" w:rsidRDefault="0053026B" w:rsidP="00A674A5"/>
    <w:p w14:paraId="7F1C3445" w14:textId="77777777" w:rsidR="0053026B" w:rsidRPr="0048296E" w:rsidRDefault="0053026B" w:rsidP="00A674A5"/>
    <w:p w14:paraId="6C7EB099" w14:textId="5349C38F" w:rsidR="0048296E" w:rsidRDefault="0048296E" w:rsidP="00A674A5">
      <w:pPr>
        <w:rPr>
          <w:b/>
          <w:bCs/>
          <w:sz w:val="28"/>
          <w:szCs w:val="28"/>
        </w:rPr>
      </w:pPr>
    </w:p>
    <w:p w14:paraId="4FE02708" w14:textId="77777777" w:rsidR="0048296E" w:rsidRDefault="0048296E" w:rsidP="00A674A5">
      <w:pPr>
        <w:rPr>
          <w:b/>
          <w:bCs/>
          <w:sz w:val="28"/>
          <w:szCs w:val="28"/>
        </w:rPr>
      </w:pPr>
    </w:p>
    <w:p w14:paraId="1E9BB099" w14:textId="77777777" w:rsidR="00A674A5" w:rsidRPr="00A674A5" w:rsidRDefault="00A674A5" w:rsidP="00A674A5">
      <w:pPr>
        <w:rPr>
          <w:b/>
          <w:bCs/>
          <w:sz w:val="28"/>
          <w:szCs w:val="28"/>
        </w:rPr>
      </w:pPr>
    </w:p>
    <w:sectPr w:rsidR="00A674A5" w:rsidRPr="00A674A5" w:rsidSect="00A674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F13"/>
    <w:multiLevelType w:val="hybridMultilevel"/>
    <w:tmpl w:val="2B4457F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7F7701"/>
    <w:multiLevelType w:val="hybridMultilevel"/>
    <w:tmpl w:val="2B445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8EA0B1E"/>
    <w:multiLevelType w:val="hybridMultilevel"/>
    <w:tmpl w:val="718EA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06B9C"/>
    <w:multiLevelType w:val="hybridMultilevel"/>
    <w:tmpl w:val="2B4457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072063">
    <w:abstractNumId w:val="2"/>
  </w:num>
  <w:num w:numId="2" w16cid:durableId="549538777">
    <w:abstractNumId w:val="0"/>
  </w:num>
  <w:num w:numId="3" w16cid:durableId="10035868">
    <w:abstractNumId w:val="3"/>
  </w:num>
  <w:num w:numId="4" w16cid:durableId="855460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A5"/>
    <w:rsid w:val="001A09A9"/>
    <w:rsid w:val="001B5A25"/>
    <w:rsid w:val="001F15F3"/>
    <w:rsid w:val="001F21BB"/>
    <w:rsid w:val="00237F23"/>
    <w:rsid w:val="002B7BAA"/>
    <w:rsid w:val="00345E89"/>
    <w:rsid w:val="004364C5"/>
    <w:rsid w:val="0048296E"/>
    <w:rsid w:val="004A2398"/>
    <w:rsid w:val="0053026B"/>
    <w:rsid w:val="00705463"/>
    <w:rsid w:val="009719B3"/>
    <w:rsid w:val="00A674A5"/>
    <w:rsid w:val="00BE032E"/>
    <w:rsid w:val="00BF374D"/>
    <w:rsid w:val="00CB11DE"/>
    <w:rsid w:val="00DD5EB3"/>
    <w:rsid w:val="00F2380F"/>
    <w:rsid w:val="00F760E6"/>
    <w:rsid w:val="00F9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529B"/>
  <w15:chartTrackingRefBased/>
  <w15:docId w15:val="{BBBF582A-C9DE-4304-A150-C6772B11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32E"/>
    <w:rPr>
      <w:color w:val="0563C1" w:themeColor="hyperlink"/>
      <w:u w:val="single"/>
    </w:rPr>
  </w:style>
  <w:style w:type="character" w:styleId="UnresolvedMention">
    <w:name w:val="Unresolved Mention"/>
    <w:basedOn w:val="DefaultParagraphFont"/>
    <w:uiPriority w:val="99"/>
    <w:semiHidden/>
    <w:unhideWhenUsed/>
    <w:rsid w:val="00BE032E"/>
    <w:rPr>
      <w:color w:val="605E5C"/>
      <w:shd w:val="clear" w:color="auto" w:fill="E1DFDD"/>
    </w:rPr>
  </w:style>
  <w:style w:type="paragraph" w:styleId="ListParagraph">
    <w:name w:val="List Paragraph"/>
    <w:basedOn w:val="Normal"/>
    <w:uiPriority w:val="34"/>
    <w:qFormat/>
    <w:rsid w:val="002B7BAA"/>
    <w:pPr>
      <w:ind w:left="720"/>
      <w:contextualSpacing/>
    </w:pPr>
  </w:style>
  <w:style w:type="table" w:styleId="TableGrid">
    <w:name w:val="Table Grid"/>
    <w:basedOn w:val="TableNormal"/>
    <w:uiPriority w:val="39"/>
    <w:rsid w:val="001F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mix.ethereum.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gas units of optimized and unoptimized contracts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Optimizedcoin contract </c:v>
                </c:pt>
              </c:strCache>
            </c:strRef>
          </c:tx>
          <c:spPr>
            <a:solidFill>
              <a:schemeClr val="accent1"/>
            </a:solidFill>
            <a:ln>
              <a:noFill/>
            </a:ln>
            <a:effectLst/>
          </c:spPr>
          <c:invertIfNegative val="0"/>
          <c:cat>
            <c:strRef>
              <c:f>Sheet1!$A$2:$A$8</c:f>
              <c:strCache>
                <c:ptCount val="7"/>
                <c:pt idx="0">
                  <c:v>Deployment</c:v>
                </c:pt>
                <c:pt idx="1">
                  <c:v>Mint</c:v>
                </c:pt>
                <c:pt idx="2">
                  <c:v>setName</c:v>
                </c:pt>
                <c:pt idx="3">
                  <c:v>setSymbol</c:v>
                </c:pt>
                <c:pt idx="4">
                  <c:v>Transfer</c:v>
                </c:pt>
                <c:pt idx="5">
                  <c:v>approve</c:v>
                </c:pt>
                <c:pt idx="6">
                  <c:v>transferFrom </c:v>
                </c:pt>
              </c:strCache>
            </c:strRef>
          </c:cat>
          <c:val>
            <c:numRef>
              <c:f>Sheet1!$B$2:$B$8</c:f>
              <c:numCache>
                <c:formatCode>General</c:formatCode>
                <c:ptCount val="7"/>
                <c:pt idx="0">
                  <c:v>1296981</c:v>
                </c:pt>
                <c:pt idx="1">
                  <c:v>66833</c:v>
                </c:pt>
                <c:pt idx="2">
                  <c:v>28148</c:v>
                </c:pt>
                <c:pt idx="3">
                  <c:v>28114</c:v>
                </c:pt>
                <c:pt idx="4">
                  <c:v>45289</c:v>
                </c:pt>
                <c:pt idx="5">
                  <c:v>44878</c:v>
                </c:pt>
                <c:pt idx="6">
                  <c:v>46759</c:v>
                </c:pt>
              </c:numCache>
            </c:numRef>
          </c:val>
          <c:extLst>
            <c:ext xmlns:c16="http://schemas.microsoft.com/office/drawing/2014/chart" uri="{C3380CC4-5D6E-409C-BE32-E72D297353CC}">
              <c16:uniqueId val="{00000000-223B-4481-8A7C-9DE48AAC843C}"/>
            </c:ext>
          </c:extLst>
        </c:ser>
        <c:ser>
          <c:idx val="1"/>
          <c:order val="1"/>
          <c:tx>
            <c:strRef>
              <c:f>Sheet1!$C$1</c:f>
              <c:strCache>
                <c:ptCount val="1"/>
                <c:pt idx="0">
                  <c:v>Unoptimized contract</c:v>
                </c:pt>
              </c:strCache>
            </c:strRef>
          </c:tx>
          <c:spPr>
            <a:solidFill>
              <a:schemeClr val="accent2"/>
            </a:solidFill>
            <a:ln>
              <a:noFill/>
            </a:ln>
            <a:effectLst/>
          </c:spPr>
          <c:invertIfNegative val="0"/>
          <c:cat>
            <c:strRef>
              <c:f>Sheet1!$A$2:$A$8</c:f>
              <c:strCache>
                <c:ptCount val="7"/>
                <c:pt idx="0">
                  <c:v>Deployment</c:v>
                </c:pt>
                <c:pt idx="1">
                  <c:v>Mint</c:v>
                </c:pt>
                <c:pt idx="2">
                  <c:v>setName</c:v>
                </c:pt>
                <c:pt idx="3">
                  <c:v>setSymbol</c:v>
                </c:pt>
                <c:pt idx="4">
                  <c:v>Transfer</c:v>
                </c:pt>
                <c:pt idx="5">
                  <c:v>approve</c:v>
                </c:pt>
                <c:pt idx="6">
                  <c:v>transferFrom </c:v>
                </c:pt>
              </c:strCache>
            </c:strRef>
          </c:cat>
          <c:val>
            <c:numRef>
              <c:f>Sheet1!$C$2:$C$8</c:f>
              <c:numCache>
                <c:formatCode>General</c:formatCode>
                <c:ptCount val="7"/>
                <c:pt idx="0">
                  <c:v>1413172</c:v>
                </c:pt>
                <c:pt idx="1">
                  <c:v>72639</c:v>
                </c:pt>
                <c:pt idx="2">
                  <c:v>31719</c:v>
                </c:pt>
                <c:pt idx="3">
                  <c:v>31685</c:v>
                </c:pt>
                <c:pt idx="4">
                  <c:v>67672</c:v>
                </c:pt>
                <c:pt idx="5">
                  <c:v>55136</c:v>
                </c:pt>
                <c:pt idx="6">
                  <c:v>70171</c:v>
                </c:pt>
              </c:numCache>
            </c:numRef>
          </c:val>
          <c:extLst>
            <c:ext xmlns:c16="http://schemas.microsoft.com/office/drawing/2014/chart" uri="{C3380CC4-5D6E-409C-BE32-E72D297353CC}">
              <c16:uniqueId val="{00000001-223B-4481-8A7C-9DE48AAC843C}"/>
            </c:ext>
          </c:extLst>
        </c:ser>
        <c:dLbls>
          <c:showLegendKey val="0"/>
          <c:showVal val="0"/>
          <c:showCatName val="0"/>
          <c:showSerName val="0"/>
          <c:showPercent val="0"/>
          <c:showBubbleSize val="0"/>
        </c:dLbls>
        <c:gapWidth val="219"/>
        <c:overlap val="-27"/>
        <c:axId val="248813775"/>
        <c:axId val="248812527"/>
      </c:barChart>
      <c:catAx>
        <c:axId val="24881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12527"/>
        <c:crosses val="autoZero"/>
        <c:auto val="1"/>
        <c:lblAlgn val="ctr"/>
        <c:lblOffset val="100"/>
        <c:noMultiLvlLbl val="0"/>
      </c:catAx>
      <c:valAx>
        <c:axId val="248812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13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F9001-E378-4F92-A377-FD948E112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IT Solution</dc:creator>
  <cp:keywords/>
  <dc:description/>
  <cp:lastModifiedBy>Umair IT Solution</cp:lastModifiedBy>
  <cp:revision>7</cp:revision>
  <dcterms:created xsi:type="dcterms:W3CDTF">2022-11-12T03:35:00Z</dcterms:created>
  <dcterms:modified xsi:type="dcterms:W3CDTF">2022-11-12T10:31:00Z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b760e9a1-95e4-4332-9f91-697ee6eeb7fb</vt:lpwstr>
  </property>
</Properties>
</file>