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800"/>
        <w:jc w:val="center"/>
      </w:pPr>
      <w:r>
        <w:rPr>
          <w:b/>
          <w:bCs/>
          <w:color w:val="2E5B4F"/>
          <w:sz w:val="44"/>
          <w:szCs w:val="44"/>
        </w:rPr>
        <w:t xml:space="preserve">Beauty &amp; Wellness Market</w:t>
      </w:r>
    </w:p>
    <w:p>
      <w:pPr>
        <w:spacing w:after="300"/>
        <w:jc w:val="center"/>
      </w:pPr>
      <w:r>
        <w:rPr>
          <w:b/>
          <w:bCs/>
          <w:color w:val="2E5B4F"/>
          <w:sz w:val="44"/>
          <w:szCs w:val="44"/>
        </w:rPr>
        <w:t xml:space="preserve">Strategic Proposal</w:t>
      </w:r>
    </w:p>
    <w:p>
      <w:pPr>
        <w:spacing w:after="60"/>
        <w:jc w:val="center"/>
      </w:pPr>
      <w:r>
        <w:rPr>
          <w:i/>
          <w:iCs/>
          <w:color w:val="555555"/>
          <w:sz w:val="24"/>
          <w:szCs w:val="24"/>
        </w:rPr>
        <w:t xml:space="preserve">Week 5 Final Deliverable — Data Science Analyst Internship (Beauty &amp; Wellness)</w:t>
      </w:r>
    </w:p>
    <w:p>
      <w:pPr>
        <w:spacing w:after="700"/>
        <w:jc w:val="center"/>
      </w:pPr>
      <w:r>
        <w:rPr>
          <w:color w:val="555555"/>
          <w:sz w:val="22"/>
          <w:szCs w:val="22"/>
        </w:rPr>
        <w:t xml:space="preserve">Dataset: Cosmetics &amp; Skincare Product Sales (Jan–Aug 2022)</w:t>
      </w:r>
    </w:p>
    <w:p>
      <w:pPr>
        <w:pStyle w:val="Heading1"/>
        <w:spacing w:after="150" w:before="300"/>
      </w:pPr>
      <w:r>
        <w:t xml:space="preserve">Executive Summary</w:t>
      </w:r>
    </w:p>
    <w:p>
      <w:pPr>
        <w:spacing w:after="160"/>
      </w:pPr>
      <w:r>
        <w:t xml:space="preserve">Over the past four weeks, I worked through this dataset from a few different angles — cleaning it, visualizing it, building a predictive model, and running sentiment analysis on customer reviews. This final report pulls all of that together into a strategic proposal. I started by looking at what's happening in the beauty and wellness industry more broadly, then went back into the sales data to dig up a few insights I hadn't looked at yet, used both to shape a set of strategic objectives, and finally turned those into concrete recommendations with a rough timeline for how they could actually be carried out. Five objectives came out of this process, touching on revenue concentration, an underperforming market, unstable month-to-month sales, a gap in sales team performance, and how products are priced and positioned.</w:t>
      </w:r>
    </w:p>
    <w:p>
      <w:pPr>
        <w:pStyle w:val="Heading1"/>
        <w:spacing w:after="150" w:before="300"/>
      </w:pPr>
      <w:r>
        <w:t xml:space="preserve">Phase 1: Market Trend Research</w:t>
      </w:r>
    </w:p>
    <w:p>
      <w:pPr>
        <w:spacing w:after="160"/>
      </w:pPr>
      <w:r>
        <w:t xml:space="preserve">Before going back into my own dataset, I wanted to understand what's actually happening in the wider beauty and wellness market right now, so my recommendations wouldn't be based purely on eight months of one company's sales figures. I looked at a handful of recent industry reports and market research pieces from 2025 and 2026 and pulled out the ideas that kept coming up across multiple sources.</w:t>
      </w:r>
    </w:p>
    <w:p>
      <w:pPr>
        <w:pStyle w:val="Heading2"/>
        <w:spacing w:after="120" w:before="240"/>
      </w:pPr>
      <w:r>
        <w:t xml:space="preserve">What keeps showing up</w:t>
      </w:r>
    </w:p>
    <w:p>
      <w:pPr>
        <w:pStyle w:val="ListParagraph"/>
        <w:numPr>
          <w:ilvl w:val="0"/>
          <w:numId w:val="1"/>
        </w:numPr>
        <w:spacing w:after="80"/>
      </w:pPr>
      <w:r>
        <w:t xml:space="preserve">Beauty and wellness are merging — supplements and ingestibles like collagen, probiotics, and adaptogens are increasingly sold alongside skincare, not as a separate category.</w:t>
      </w:r>
    </w:p>
    <w:p>
      <w:pPr>
        <w:pStyle w:val="ListParagraph"/>
        <w:numPr>
          <w:ilvl w:val="0"/>
          <w:numId w:val="1"/>
        </w:numPr>
        <w:spacing w:after="80"/>
      </w:pPr>
      <w:r>
        <w:t xml:space="preserve">AI and personalization are becoming standard — brands are using AI for skin diagnostics and tailored product recommendations, not just as a marketing gimmick.</w:t>
      </w:r>
    </w:p>
    <w:p>
      <w:pPr>
        <w:pStyle w:val="ListParagraph"/>
        <w:numPr>
          <w:ilvl w:val="0"/>
          <w:numId w:val="1"/>
        </w:numPr>
        <w:spacing w:after="80"/>
      </w:pPr>
      <w:r>
        <w:t xml:space="preserve">There's a real shift toward skin longevity — people are thinking about skincare as preventative, not just cosmetic, partly because people are living longer and paying closer attention to long-term health.</w:t>
      </w:r>
    </w:p>
    <w:p>
      <w:pPr>
        <w:pStyle w:val="ListParagraph"/>
        <w:numPr>
          <w:ilvl w:val="0"/>
          <w:numId w:val="1"/>
        </w:numPr>
        <w:spacing w:after="80"/>
      </w:pPr>
      <w:r>
        <w:t xml:space="preserve">Spending is more selective but not shrinking — some consumers say they'll cut back, yet the category as a whole is still growing at a healthy clip, which suggests people are still willing to pay for things that actually work.</w:t>
      </w:r>
    </w:p>
    <w:p>
      <w:pPr>
        <w:pStyle w:val="ListParagraph"/>
        <w:numPr>
          <w:ilvl w:val="0"/>
          <w:numId w:val="1"/>
        </w:numPr>
        <w:spacing w:after="80"/>
      </w:pPr>
      <w:r>
        <w:t xml:space="preserve">"Clean" beauty now needs proof — vague natural claims aren't enough anymore; brands are expected to back them up with real evidence.</w:t>
      </w:r>
    </w:p>
    <w:p>
      <w:pPr>
        <w:pStyle w:val="ListParagraph"/>
        <w:numPr>
          <w:ilvl w:val="0"/>
          <w:numId w:val="1"/>
        </w:numPr>
        <w:spacing w:after="80"/>
      </w:pPr>
      <w:r>
        <w:t xml:space="preserve">Inclusivity isn't a differentiator anymore, it's just expected — wider shade ranges and age- or gender-neutral products are becoming the norm rather than a selling point.</w:t>
      </w:r>
    </w:p>
    <w:p>
      <w:pPr>
        <w:pStyle w:val="Heading2"/>
        <w:spacing w:after="120" w:before="240"/>
      </w:pPr>
      <w:r>
        <w:t xml:space="preserve">A contradiction worth noting</w:t>
      </w:r>
    </w:p>
    <w:p>
      <w:pPr>
        <w:spacing w:after="160"/>
      </w:pPr>
      <w:r>
        <w:t xml:space="preserve">Most of what I read frames AI and personalization as things pulling the industry together. But one report from The Future Laboratory pushes back on that — it argues that so much AI-driven "personalization" has actually made everything start to look the same, and predicts a pushback toward bolder, less formulaic aesthetics. I think this is worth keeping in mind: leaning too hard into algorithm-driven sameness could backfire even while personalization tools keep getting more common.</w:t>
      </w:r>
    </w:p>
    <w:p>
      <w:pPr>
        <w:pStyle w:val="Heading2"/>
        <w:spacing w:after="120" w:before="240"/>
      </w:pPr>
      <w:r>
        <w:t xml:space="preserve">Where this connects to my dataset</w:t>
      </w:r>
    </w:p>
    <w:p>
      <w:pPr>
        <w:spacing w:after="160"/>
      </w:pPr>
      <w:r>
        <w:t xml:space="preserve">Anti-Aging Serum being the top revenue driver in the USA lines up pretty directly with the skin-longevity trend. I also noticed each country in my dataset has its own "hero product" — SPF 50 and Body Butter Cream in New Zealand, Hair Repair Oil in Australia — which fits the industry's move toward more regionally tailored products rather than a single global lineup. And that same hero-product pattern is also where the homogenization risk from the Future Laboratory report becomes relevant, which I dig into more in the next section. India's relatively low revenue compared to the other markets also stood out to me as a possible opportunity, especially given how fast the beauty-wellness convergence trend is growing in emerging markets.</w:t>
      </w:r>
    </w:p>
    <w:p>
      <w:r>
        <w:br w:type="page"/>
      </w:r>
    </w:p>
    <w:p>
      <w:pPr>
        <w:pStyle w:val="Heading1"/>
        <w:spacing w:after="150" w:before="300"/>
      </w:pPr>
      <w:r>
        <w:t xml:space="preserve">Phase 2: Data Analysis &amp; Key Insights</w:t>
      </w:r>
    </w:p>
    <w:p>
      <w:pPr>
        <w:spacing w:after="160"/>
      </w:pPr>
      <w:r>
        <w:t xml:space="preserve">For this part, I went back into the Cosmetics &amp; Skincare Sales dataset (374 rows — Sales Person, Country, Product, Date, Amount, Boxes Shipped) and ran a few analyses that hadn't been part of Weeks 1 and 2, specifically aimed at filling gaps that would matter for the strategy section later on.</w:t>
      </w:r>
    </w:p>
    <w:p>
      <w:pPr>
        <w:pStyle w:val="Heading2"/>
        <w:spacing w:after="120" w:before="240"/>
      </w:pPr>
      <w:r>
        <w:t xml:space="preserve">Sales person performance</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sp = df.groupby('Sales Person').agg(</w:t>
      </w:r>
      <w:r>
        <w:br/>
      </w:r>
      <w:r>
        <w:rPr>
          <w:rFonts w:ascii="Consolas" w:cs="Consolas" w:eastAsia="Consolas" w:hAnsi="Consolas"/>
          <w:sz w:val="18"/>
          <w:szCs w:val="18"/>
        </w:rPr>
        <w:t xml:space="preserve">    Total_Revenue=('Amount ($)', 'sum'),</w:t>
      </w:r>
      <w:r>
        <w:br/>
      </w:r>
      <w:r>
        <w:rPr>
          <w:rFonts w:ascii="Consolas" w:cs="Consolas" w:eastAsia="Consolas" w:hAnsi="Consolas"/>
          <w:sz w:val="18"/>
          <w:szCs w:val="18"/>
        </w:rPr>
        <w:t xml:space="preserve">    Total_Boxes=('Boxes Shipped', 'sum'),</w:t>
      </w:r>
      <w:r>
        <w:br/>
      </w:r>
      <w:r>
        <w:rPr>
          <w:rFonts w:ascii="Consolas" w:cs="Consolas" w:eastAsia="Consolas" w:hAnsi="Consolas"/>
          <w:sz w:val="18"/>
          <w:szCs w:val="18"/>
        </w:rPr>
        <w:t xml:space="preserve">    Orders=('Amount ($)', 'count')</w:t>
      </w:r>
      <w:r>
        <w:br/>
      </w:r>
      <w:r>
        <w:rPr>
          <w:rFonts w:ascii="Consolas" w:cs="Consolas" w:eastAsia="Consolas" w:hAnsi="Consolas"/>
          <w:sz w:val="18"/>
          <w:szCs w:val="18"/>
        </w:rPr>
        <w:t xml:space="preserve">).sort_values('Total_Revenue', ascending=False)</w:t>
      </w:r>
      <w:r>
        <w:br/>
      </w:r>
      <w:r>
        <w:rPr>
          <w:rFonts w:ascii="Consolas" w:cs="Consolas" w:eastAsia="Consolas" w:hAnsi="Consolas"/>
          <w:sz w:val="18"/>
          <w:szCs w:val="18"/>
        </w:rPr>
        <w:t xml:space="preserve">sp['Avg_Order_Value'] = sp['Total_Revenue'] / sp['Orders']</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3600"/>
        <w:gridCol w:w="2800"/>
        <w:gridCol w:w="2400"/>
        <w:gridCol w:w="1800"/>
      </w:tblGrid>
      <w:tr>
        <w:tc>
          <w:tcPr>
            <w:tcW w:type="dxa" w:w="3600"/>
            <w:shd w:fill="2E5B4F" w:val="clear"/>
          </w:tcPr>
          <w:p>
            <w:r>
              <w:rPr>
                <w:b/>
                <w:bCs/>
                <w:color w:val="FFFFFF"/>
                <w:sz w:val="20"/>
                <w:szCs w:val="20"/>
              </w:rPr>
              <w:t xml:space="preserve">Sales Person</w:t>
            </w:r>
          </w:p>
        </w:tc>
        <w:tc>
          <w:tcPr>
            <w:tcW w:type="dxa" w:w="2800"/>
            <w:shd w:fill="2E5B4F" w:val="clear"/>
          </w:tcPr>
          <w:p>
            <w:r>
              <w:rPr>
                <w:b/>
                <w:bCs/>
                <w:color w:val="FFFFFF"/>
                <w:sz w:val="20"/>
                <w:szCs w:val="20"/>
              </w:rPr>
              <w:t xml:space="preserve">Total Revenue ($)</w:t>
            </w:r>
          </w:p>
        </w:tc>
        <w:tc>
          <w:tcPr>
            <w:tcW w:type="dxa" w:w="2400"/>
            <w:shd w:fill="2E5B4F" w:val="clear"/>
          </w:tcPr>
          <w:p>
            <w:r>
              <w:rPr>
                <w:b/>
                <w:bCs/>
                <w:color w:val="FFFFFF"/>
                <w:sz w:val="20"/>
                <w:szCs w:val="20"/>
              </w:rPr>
              <w:t xml:space="preserve">Total Boxes</w:t>
            </w:r>
          </w:p>
        </w:tc>
        <w:tc>
          <w:tcPr>
            <w:tcW w:type="dxa" w:w="1800"/>
            <w:shd w:fill="2E5B4F" w:val="clear"/>
          </w:tcPr>
          <w:p>
            <w:r>
              <w:rPr>
                <w:b/>
                <w:bCs/>
                <w:color w:val="FFFFFF"/>
                <w:sz w:val="20"/>
                <w:szCs w:val="20"/>
              </w:rPr>
              <w:t xml:space="preserve">Orders</w:t>
            </w:r>
          </w:p>
        </w:tc>
      </w:tr>
      <w:tr>
        <w:tc>
          <w:tcPr>
            <w:tcW w:type="dxa" w:w="3600"/>
          </w:tcPr>
          <w:p>
            <w:r>
              <w:rPr>
                <w:sz w:val="20"/>
                <w:szCs w:val="20"/>
              </w:rPr>
              <w:t xml:space="preserve">Olivia D'Souza</w:t>
            </w:r>
          </w:p>
        </w:tc>
        <w:tc>
          <w:tcPr>
            <w:tcW w:type="dxa" w:w="2800"/>
          </w:tcPr>
          <w:p>
            <w:r>
              <w:rPr>
                <w:sz w:val="20"/>
                <w:szCs w:val="20"/>
              </w:rPr>
              <w:t xml:space="preserve">387,405.91</w:t>
            </w:r>
          </w:p>
        </w:tc>
        <w:tc>
          <w:tcPr>
            <w:tcW w:type="dxa" w:w="2400"/>
          </w:tcPr>
          <w:p>
            <w:r>
              <w:rPr>
                <w:sz w:val="20"/>
                <w:szCs w:val="20"/>
              </w:rPr>
              <w:t xml:space="preserve">12,619</w:t>
            </w:r>
          </w:p>
        </w:tc>
        <w:tc>
          <w:tcPr>
            <w:tcW w:type="dxa" w:w="1800"/>
          </w:tcPr>
          <w:p>
            <w:r>
              <w:rPr>
                <w:sz w:val="20"/>
                <w:szCs w:val="20"/>
              </w:rPr>
              <w:t xml:space="preserve">47</w:t>
            </w:r>
          </w:p>
        </w:tc>
      </w:tr>
      <w:tr>
        <w:tc>
          <w:tcPr>
            <w:tcW w:type="dxa" w:w="3600"/>
          </w:tcPr>
          <w:p>
            <w:r>
              <w:rPr>
                <w:sz w:val="20"/>
                <w:szCs w:val="20"/>
              </w:rPr>
              <w:t xml:space="preserve">Sophia Nair</w:t>
            </w:r>
          </w:p>
        </w:tc>
        <w:tc>
          <w:tcPr>
            <w:tcW w:type="dxa" w:w="2800"/>
          </w:tcPr>
          <w:p>
            <w:r>
              <w:rPr>
                <w:sz w:val="20"/>
                <w:szCs w:val="20"/>
              </w:rPr>
              <w:t xml:space="preserve">319,887.82</w:t>
            </w:r>
          </w:p>
        </w:tc>
        <w:tc>
          <w:tcPr>
            <w:tcW w:type="dxa" w:w="2400"/>
          </w:tcPr>
          <w:p>
            <w:r>
              <w:rPr>
                <w:sz w:val="20"/>
                <w:szCs w:val="20"/>
              </w:rPr>
              <w:t xml:space="preserve">10,473</w:t>
            </w:r>
          </w:p>
        </w:tc>
        <w:tc>
          <w:tcPr>
            <w:tcW w:type="dxa" w:w="1800"/>
          </w:tcPr>
          <w:p>
            <w:r>
              <w:rPr>
                <w:sz w:val="20"/>
                <w:szCs w:val="20"/>
              </w:rPr>
              <w:t xml:space="preserve">40</w:t>
            </w:r>
          </w:p>
        </w:tc>
      </w:tr>
      <w:tr>
        <w:tc>
          <w:tcPr>
            <w:tcW w:type="dxa" w:w="3600"/>
          </w:tcPr>
          <w:p>
            <w:r>
              <w:rPr>
                <w:sz w:val="20"/>
                <w:szCs w:val="20"/>
              </w:rPr>
              <w:t xml:space="preserve">Isabella Roy</w:t>
            </w:r>
          </w:p>
        </w:tc>
        <w:tc>
          <w:tcPr>
            <w:tcW w:type="dxa" w:w="2800"/>
          </w:tcPr>
          <w:p>
            <w:r>
              <w:rPr>
                <w:sz w:val="20"/>
                <w:szCs w:val="20"/>
              </w:rPr>
              <w:t xml:space="preserve">302,087.60</w:t>
            </w:r>
          </w:p>
        </w:tc>
        <w:tc>
          <w:tcPr>
            <w:tcW w:type="dxa" w:w="2400"/>
          </w:tcPr>
          <w:p>
            <w:r>
              <w:rPr>
                <w:sz w:val="20"/>
                <w:szCs w:val="20"/>
              </w:rPr>
              <w:t xml:space="preserve">9,116</w:t>
            </w:r>
          </w:p>
        </w:tc>
        <w:tc>
          <w:tcPr>
            <w:tcW w:type="dxa" w:w="1800"/>
          </w:tcPr>
          <w:p>
            <w:r>
              <w:rPr>
                <w:sz w:val="20"/>
                <w:szCs w:val="20"/>
              </w:rPr>
              <w:t xml:space="preserve">38</w:t>
            </w:r>
          </w:p>
        </w:tc>
      </w:tr>
      <w:tr>
        <w:tc>
          <w:tcPr>
            <w:tcW w:type="dxa" w:w="3600"/>
          </w:tcPr>
          <w:p>
            <w:r>
              <w:rPr>
                <w:sz w:val="20"/>
                <w:szCs w:val="20"/>
              </w:rPr>
              <w:t xml:space="preserve">Ethan Reddy</w:t>
            </w:r>
          </w:p>
        </w:tc>
        <w:tc>
          <w:tcPr>
            <w:tcW w:type="dxa" w:w="2800"/>
          </w:tcPr>
          <w:p>
            <w:r>
              <w:rPr>
                <w:sz w:val="20"/>
                <w:szCs w:val="20"/>
              </w:rPr>
              <w:t xml:space="preserve">298,595.61</w:t>
            </w:r>
          </w:p>
        </w:tc>
        <w:tc>
          <w:tcPr>
            <w:tcW w:type="dxa" w:w="2400"/>
          </w:tcPr>
          <w:p>
            <w:r>
              <w:rPr>
                <w:sz w:val="20"/>
                <w:szCs w:val="20"/>
              </w:rPr>
              <w:t xml:space="preserve">8,814</w:t>
            </w:r>
          </w:p>
        </w:tc>
        <w:tc>
          <w:tcPr>
            <w:tcW w:type="dxa" w:w="1800"/>
          </w:tcPr>
          <w:p>
            <w:r>
              <w:rPr>
                <w:sz w:val="20"/>
                <w:szCs w:val="20"/>
              </w:rPr>
              <w:t xml:space="preserve">35</w:t>
            </w:r>
          </w:p>
        </w:tc>
      </w:tr>
      <w:tr>
        <w:tc>
          <w:tcPr>
            <w:tcW w:type="dxa" w:w="3600"/>
          </w:tcPr>
          <w:p>
            <w:r>
              <w:rPr>
                <w:sz w:val="20"/>
                <w:szCs w:val="20"/>
              </w:rPr>
              <w:t xml:space="preserve">Lucas Verma</w:t>
            </w:r>
          </w:p>
        </w:tc>
        <w:tc>
          <w:tcPr>
            <w:tcW w:type="dxa" w:w="2800"/>
          </w:tcPr>
          <w:p>
            <w:r>
              <w:rPr>
                <w:sz w:val="20"/>
                <w:szCs w:val="20"/>
              </w:rPr>
              <w:t xml:space="preserve">295,166.91</w:t>
            </w:r>
          </w:p>
        </w:tc>
        <w:tc>
          <w:tcPr>
            <w:tcW w:type="dxa" w:w="2400"/>
          </w:tcPr>
          <w:p>
            <w:r>
              <w:rPr>
                <w:sz w:val="20"/>
                <w:szCs w:val="20"/>
              </w:rPr>
              <w:t xml:space="preserve">9,330</w:t>
            </w:r>
          </w:p>
        </w:tc>
        <w:tc>
          <w:tcPr>
            <w:tcW w:type="dxa" w:w="1800"/>
          </w:tcPr>
          <w:p>
            <w:r>
              <w:rPr>
                <w:sz w:val="20"/>
                <w:szCs w:val="20"/>
              </w:rPr>
              <w:t xml:space="preserve">36</w:t>
            </w:r>
          </w:p>
        </w:tc>
      </w:tr>
      <w:tr>
        <w:tc>
          <w:tcPr>
            <w:tcW w:type="dxa" w:w="3600"/>
          </w:tcPr>
          <w:p>
            <w:r>
              <w:rPr>
                <w:sz w:val="20"/>
                <w:szCs w:val="20"/>
              </w:rPr>
              <w:t xml:space="preserve">Mason Kapoor (lowest)</w:t>
            </w:r>
          </w:p>
        </w:tc>
        <w:tc>
          <w:tcPr>
            <w:tcW w:type="dxa" w:w="2800"/>
          </w:tcPr>
          <w:p>
            <w:r>
              <w:rPr>
                <w:sz w:val="20"/>
                <w:szCs w:val="20"/>
              </w:rPr>
              <w:t xml:space="preserve">223,432.69</w:t>
            </w:r>
          </w:p>
        </w:tc>
        <w:tc>
          <w:tcPr>
            <w:tcW w:type="dxa" w:w="2400"/>
          </w:tcPr>
          <w:p>
            <w:r>
              <w:rPr>
                <w:sz w:val="20"/>
                <w:szCs w:val="20"/>
              </w:rPr>
              <w:t xml:space="preserve">7,367</w:t>
            </w:r>
          </w:p>
        </w:tc>
        <w:tc>
          <w:tcPr>
            <w:tcW w:type="dxa" w:w="1800"/>
          </w:tcPr>
          <w:p>
            <w:r>
              <w:rPr>
                <w:sz w:val="20"/>
                <w:szCs w:val="20"/>
              </w:rPr>
              <w:t xml:space="preserve">32</w:t>
            </w:r>
          </w:p>
        </w:tc>
      </w:tr>
    </w:tbl>
    <w:p>
      <w:pPr>
        <w:spacing w:after="160"/>
      </w:pPr>
      <w:r>
        <w:t xml:space="preserve"/>
      </w:r>
    </w:p>
    <w:p>
      <w:pPr>
        <w:spacing w:after="160"/>
      </w:pPr>
      <w:r>
        <w:rPr>
          <w:i/>
          <w:iCs/>
        </w:rPr>
        <w:t xml:space="preserve">Olivia D'Souza comes out on top with $387,405.91 across 47 orders. What stood out to me is that the top performers aren't concentrated in any one country — they're all selling across all six markets, so whatever's driving the difference in performance seems to be more about the individual than the territory. The gap between Olivia and the lowest performer, Mason Kapoor, works out to about 42%, which felt too large to ignore.</w:t>
      </w:r>
    </w:p>
    <w:p>
      <w:pPr>
        <w:pStyle w:val="Heading2"/>
        <w:spacing w:after="120" w:before="240"/>
      </w:pPr>
      <w:r>
        <w:t xml:space="preserve">Month-over-month revenue growth</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df['Month'] = df['Date'].dt.to_period('M').astype(str)</w:t>
      </w:r>
      <w:r>
        <w:br/>
      </w:r>
      <w:r>
        <w:rPr>
          <w:rFonts w:ascii="Consolas" w:cs="Consolas" w:eastAsia="Consolas" w:hAnsi="Consolas"/>
          <w:sz w:val="18"/>
          <w:szCs w:val="18"/>
        </w:rPr>
        <w:t xml:space="preserve">monthly = df.groupby('Month')['Amount ($)'].sum().sort_index()</w:t>
      </w:r>
      <w:r>
        <w:br/>
      </w:r>
      <w:r>
        <w:rPr>
          <w:rFonts w:ascii="Consolas" w:cs="Consolas" w:eastAsia="Consolas" w:hAnsi="Consolas"/>
          <w:sz w:val="18"/>
          <w:szCs w:val="18"/>
        </w:rPr>
        <w:t xml:space="preserve">growth = monthly.pct_change() * 100</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2800"/>
      </w:tblGrid>
      <w:tr>
        <w:tc>
          <w:tcPr>
            <w:tcW w:type="dxa" w:w="2800"/>
            <w:shd w:fill="2E5B4F" w:val="clear"/>
          </w:tcPr>
          <w:p>
            <w:r>
              <w:rPr>
                <w:b/>
                <w:bCs/>
                <w:color w:val="FFFFFF"/>
                <w:sz w:val="20"/>
                <w:szCs w:val="20"/>
              </w:rPr>
              <w:t xml:space="preserve">Month</w:t>
            </w:r>
          </w:p>
        </w:tc>
        <w:tc>
          <w:tcPr>
            <w:tcW w:type="dxa" w:w="3000"/>
            <w:shd w:fill="2E5B4F" w:val="clear"/>
          </w:tcPr>
          <w:p>
            <w:r>
              <w:rPr>
                <w:b/>
                <w:bCs/>
                <w:color w:val="FFFFFF"/>
                <w:sz w:val="20"/>
                <w:szCs w:val="20"/>
              </w:rPr>
              <w:t xml:space="preserve">Revenue ($)</w:t>
            </w:r>
          </w:p>
        </w:tc>
        <w:tc>
          <w:tcPr>
            <w:tcW w:type="dxa" w:w="2800"/>
            <w:shd w:fill="2E5B4F" w:val="clear"/>
          </w:tcPr>
          <w:p>
            <w:r>
              <w:rPr>
                <w:b/>
                <w:bCs/>
                <w:color w:val="FFFFFF"/>
                <w:sz w:val="20"/>
                <w:szCs w:val="20"/>
              </w:rPr>
              <w:t xml:space="preserve">Growth %</w:t>
            </w:r>
          </w:p>
        </w:tc>
      </w:tr>
      <w:tr>
        <w:tc>
          <w:tcPr>
            <w:tcW w:type="dxa" w:w="2800"/>
          </w:tcPr>
          <w:p>
            <w:r>
              <w:rPr>
                <w:sz w:val="20"/>
                <w:szCs w:val="20"/>
              </w:rPr>
              <w:t xml:space="preserve">2022-01</w:t>
            </w:r>
          </w:p>
        </w:tc>
        <w:tc>
          <w:tcPr>
            <w:tcW w:type="dxa" w:w="3000"/>
          </w:tcPr>
          <w:p>
            <w:r>
              <w:rPr>
                <w:sz w:val="20"/>
                <w:szCs w:val="20"/>
              </w:rPr>
              <w:t xml:space="preserve">359,762.51</w:t>
            </w:r>
          </w:p>
        </w:tc>
        <w:tc>
          <w:tcPr>
            <w:tcW w:type="dxa" w:w="2800"/>
          </w:tcPr>
          <w:p>
            <w:r>
              <w:rPr>
                <w:sz w:val="20"/>
                <w:szCs w:val="20"/>
              </w:rPr>
              <w:t xml:space="preserve">—</w:t>
            </w:r>
          </w:p>
        </w:tc>
      </w:tr>
      <w:tr>
        <w:tc>
          <w:tcPr>
            <w:tcW w:type="dxa" w:w="2800"/>
          </w:tcPr>
          <w:p>
            <w:r>
              <w:rPr>
                <w:sz w:val="20"/>
                <w:szCs w:val="20"/>
              </w:rPr>
              <w:t xml:space="preserve">2022-02</w:t>
            </w:r>
          </w:p>
        </w:tc>
        <w:tc>
          <w:tcPr>
            <w:tcW w:type="dxa" w:w="3000"/>
          </w:tcPr>
          <w:p>
            <w:r>
              <w:rPr>
                <w:sz w:val="20"/>
                <w:szCs w:val="20"/>
              </w:rPr>
              <w:t xml:space="preserve">214,024.56</w:t>
            </w:r>
          </w:p>
        </w:tc>
        <w:tc>
          <w:tcPr>
            <w:tcW w:type="dxa" w:w="2800"/>
          </w:tcPr>
          <w:p>
            <w:r>
              <w:rPr>
                <w:sz w:val="20"/>
                <w:szCs w:val="20"/>
              </w:rPr>
              <w:t xml:space="preserve">-40.51%</w:t>
            </w:r>
          </w:p>
        </w:tc>
      </w:tr>
      <w:tr>
        <w:tc>
          <w:tcPr>
            <w:tcW w:type="dxa" w:w="2800"/>
          </w:tcPr>
          <w:p>
            <w:r>
              <w:rPr>
                <w:sz w:val="20"/>
                <w:szCs w:val="20"/>
              </w:rPr>
              <w:t xml:space="preserve">2022-03</w:t>
            </w:r>
          </w:p>
        </w:tc>
        <w:tc>
          <w:tcPr>
            <w:tcW w:type="dxa" w:w="3000"/>
          </w:tcPr>
          <w:p>
            <w:r>
              <w:rPr>
                <w:sz w:val="20"/>
                <w:szCs w:val="20"/>
              </w:rPr>
              <w:t xml:space="preserve">484,101.59</w:t>
            </w:r>
          </w:p>
        </w:tc>
        <w:tc>
          <w:tcPr>
            <w:tcW w:type="dxa" w:w="2800"/>
          </w:tcPr>
          <w:p>
            <w:r>
              <w:rPr>
                <w:sz w:val="20"/>
                <w:szCs w:val="20"/>
              </w:rPr>
              <w:t xml:space="preserve">+126.19%</w:t>
            </w:r>
          </w:p>
        </w:tc>
      </w:tr>
      <w:tr>
        <w:tc>
          <w:tcPr>
            <w:tcW w:type="dxa" w:w="2800"/>
          </w:tcPr>
          <w:p>
            <w:r>
              <w:rPr>
                <w:sz w:val="20"/>
                <w:szCs w:val="20"/>
              </w:rPr>
              <w:t xml:space="preserve">2022-04</w:t>
            </w:r>
          </w:p>
        </w:tc>
        <w:tc>
          <w:tcPr>
            <w:tcW w:type="dxa" w:w="3000"/>
          </w:tcPr>
          <w:p>
            <w:r>
              <w:rPr>
                <w:sz w:val="20"/>
                <w:szCs w:val="20"/>
              </w:rPr>
              <w:t xml:space="preserve">452,650.04</w:t>
            </w:r>
          </w:p>
        </w:tc>
        <w:tc>
          <w:tcPr>
            <w:tcW w:type="dxa" w:w="2800"/>
          </w:tcPr>
          <w:p>
            <w:r>
              <w:rPr>
                <w:sz w:val="20"/>
                <w:szCs w:val="20"/>
              </w:rPr>
              <w:t xml:space="preserve">-6.50%</w:t>
            </w:r>
          </w:p>
        </w:tc>
      </w:tr>
      <w:tr>
        <w:tc>
          <w:tcPr>
            <w:tcW w:type="dxa" w:w="2800"/>
          </w:tcPr>
          <w:p>
            <w:r>
              <w:rPr>
                <w:sz w:val="20"/>
                <w:szCs w:val="20"/>
              </w:rPr>
              <w:t xml:space="preserve">2022-05</w:t>
            </w:r>
          </w:p>
        </w:tc>
        <w:tc>
          <w:tcPr>
            <w:tcW w:type="dxa" w:w="3000"/>
          </w:tcPr>
          <w:p>
            <w:r>
              <w:rPr>
                <w:sz w:val="20"/>
                <w:szCs w:val="20"/>
              </w:rPr>
              <w:t xml:space="preserve">396,609.09</w:t>
            </w:r>
          </w:p>
        </w:tc>
        <w:tc>
          <w:tcPr>
            <w:tcW w:type="dxa" w:w="2800"/>
          </w:tcPr>
          <w:p>
            <w:r>
              <w:rPr>
                <w:sz w:val="20"/>
                <w:szCs w:val="20"/>
              </w:rPr>
              <w:t xml:space="preserve">-12.38%</w:t>
            </w:r>
          </w:p>
        </w:tc>
      </w:tr>
      <w:tr>
        <w:tc>
          <w:tcPr>
            <w:tcW w:type="dxa" w:w="2800"/>
          </w:tcPr>
          <w:p>
            <w:r>
              <w:rPr>
                <w:sz w:val="20"/>
                <w:szCs w:val="20"/>
              </w:rPr>
              <w:t xml:space="preserve">2022-06</w:t>
            </w:r>
          </w:p>
        </w:tc>
        <w:tc>
          <w:tcPr>
            <w:tcW w:type="dxa" w:w="3000"/>
          </w:tcPr>
          <w:p>
            <w:r>
              <w:rPr>
                <w:sz w:val="20"/>
                <w:szCs w:val="20"/>
              </w:rPr>
              <w:t xml:space="preserve">367,001.65</w:t>
            </w:r>
          </w:p>
        </w:tc>
        <w:tc>
          <w:tcPr>
            <w:tcW w:type="dxa" w:w="2800"/>
          </w:tcPr>
          <w:p>
            <w:r>
              <w:rPr>
                <w:sz w:val="20"/>
                <w:szCs w:val="20"/>
              </w:rPr>
              <w:t xml:space="preserve">-7.47%</w:t>
            </w:r>
          </w:p>
        </w:tc>
      </w:tr>
      <w:tr>
        <w:tc>
          <w:tcPr>
            <w:tcW w:type="dxa" w:w="2800"/>
          </w:tcPr>
          <w:p>
            <w:r>
              <w:rPr>
                <w:sz w:val="20"/>
                <w:szCs w:val="20"/>
              </w:rPr>
              <w:t xml:space="preserve">2022-07</w:t>
            </w:r>
          </w:p>
        </w:tc>
        <w:tc>
          <w:tcPr>
            <w:tcW w:type="dxa" w:w="3000"/>
          </w:tcPr>
          <w:p>
            <w:r>
              <w:rPr>
                <w:sz w:val="20"/>
                <w:szCs w:val="20"/>
              </w:rPr>
              <w:t xml:space="preserve">359,655.73</w:t>
            </w:r>
          </w:p>
        </w:tc>
        <w:tc>
          <w:tcPr>
            <w:tcW w:type="dxa" w:w="2800"/>
          </w:tcPr>
          <w:p>
            <w:r>
              <w:rPr>
                <w:sz w:val="20"/>
                <w:szCs w:val="20"/>
              </w:rPr>
              <w:t xml:space="preserve">-2.00%</w:t>
            </w:r>
          </w:p>
        </w:tc>
      </w:tr>
      <w:tr>
        <w:tc>
          <w:tcPr>
            <w:tcW w:type="dxa" w:w="2800"/>
          </w:tcPr>
          <w:p>
            <w:r>
              <w:rPr>
                <w:sz w:val="20"/>
                <w:szCs w:val="20"/>
              </w:rPr>
              <w:t xml:space="preserve">2022-08</w:t>
            </w:r>
          </w:p>
        </w:tc>
        <w:tc>
          <w:tcPr>
            <w:tcW w:type="dxa" w:w="3000"/>
          </w:tcPr>
          <w:p>
            <w:r>
              <w:rPr>
                <w:sz w:val="20"/>
                <w:szCs w:val="20"/>
              </w:rPr>
              <w:t xml:space="preserve">275,298.95</w:t>
            </w:r>
          </w:p>
        </w:tc>
        <w:tc>
          <w:tcPr>
            <w:tcW w:type="dxa" w:w="2800"/>
          </w:tcPr>
          <w:p>
            <w:r>
              <w:rPr>
                <w:sz w:val="20"/>
                <w:szCs w:val="20"/>
              </w:rPr>
              <w:t xml:space="preserve">-23.45%</w:t>
            </w:r>
          </w:p>
        </w:tc>
      </w:tr>
    </w:tbl>
    <w:p>
      <w:pPr>
        <w:spacing w:after="160"/>
      </w:pPr>
      <w:r>
        <w:t xml:space="preserve"/>
      </w:r>
    </w:p>
    <w:p>
      <w:pPr>
        <w:spacing w:after="160"/>
      </w:pPr>
      <w:r>
        <w:rPr>
          <w:i/>
          <w:iCs/>
        </w:rPr>
        <w:t xml:space="preserve">This is where I had to revise my assumption from Week 1. I'd originally read the monthly trend as roughly "growing," but once I actually calculated the percentage change month to month, it's clearly not a steady climb — February dropped over 40%, March then jumped back up by more than double, and from there it's mostly been a slow decline through August. So the real story isn't growth, it's a spike followed by a cooling-off period.</w:t>
      </w:r>
    </w:p>
    <w:p>
      <w:pPr>
        <w:pStyle w:val="Heading2"/>
        <w:spacing w:after="120" w:before="240"/>
      </w:pPr>
      <w:r>
        <w:t xml:space="preserve">Price-per-box vs sales volume</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df['Price_per_box'] = df['Amount ($)'] / df['Boxes Shipped']</w:t>
      </w:r>
      <w:r>
        <w:br/>
      </w:r>
      <w:r>
        <w:rPr>
          <w:rFonts w:ascii="Consolas" w:cs="Consolas" w:eastAsia="Consolas" w:hAnsi="Consolas"/>
          <w:sz w:val="18"/>
          <w:szCs w:val="18"/>
        </w:rPr>
        <w:t xml:space="preserve">corr = df.groupby('Product').agg(</w:t>
      </w:r>
      <w:r>
        <w:br/>
      </w:r>
      <w:r>
        <w:rPr>
          <w:rFonts w:ascii="Consolas" w:cs="Consolas" w:eastAsia="Consolas" w:hAnsi="Consolas"/>
          <w:sz w:val="18"/>
          <w:szCs w:val="18"/>
        </w:rPr>
        <w:t xml:space="preserve">    Avg_Price=('Price_per_box','mean'), Total_Boxes=('Boxes Shipped','sum')</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correlation = corr['Avg_Price'].corr(corr['Total_Boxes'])  # -0.283</w:t>
      </w:r>
    </w:p>
    <w:p>
      <w:pPr>
        <w:spacing w:after="160"/>
      </w:pPr>
      <w:r>
        <w:rPr>
          <w:i/>
          <w:iCs/>
        </w:rPr>
        <w:t xml:space="preserve">The correlation here came out to -0.283, so there's a weak, slightly negative relationship between how much a product costs per box and how many boxes it actually sells. In practice, Tea Tree Moisturizer and Hydrating Face Serum move the most volume despite being priced in the middle of the pack, while pricier items like Hair Repair Oil and Rose Water Toner don't sell proportionally more. My read on this is that people are buying based on what a product does for them, not how much it costs.</w:t>
      </w:r>
    </w:p>
    <w:p>
      <w:pPr>
        <w:pStyle w:val="Heading2"/>
        <w:spacing w:after="120" w:before="240"/>
      </w:pPr>
      <w:r>
        <w:t xml:space="preserve">Country-product concentration (a risk check)</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country_total = df.groupby('Country')['Amount ($)'].sum()</w:t>
      </w:r>
      <w:r>
        <w:br/>
      </w:r>
      <w:r>
        <w:rPr>
          <w:rFonts w:ascii="Consolas" w:cs="Consolas" w:eastAsia="Consolas" w:hAnsi="Consolas"/>
          <w:sz w:val="18"/>
          <w:szCs w:val="18"/>
        </w:rPr>
        <w:t xml:space="preserve">country_product = df.groupby(['Country','Product'])['Amount ($)'].sum().reset_index()</w:t>
      </w:r>
      <w:r>
        <w:br/>
      </w:r>
      <w:r>
        <w:rPr>
          <w:rFonts w:ascii="Consolas" w:cs="Consolas" w:eastAsia="Consolas" w:hAnsi="Consolas"/>
          <w:sz w:val="18"/>
          <w:szCs w:val="18"/>
        </w:rPr>
        <w:t xml:space="preserve">top_product = country_product.loc[country_product.groupby('Country')['Amount ($)'].idxmax()]</w:t>
      </w:r>
      <w:r>
        <w:br/>
      </w:r>
      <w:r>
        <w:rPr>
          <w:rFonts w:ascii="Consolas" w:cs="Consolas" w:eastAsia="Consolas" w:hAnsi="Consolas"/>
          <w:sz w:val="18"/>
          <w:szCs w:val="18"/>
        </w:rPr>
        <w:t xml:space="preserve">top_product['Concentration_%'] = top_product['Amount ($)'] / top_product.merge(</w:t>
      </w:r>
      <w:r>
        <w:br/>
      </w:r>
      <w:r>
        <w:rPr>
          <w:rFonts w:ascii="Consolas" w:cs="Consolas" w:eastAsia="Consolas" w:hAnsi="Consolas"/>
          <w:sz w:val="18"/>
          <w:szCs w:val="18"/>
        </w:rPr>
        <w:t xml:space="preserve">    country_total.rename('Total'), on='Country')['Total'] * 100</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2400"/>
      </w:tblGrid>
      <w:tr>
        <w:tc>
          <w:tcPr>
            <w:tcW w:type="dxa" w:w="2600"/>
            <w:shd w:fill="2E5B4F" w:val="clear"/>
          </w:tcPr>
          <w:p>
            <w:r>
              <w:rPr>
                <w:b/>
                <w:bCs/>
                <w:color w:val="FFFFFF"/>
                <w:sz w:val="20"/>
                <w:szCs w:val="20"/>
              </w:rPr>
              <w:t xml:space="preserve">Country</w:t>
            </w:r>
          </w:p>
        </w:tc>
        <w:tc>
          <w:tcPr>
            <w:tcW w:type="dxa" w:w="3600"/>
            <w:shd w:fill="2E5B4F" w:val="clear"/>
          </w:tcPr>
          <w:p>
            <w:r>
              <w:rPr>
                <w:b/>
                <w:bCs/>
                <w:color w:val="FFFFFF"/>
                <w:sz w:val="20"/>
                <w:szCs w:val="20"/>
              </w:rPr>
              <w:t xml:space="preserve">Top Product</w:t>
            </w:r>
          </w:p>
        </w:tc>
        <w:tc>
          <w:tcPr>
            <w:tcW w:type="dxa" w:w="2400"/>
            <w:shd w:fill="2E5B4F" w:val="clear"/>
          </w:tcPr>
          <w:p>
            <w:r>
              <w:rPr>
                <w:b/>
                <w:bCs/>
                <w:color w:val="FFFFFF"/>
                <w:sz w:val="20"/>
                <w:szCs w:val="20"/>
              </w:rPr>
              <w:t xml:space="preserve">Concentration %</w:t>
            </w:r>
          </w:p>
        </w:tc>
      </w:tr>
      <w:tr>
        <w:tc>
          <w:tcPr>
            <w:tcW w:type="dxa" w:w="2600"/>
          </w:tcPr>
          <w:p>
            <w:r>
              <w:rPr>
                <w:sz w:val="20"/>
                <w:szCs w:val="20"/>
              </w:rPr>
              <w:t xml:space="preserve">USA</w:t>
            </w:r>
          </w:p>
        </w:tc>
        <w:tc>
          <w:tcPr>
            <w:tcW w:type="dxa" w:w="3600"/>
          </w:tcPr>
          <w:p>
            <w:r>
              <w:rPr>
                <w:sz w:val="20"/>
                <w:szCs w:val="20"/>
              </w:rPr>
              <w:t xml:space="preserve">Anti-Aging Serum</w:t>
            </w:r>
          </w:p>
        </w:tc>
        <w:tc>
          <w:tcPr>
            <w:tcW w:type="dxa" w:w="2400"/>
          </w:tcPr>
          <w:p>
            <w:r>
              <w:rPr>
                <w:sz w:val="20"/>
                <w:szCs w:val="20"/>
              </w:rPr>
              <w:t xml:space="preserve">18.11%</w:t>
            </w:r>
          </w:p>
        </w:tc>
      </w:tr>
      <w:tr>
        <w:tc>
          <w:tcPr>
            <w:tcW w:type="dxa" w:w="2600"/>
          </w:tcPr>
          <w:p>
            <w:r>
              <w:rPr>
                <w:sz w:val="20"/>
                <w:szCs w:val="20"/>
              </w:rPr>
              <w:t xml:space="preserve">Australia</w:t>
            </w:r>
          </w:p>
        </w:tc>
        <w:tc>
          <w:tcPr>
            <w:tcW w:type="dxa" w:w="3600"/>
          </w:tcPr>
          <w:p>
            <w:r>
              <w:rPr>
                <w:sz w:val="20"/>
                <w:szCs w:val="20"/>
              </w:rPr>
              <w:t xml:space="preserve">Hair Repair Oil</w:t>
            </w:r>
          </w:p>
        </w:tc>
        <w:tc>
          <w:tcPr>
            <w:tcW w:type="dxa" w:w="2400"/>
          </w:tcPr>
          <w:p>
            <w:r>
              <w:rPr>
                <w:sz w:val="20"/>
                <w:szCs w:val="20"/>
              </w:rPr>
              <w:t xml:space="preserve">18.00%</w:t>
            </w:r>
          </w:p>
        </w:tc>
      </w:tr>
      <w:tr>
        <w:tc>
          <w:tcPr>
            <w:tcW w:type="dxa" w:w="2600"/>
          </w:tcPr>
          <w:p>
            <w:r>
              <w:rPr>
                <w:sz w:val="20"/>
                <w:szCs w:val="20"/>
              </w:rPr>
              <w:t xml:space="preserve">Canada</w:t>
            </w:r>
          </w:p>
        </w:tc>
        <w:tc>
          <w:tcPr>
            <w:tcW w:type="dxa" w:w="3600"/>
          </w:tcPr>
          <w:p>
            <w:r>
              <w:rPr>
                <w:sz w:val="20"/>
                <w:szCs w:val="20"/>
              </w:rPr>
              <w:t xml:space="preserve">Under Eye Cream</w:t>
            </w:r>
          </w:p>
        </w:tc>
        <w:tc>
          <w:tcPr>
            <w:tcW w:type="dxa" w:w="2400"/>
          </w:tcPr>
          <w:p>
            <w:r>
              <w:rPr>
                <w:sz w:val="20"/>
                <w:szCs w:val="20"/>
              </w:rPr>
              <w:t xml:space="preserve">15.84%</w:t>
            </w:r>
          </w:p>
        </w:tc>
      </w:tr>
      <w:tr>
        <w:tc>
          <w:tcPr>
            <w:tcW w:type="dxa" w:w="2600"/>
          </w:tcPr>
          <w:p>
            <w:r>
              <w:rPr>
                <w:sz w:val="20"/>
                <w:szCs w:val="20"/>
              </w:rPr>
              <w:t xml:space="preserve">New Zealand</w:t>
            </w:r>
          </w:p>
        </w:tc>
        <w:tc>
          <w:tcPr>
            <w:tcW w:type="dxa" w:w="3600"/>
          </w:tcPr>
          <w:p>
            <w:r>
              <w:rPr>
                <w:sz w:val="20"/>
                <w:szCs w:val="20"/>
              </w:rPr>
              <w:t xml:space="preserve">SPF 50 Sunscreen</w:t>
            </w:r>
          </w:p>
        </w:tc>
        <w:tc>
          <w:tcPr>
            <w:tcW w:type="dxa" w:w="2400"/>
          </w:tcPr>
          <w:p>
            <w:r>
              <w:rPr>
                <w:sz w:val="20"/>
                <w:szCs w:val="20"/>
              </w:rPr>
              <w:t xml:space="preserve">15.78%</w:t>
            </w:r>
          </w:p>
        </w:tc>
      </w:tr>
      <w:tr>
        <w:tc>
          <w:tcPr>
            <w:tcW w:type="dxa" w:w="2600"/>
          </w:tcPr>
          <w:p>
            <w:r>
              <w:rPr>
                <w:sz w:val="20"/>
                <w:szCs w:val="20"/>
              </w:rPr>
              <w:t xml:space="preserve">UK</w:t>
            </w:r>
          </w:p>
        </w:tc>
        <w:tc>
          <w:tcPr>
            <w:tcW w:type="dxa" w:w="3600"/>
          </w:tcPr>
          <w:p>
            <w:r>
              <w:rPr>
                <w:sz w:val="20"/>
                <w:szCs w:val="20"/>
              </w:rPr>
              <w:t xml:space="preserve">Hydrating Face Serum</w:t>
            </w:r>
          </w:p>
        </w:tc>
        <w:tc>
          <w:tcPr>
            <w:tcW w:type="dxa" w:w="2400"/>
          </w:tcPr>
          <w:p>
            <w:r>
              <w:rPr>
                <w:sz w:val="20"/>
                <w:szCs w:val="20"/>
              </w:rPr>
              <w:t xml:space="preserve">15.23%</w:t>
            </w:r>
          </w:p>
        </w:tc>
      </w:tr>
      <w:tr>
        <w:tc>
          <w:tcPr>
            <w:tcW w:type="dxa" w:w="2600"/>
          </w:tcPr>
          <w:p>
            <w:r>
              <w:rPr>
                <w:sz w:val="20"/>
                <w:szCs w:val="20"/>
              </w:rPr>
              <w:t xml:space="preserve">India</w:t>
            </w:r>
          </w:p>
        </w:tc>
        <w:tc>
          <w:tcPr>
            <w:tcW w:type="dxa" w:w="3600"/>
          </w:tcPr>
          <w:p>
            <w:r>
              <w:rPr>
                <w:sz w:val="20"/>
                <w:szCs w:val="20"/>
              </w:rPr>
              <w:t xml:space="preserve">Anti-Aging Serum</w:t>
            </w:r>
          </w:p>
        </w:tc>
        <w:tc>
          <w:tcPr>
            <w:tcW w:type="dxa" w:w="2400"/>
          </w:tcPr>
          <w:p>
            <w:r>
              <w:rPr>
                <w:sz w:val="20"/>
                <w:szCs w:val="20"/>
              </w:rPr>
              <w:t xml:space="preserve">11.29%</w:t>
            </w:r>
          </w:p>
        </w:tc>
      </w:tr>
    </w:tbl>
    <w:p>
      <w:pPr>
        <w:spacing w:after="160"/>
      </w:pPr>
      <w:r>
        <w:t xml:space="preserve"/>
      </w:r>
    </w:p>
    <w:p>
      <w:pPr>
        <w:spacing w:after="160"/>
      </w:pPr>
      <w:r>
        <w:rPr>
          <w:i/>
          <w:iCs/>
        </w:rPr>
        <w:t xml:space="preserve">I ran this one specifically because I'd flagged "hero product over-reliance" as a risk in Phase 1, and wanted to check whether it actually held up numerically. It turns out the concentration is fairly moderate — nowhere close to the 40% mark I used as a rough danger threshold. USA and Australia are the highest at just over 18%. So the risk is real but smaller than I initially assumed, and I've adjusted my framing of it accordingly in the objectives below.</w:t>
      </w:r>
    </w:p>
    <w:p>
      <w:r>
        <w:br w:type="page"/>
      </w:r>
    </w:p>
    <w:p>
      <w:pPr>
        <w:pStyle w:val="Heading1"/>
        <w:spacing w:after="150" w:before="300"/>
      </w:pPr>
      <w:r>
        <w:t xml:space="preserve">Phase 3: Strategic Objectives</w:t>
      </w:r>
    </w:p>
    <w:p>
      <w:pPr>
        <w:spacing w:after="160"/>
      </w:pPr>
      <w:r>
        <w:t xml:space="preserve">Putting the market research and the data analysis together, here are the five objectives I think are worth pursuing. Each one is tied to something specific I found, not just a general best practice.</w:t>
      </w:r>
    </w:p>
    <w:p>
      <w:pPr>
        <w:pStyle w:val="Heading2"/>
        <w:spacing w:after="120" w:before="240"/>
      </w:pPr>
      <w:r>
        <w:t xml:space="preserve">1. Reduce reliance on single hero products in the strongest markets</w:t>
      </w:r>
    </w:p>
    <w:p>
      <w:pPr>
        <w:spacing w:after="160"/>
      </w:pPr>
      <w:r>
        <w:t xml:space="preserve">USA and Australia are the most concentrated around one product each (both around 18%). It's not a crisis, but there's room to spread that risk out. Target: grow secondary-product revenue share in these two markets by around 15% over the next two quarters through cross-selling and bundling.</w:t>
      </w:r>
    </w:p>
    <w:p>
      <w:pPr>
        <w:pStyle w:val="Heading2"/>
        <w:spacing w:after="120" w:before="240"/>
      </w:pPr>
      <w:r>
        <w:t xml:space="preserve">2. Treat India as a growth opportunity, not a laggard</w:t>
      </w:r>
    </w:p>
    <w:p>
      <w:pPr>
        <w:spacing w:after="160"/>
      </w:pPr>
      <w:r>
        <w:t xml:space="preserve">India's revenue sits at only about 55% of what the USA brings in, but it's also one of the markets where the beauty-wellness convergence trend is moving fastest globally. Target: introduce an ingestible or supplement-adjacent product line in India, backed by localized marketing, within the coming year.</w:t>
      </w:r>
    </w:p>
    <w:p>
      <w:pPr>
        <w:pStyle w:val="Heading2"/>
        <w:spacing w:after="120" w:before="240"/>
      </w:pPr>
      <w:r>
        <w:t xml:space="preserve">3. Smooth out the month-to-month revenue swings</w:t>
      </w:r>
    </w:p>
    <w:p>
      <w:pPr>
        <w:spacing w:after="160"/>
      </w:pPr>
      <w:r>
        <w:t xml:space="preserve">Going from a 40% drop to a 126% spike in back-to-back months isn't a stable pattern to build a business around. Target: pilot a subscription or replenishment model to bring month-to-month variance down by roughly 25%.</w:t>
      </w:r>
    </w:p>
    <w:p>
      <w:pPr>
        <w:pStyle w:val="Heading2"/>
        <w:spacing w:after="120" w:before="240"/>
      </w:pPr>
      <w:r>
        <w:t xml:space="preserve">4. Narrow the gap between top and bottom sales performers</w:t>
      </w:r>
    </w:p>
    <w:p>
      <w:pPr>
        <w:spacing w:after="160"/>
      </w:pPr>
      <w:r>
        <w:t xml:space="preserve">A 42% gap between the best and weakest performer, with both covering the same markets, points to something coachable rather than a territory problem. Target: raise the bottom performers' revenue by 20% within six months through structured mentoring.</w:t>
      </w:r>
    </w:p>
    <w:p>
      <w:pPr>
        <w:pStyle w:val="Heading2"/>
        <w:spacing w:after="120" w:before="240"/>
      </w:pPr>
      <w:r>
        <w:t xml:space="preserve">5. Sell on results, not price</w:t>
      </w:r>
    </w:p>
    <w:p>
      <w:pPr>
        <w:spacing w:after="160"/>
      </w:pPr>
      <w:r>
        <w:t xml:space="preserve">Given how weak the price-volume correlation is, competing on price doesn't seem to be working particularly well. Target: reposition the three weakest-performing products around efficacy and evidence, in line with where the broader market is already heading.</w:t>
      </w:r>
    </w:p>
    <w:p>
      <w:r>
        <w:br w:type="page"/>
      </w:r>
    </w:p>
    <w:p>
      <w:pPr>
        <w:pStyle w:val="Heading1"/>
        <w:spacing w:after="150" w:before="300"/>
      </w:pPr>
      <w:r>
        <w:t xml:space="preserve">Phase 4: Recommendations &amp; Action Plan</w:t>
      </w:r>
    </w:p>
    <w:p>
      <w:pPr>
        <w:spacing w:after="160"/>
      </w:pPr>
      <w:r>
        <w:t xml:space="preserve">Here's how I'd actually go about implementing each of the five objectives above.</w:t>
      </w:r>
    </w:p>
    <w:p>
      <w:pPr>
        <w:pStyle w:val="Heading2"/>
        <w:spacing w:after="120" w:before="240"/>
      </w:pPr>
      <w:r>
        <w:t xml:space="preserve">1. Cross-sell bundles in USA and Australia</w:t>
      </w:r>
    </w:p>
    <w:p>
      <w:pPr>
        <w:pStyle w:val="ListParagraph"/>
        <w:numPr>
          <w:ilvl w:val="0"/>
          <w:numId w:val="1"/>
        </w:numPr>
        <w:spacing w:after="80"/>
      </w:pPr>
      <w:r>
        <w:t xml:space="preserve">What to do: Put together 2-3 bundles that pair the hero product with something underperforming, so customers get introduced to it naturally.</w:t>
      </w:r>
    </w:p>
    <w:p>
      <w:pPr>
        <w:pStyle w:val="ListParagraph"/>
        <w:numPr>
          <w:ilvl w:val="0"/>
          <w:numId w:val="1"/>
        </w:numPr>
        <w:spacing w:after="80"/>
      </w:pPr>
      <w:r>
        <w:t xml:space="preserve">Who'd own it: Regional sales and marketing teams</w:t>
      </w:r>
    </w:p>
    <w:p>
      <w:pPr>
        <w:pStyle w:val="ListParagraph"/>
        <w:numPr>
          <w:ilvl w:val="0"/>
          <w:numId w:val="1"/>
        </w:numPr>
        <w:spacing w:after="80"/>
      </w:pPr>
      <w:r>
        <w:t xml:space="preserve">How to know it's working: Secondary-product share climbing from ~18% toward 30%+ over two quarters</w:t>
      </w:r>
    </w:p>
    <w:p>
      <w:pPr>
        <w:pStyle w:val="ListParagraph"/>
        <w:numPr>
          <w:ilvl w:val="0"/>
          <w:numId w:val="1"/>
        </w:numPr>
        <w:spacing w:after="80"/>
      </w:pPr>
      <w:r>
        <w:t xml:space="preserve">Worth watching for: Bundling could eat into the hero product's own margin, so total revenue needs to be tracked, not just the mix.</w:t>
      </w:r>
    </w:p>
    <w:p>
      <w:pPr>
        <w:pStyle w:val="Heading2"/>
        <w:spacing w:after="120" w:before="240"/>
      </w:pPr>
      <w:r>
        <w:t xml:space="preserve">2. Expand into India's convergence market</w:t>
      </w:r>
    </w:p>
    <w:p>
      <w:pPr>
        <w:pStyle w:val="ListParagraph"/>
        <w:numPr>
          <w:ilvl w:val="0"/>
          <w:numId w:val="1"/>
        </w:numPr>
        <w:spacing w:after="80"/>
      </w:pPr>
      <w:r>
        <w:t xml:space="preserve">What to do: Identify 2-3 ingestible or supplement SKUs that fit the trend, and pair the launch with marketing built specifically for the Indian market rather than a translated global campaign.</w:t>
      </w:r>
    </w:p>
    <w:p>
      <w:pPr>
        <w:pStyle w:val="ListParagraph"/>
        <w:numPr>
          <w:ilvl w:val="0"/>
          <w:numId w:val="1"/>
        </w:numPr>
        <w:spacing w:after="80"/>
      </w:pPr>
      <w:r>
        <w:t xml:space="preserve">Who'd own it: Product team plus India regional marketing</w:t>
      </w:r>
    </w:p>
    <w:p>
      <w:pPr>
        <w:pStyle w:val="ListParagraph"/>
        <w:numPr>
          <w:ilvl w:val="0"/>
          <w:numId w:val="1"/>
        </w:numPr>
        <w:spacing w:after="80"/>
      </w:pPr>
      <w:r>
        <w:t xml:space="preserve">How to know it's working: India's revenue moving from ~55% up toward 70%+ of the USA's within two quarters of launch</w:t>
      </w:r>
    </w:p>
    <w:p>
      <w:pPr>
        <w:pStyle w:val="ListParagraph"/>
        <w:numPr>
          <w:ilvl w:val="0"/>
          <w:numId w:val="1"/>
        </w:numPr>
        <w:spacing w:after="80"/>
      </w:pPr>
      <w:r>
        <w:t xml:space="preserve">Worth watching for: This is a new category for the business, so I'd suggest piloting small before committing fully.</w:t>
      </w:r>
    </w:p>
    <w:p>
      <w:pPr>
        <w:pStyle w:val="Heading2"/>
        <w:spacing w:after="120" w:before="240"/>
      </w:pPr>
      <w:r>
        <w:t xml:space="preserve">3. Pilot a subscription option</w:t>
      </w:r>
    </w:p>
    <w:p>
      <w:pPr>
        <w:pStyle w:val="ListParagraph"/>
        <w:numPr>
          <w:ilvl w:val="0"/>
          <w:numId w:val="1"/>
        </w:numPr>
        <w:spacing w:after="80"/>
      </w:pPr>
      <w:r>
        <w:t xml:space="preserve">What to do: Offer replenishment/subscription on the five highest-volume products first, rather than the whole catalog at once.</w:t>
      </w:r>
    </w:p>
    <w:p>
      <w:pPr>
        <w:pStyle w:val="ListParagraph"/>
        <w:numPr>
          <w:ilvl w:val="0"/>
          <w:numId w:val="1"/>
        </w:numPr>
        <w:spacing w:after="80"/>
      </w:pPr>
      <w:r>
        <w:t xml:space="preserve">Who'd own it: E-commerce/operations</w:t>
      </w:r>
    </w:p>
    <w:p>
      <w:pPr>
        <w:pStyle w:val="ListParagraph"/>
        <w:numPr>
          <w:ilvl w:val="0"/>
          <w:numId w:val="1"/>
        </w:numPr>
        <w:spacing w:after="80"/>
      </w:pPr>
      <w:r>
        <w:t xml:space="preserve">How to know it's working: A 25% reduction in month-to-month revenue swings</w:t>
      </w:r>
    </w:p>
    <w:p>
      <w:pPr>
        <w:pStyle w:val="ListParagraph"/>
        <w:numPr>
          <w:ilvl w:val="0"/>
          <w:numId w:val="1"/>
        </w:numPr>
        <w:spacing w:after="80"/>
      </w:pPr>
      <w:r>
        <w:t xml:space="preserve">Worth watching for: Adoption might be slow to start, so it's worth tracking sign-up rate early as a leading signal before judging the variance impact.</w:t>
      </w:r>
    </w:p>
    <w:p>
      <w:pPr>
        <w:pStyle w:val="Heading2"/>
        <w:spacing w:after="120" w:before="240"/>
      </w:pPr>
      <w:r>
        <w:t xml:space="preserve">4. Pair up top and bottom sales performers</w:t>
      </w:r>
    </w:p>
    <w:p>
      <w:pPr>
        <w:pStyle w:val="ListParagraph"/>
        <w:numPr>
          <w:ilvl w:val="0"/>
          <w:numId w:val="1"/>
        </w:numPr>
        <w:spacing w:after="80"/>
      </w:pPr>
      <w:r>
        <w:t xml:space="preserve">What to do: Set up an 8-12 week shadowing/mentoring arrangement between the top 3 and bottom 3 performers.</w:t>
      </w:r>
    </w:p>
    <w:p>
      <w:pPr>
        <w:pStyle w:val="ListParagraph"/>
        <w:numPr>
          <w:ilvl w:val="0"/>
          <w:numId w:val="1"/>
        </w:numPr>
        <w:spacing w:after="80"/>
      </w:pPr>
      <w:r>
        <w:t xml:space="preserve">Who'd own it: Sales manager or HR</w:t>
      </w:r>
    </w:p>
    <w:p>
      <w:pPr>
        <w:pStyle w:val="ListParagraph"/>
        <w:numPr>
          <w:ilvl w:val="0"/>
          <w:numId w:val="1"/>
        </w:numPr>
        <w:spacing w:after="80"/>
      </w:pPr>
      <w:r>
        <w:t xml:space="preserve">How to know it's working: Bottom performers' revenue up 20% within six months, and the 42% gap narrowing</w:t>
      </w:r>
    </w:p>
    <w:p>
      <w:pPr>
        <w:pStyle w:val="ListParagraph"/>
        <w:numPr>
          <w:ilvl w:val="0"/>
          <w:numId w:val="1"/>
        </w:numPr>
        <w:spacing w:after="80"/>
      </w:pPr>
      <w:r>
        <w:t xml:space="preserve">Worth watching for: This is low-cost and low-risk, so it's probably the easiest one to start on right away.</w:t>
      </w:r>
    </w:p>
    <w:p>
      <w:pPr>
        <w:pStyle w:val="Heading2"/>
        <w:spacing w:after="120" w:before="240"/>
      </w:pPr>
      <w:r>
        <w:t xml:space="preserve">5. Rebuild the messaging around efficacy</w:t>
      </w:r>
    </w:p>
    <w:p>
      <w:pPr>
        <w:pStyle w:val="ListParagraph"/>
        <w:numPr>
          <w:ilvl w:val="0"/>
          <w:numId w:val="1"/>
        </w:numPr>
        <w:spacing w:after="80"/>
      </w:pPr>
      <w:r>
        <w:t xml:space="preserve">What to do: Rewrite the marketing copy for the three products with the weakest price-to-volume alignment, leaning into clinical backing rather than price positioning.</w:t>
      </w:r>
    </w:p>
    <w:p>
      <w:pPr>
        <w:pStyle w:val="ListParagraph"/>
        <w:numPr>
          <w:ilvl w:val="0"/>
          <w:numId w:val="1"/>
        </w:numPr>
        <w:spacing w:after="80"/>
      </w:pPr>
      <w:r>
        <w:t xml:space="preserve">Who'd own it: Marketing/brand team</w:t>
      </w:r>
    </w:p>
    <w:p>
      <w:pPr>
        <w:pStyle w:val="ListParagraph"/>
        <w:numPr>
          <w:ilvl w:val="0"/>
          <w:numId w:val="1"/>
        </w:numPr>
        <w:spacing w:after="80"/>
      </w:pPr>
      <w:r>
        <w:t xml:space="preserve">How to know it's working: Quarter-over-quarter volume growth on the repositioned products</w:t>
      </w:r>
    </w:p>
    <w:p>
      <w:pPr>
        <w:pStyle w:val="ListParagraph"/>
        <w:numPr>
          <w:ilvl w:val="0"/>
          <w:numId w:val="1"/>
        </w:numPr>
        <w:spacing w:after="80"/>
      </w:pPr>
      <w:r>
        <w:t xml:space="preserve">Worth watching for: Any efficacy claim needs to actually be substantiated before it goes out — this only works if the backing is real.</w:t>
      </w:r>
    </w:p>
    <w:p>
      <w:pPr>
        <w:pStyle w:val="Heading2"/>
        <w:spacing w:after="120" w:before="240"/>
      </w:pPr>
      <w:r>
        <w:t xml:space="preserve">Rough timeline</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4600"/>
      </w:tblGrid>
      <w:tr>
        <w:tc>
          <w:tcPr>
            <w:tcW w:type="dxa" w:w="1800"/>
            <w:shd w:fill="2E5B4F" w:val="clear"/>
          </w:tcPr>
          <w:p>
            <w:r>
              <w:rPr>
                <w:b/>
                <w:bCs/>
                <w:color w:val="FFFFFF"/>
                <w:sz w:val="20"/>
                <w:szCs w:val="20"/>
              </w:rPr>
              <w:t xml:space="preserve">Phase</w:t>
            </w:r>
          </w:p>
        </w:tc>
        <w:tc>
          <w:tcPr>
            <w:tcW w:type="dxa" w:w="2200"/>
            <w:shd w:fill="2E5B4F" w:val="clear"/>
          </w:tcPr>
          <w:p>
            <w:r>
              <w:rPr>
                <w:b/>
                <w:bCs/>
                <w:color w:val="FFFFFF"/>
                <w:sz w:val="20"/>
                <w:szCs w:val="20"/>
              </w:rPr>
              <w:t xml:space="preserve">Timeframe</w:t>
            </w:r>
          </w:p>
        </w:tc>
        <w:tc>
          <w:tcPr>
            <w:tcW w:type="dxa" w:w="4600"/>
            <w:shd w:fill="2E5B4F" w:val="clear"/>
          </w:tcPr>
          <w:p>
            <w:r>
              <w:rPr>
                <w:b/>
                <w:bCs/>
                <w:color w:val="FFFFFF"/>
                <w:sz w:val="20"/>
                <w:szCs w:val="20"/>
              </w:rPr>
              <w:t xml:space="preserve">What's happening</w:t>
            </w:r>
          </w:p>
        </w:tc>
      </w:tr>
      <w:tr>
        <w:tc>
          <w:tcPr>
            <w:tcW w:type="dxa" w:w="1800"/>
          </w:tcPr>
          <w:p>
            <w:r>
              <w:rPr>
                <w:sz w:val="20"/>
                <w:szCs w:val="20"/>
              </w:rPr>
              <w:t xml:space="preserve">Phase 1</w:t>
            </w:r>
          </w:p>
        </w:tc>
        <w:tc>
          <w:tcPr>
            <w:tcW w:type="dxa" w:w="2200"/>
          </w:tcPr>
          <w:p>
            <w:r>
              <w:rPr>
                <w:sz w:val="20"/>
                <w:szCs w:val="20"/>
              </w:rPr>
              <w:t xml:space="preserve">Month 1-2</w:t>
            </w:r>
          </w:p>
        </w:tc>
        <w:tc>
          <w:tcPr>
            <w:tcW w:type="dxa" w:w="4600"/>
          </w:tcPr>
          <w:p>
            <w:r>
              <w:rPr>
                <w:sz w:val="20"/>
                <w:szCs w:val="20"/>
              </w:rPr>
              <w:t xml:space="preserve">Bundles go live; mentoring pairs start; India product research begins</w:t>
            </w:r>
          </w:p>
        </w:tc>
      </w:tr>
      <w:tr>
        <w:tc>
          <w:tcPr>
            <w:tcW w:type="dxa" w:w="1800"/>
          </w:tcPr>
          <w:p>
            <w:r>
              <w:rPr>
                <w:sz w:val="20"/>
                <w:szCs w:val="20"/>
              </w:rPr>
              <w:t xml:space="preserve">Phase 2</w:t>
            </w:r>
          </w:p>
        </w:tc>
        <w:tc>
          <w:tcPr>
            <w:tcW w:type="dxa" w:w="2200"/>
          </w:tcPr>
          <w:p>
            <w:r>
              <w:rPr>
                <w:sz w:val="20"/>
                <w:szCs w:val="20"/>
              </w:rPr>
              <w:t xml:space="preserve">Month 3-5</w:t>
            </w:r>
          </w:p>
        </w:tc>
        <w:tc>
          <w:tcPr>
            <w:tcW w:type="dxa" w:w="4600"/>
          </w:tcPr>
          <w:p>
            <w:r>
              <w:rPr>
                <w:sz w:val="20"/>
                <w:szCs w:val="20"/>
              </w:rPr>
              <w:t xml:space="preserve">Efficacy-based messaging rolls out; subscription pilot launches; India line soft-launches</w:t>
            </w:r>
          </w:p>
        </w:tc>
      </w:tr>
      <w:tr>
        <w:tc>
          <w:tcPr>
            <w:tcW w:type="dxa" w:w="1800"/>
          </w:tcPr>
          <w:p>
            <w:r>
              <w:rPr>
                <w:sz w:val="20"/>
                <w:szCs w:val="20"/>
              </w:rPr>
              <w:t xml:space="preserve">Phase 3</w:t>
            </w:r>
          </w:p>
        </w:tc>
        <w:tc>
          <w:tcPr>
            <w:tcW w:type="dxa" w:w="2200"/>
          </w:tcPr>
          <w:p>
            <w:r>
              <w:rPr>
                <w:sz w:val="20"/>
                <w:szCs w:val="20"/>
              </w:rPr>
              <w:t xml:space="preserve">Month 6+</w:t>
            </w:r>
          </w:p>
        </w:tc>
        <w:tc>
          <w:tcPr>
            <w:tcW w:type="dxa" w:w="4600"/>
          </w:tcPr>
          <w:p>
            <w:r>
              <w:rPr>
                <w:sz w:val="20"/>
                <w:szCs w:val="20"/>
              </w:rPr>
              <w:t xml:space="preserve">Check the numbers against targets, and scale whatever's actually working</w:t>
            </w:r>
          </w:p>
        </w:tc>
      </w:tr>
    </w:tbl>
    <w:p>
      <w:r>
        <w:br w:type="page"/>
      </w:r>
    </w:p>
    <w:p>
      <w:pPr>
        <w:pStyle w:val="Heading1"/>
        <w:spacing w:after="150" w:before="300"/>
      </w:pPr>
      <w:r>
        <w:t xml:space="preserve">Conclusion</w:t>
      </w:r>
    </w:p>
    <w:p>
      <w:pPr>
        <w:spacing w:after="160"/>
      </w:pPr>
      <w:r>
        <w:t xml:space="preserve">This report walks through the full process — starting from external market trends, moving into a deeper look at the sales data, using both to shape five strategic objectives, and translating those into recommendations with owners, targets, and known risks attached. Taken together, the five recommendations address the areas that stood out most clearly through this process: uneven reliance on single products in the strongest markets, an underused opportunity in India, unpredictable month-to-month revenue, a gap in sales performance that looks coachable rather than structural, and a pricing strategy that isn't actually working as well as it might seem. I think this gives a reasonably grounded starting point for where the business could focus next.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2026-09-19T15:49:01.886Z</dcterms:created>
  <dcterms:modified xsi:type="dcterms:W3CDTF">2026-09-19T15:49:01.894Z</dcterms:modified>
</cp:coreProperties>
</file>

<file path=docProps/custom.xml><?xml version="1.0" encoding="utf-8"?>
<Properties xmlns="http://schemas.openxmlformats.org/officeDocument/2006/custom-properties" xmlns:vt="http://schemas.openxmlformats.org/officeDocument/2006/docPropsVTypes"/>
</file>