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7D34D" w14:textId="77777777" w:rsidR="00C7687E" w:rsidRPr="00C7687E" w:rsidRDefault="00C7687E" w:rsidP="00C7687E">
      <w:pPr>
        <w:rPr>
          <w:vanish/>
        </w:rPr>
      </w:pPr>
      <w:r w:rsidRPr="00C7687E">
        <w:rPr>
          <w:vanish/>
        </w:rPr>
        <w:t>Top of Form</w:t>
      </w:r>
    </w:p>
    <w:p w14:paraId="73622675" w14:textId="77777777" w:rsidR="00C7687E" w:rsidRPr="00C7687E" w:rsidRDefault="00C7687E" w:rsidP="00C7687E">
      <w:r w:rsidRPr="00C7687E">
        <w:t>How do professional poker players evaluate their opponent's range on the river, especially when facing a big bet?</w:t>
      </w:r>
    </w:p>
    <w:p w14:paraId="176A4F84" w14:textId="77777777" w:rsidR="00C7687E" w:rsidRPr="00C7687E" w:rsidRDefault="00C7687E" w:rsidP="00C7687E">
      <w:r w:rsidRPr="00C7687E">
        <w:t>Professional poker players analyze their opponent's actions throughout the hand, from pre-flop calls to turn bets, to build a comprehensive range. When an opponent leads with a big bet on the river, the key is to determine if they have any bluffs in their range or if they are exclusively betting for value. Players consider what hands their opponent might turn into a bluff (e.g., Ace Jack with the Ace of Hearts, King Jack with the King of Hearts) and at what frequency. They also account for hands that might call smaller bets but fold to larger ones, or weaker value hands that might lead out. If an opponent is "under-bluffing" (not bluffing enough), then any bluff catcher (like a middle pair) becomes more profitable as a fold than as a call. The goal is always to make the highest Expected Value (EV) play, regardless of what others might think.</w:t>
      </w:r>
    </w:p>
    <w:p w14:paraId="64793BEA" w14:textId="77777777" w:rsidR="00C7687E" w:rsidRPr="00C7687E" w:rsidRDefault="00C7687E" w:rsidP="00C7687E">
      <w:r w:rsidRPr="00C7687E">
        <w:t>Why might a player choose a very large bet size on the turn, even if a solver would suggest a smaller one?</w:t>
      </w:r>
    </w:p>
    <w:p w14:paraId="19FC6C5B" w14:textId="77777777" w:rsidR="00C7687E" w:rsidRPr="00C7687E" w:rsidRDefault="00C7687E" w:rsidP="00C7687E">
      <w:r w:rsidRPr="00C7687E">
        <w:t>A player might opt for a very large bet size on the turn, particularly an overbet, to exploit an opponent's tendency to fold a wide range of hands to aggression. While a poker solver might suggest a medium or small bet based on equilibrium play, live opponents often deviate significantly from this. A large bet can achieve a higher Expected Value (EV) if it causes the opponent to fold hands they would otherwise continue with against a smaller bet, such as weaker pairs (8x), gut shots, or even some top pairs (9x). Solvers are tools that tell you what hands to put into different bet sizing "buckets" based on specific inputs; they don't generate sizes automatically. The crucial difference in live play is that opponents rarely play an equilibrium strategy, making exploitative large bets highly effective against specific player tendencies.</w:t>
      </w:r>
    </w:p>
    <w:p w14:paraId="03D5AB90" w14:textId="77777777" w:rsidR="00C7687E" w:rsidRPr="00C7687E" w:rsidRDefault="00C7687E" w:rsidP="00C7687E">
      <w:r w:rsidRPr="00C7687E">
        <w:t>When is it strategically beneficial to use an oversized bluff, even if it seems "inefficient"?</w:t>
      </w:r>
    </w:p>
    <w:p w14:paraId="3723783F" w14:textId="77777777" w:rsidR="00C7687E" w:rsidRPr="00C7687E" w:rsidRDefault="00C7687E" w:rsidP="00C7687E">
      <w:r w:rsidRPr="00C7687E">
        <w:t>Using an oversized bluff is strategically beneficial when you believe your opponent's range on the river is weak and unable to withstand significant pressure, or when they don't hold many strong trapping hands. The concept of "efficiency" in bluffing is less about a precise mathematical ratio and more about maximizing the opponent's fold frequency. If an opponent has very few strong hands (like flushes or straights) that will always call, then betting a larger size (e.g., 2x pot) can induce folds from a broader portion of their range, including medium-strength hands (like top pair Ace-Ten or Ace-King). The risk of going "slightly too big" with a bluff is often outweighed by the benefit of ensuring a fold, as going "slightly too small" can lead to a call and a complete loss of the bluff.</w:t>
      </w:r>
    </w:p>
    <w:p w14:paraId="66C8E6EB" w14:textId="77777777" w:rsidR="00C7687E" w:rsidRPr="00C7687E" w:rsidRDefault="00C7687E" w:rsidP="00C7687E">
      <w:r w:rsidRPr="00C7687E">
        <w:lastRenderedPageBreak/>
        <w:t>How does the context of a hand influence the interpretation of an opponent's "donk" bet (leading out) on the turn?</w:t>
      </w:r>
    </w:p>
    <w:p w14:paraId="444FC400" w14:textId="77777777" w:rsidR="00C7687E" w:rsidRPr="00C7687E" w:rsidRDefault="00C7687E" w:rsidP="00C7687E">
      <w:r w:rsidRPr="00C7687E">
        <w:t>The context of a hand drastically changes the interpretation of an opponent's "donk" bet on the turn. A donk bet in a three-bet pot on an Ace-high board, especially after the pre-flop raiser has shown aggressive action (like a continuation bet), is likely to signify significant strength. Opponents in such scenarios often perceive the pre-flop raiser to hold strong hands (like Ace-King), and their lead suggests they have hit the board hard and are looking to build a pot with a strong value hand. Conversely, a donk bet in a small, single-raised pot in a wide-versus-wide configuration (e.g., button vs. big blind) for a small amount (e.g., half-pot) often indicates weakness, as the betting player is trying to avoid being bluffed or attempting to extract thin value with a medium-strength hand.</w:t>
      </w:r>
    </w:p>
    <w:p w14:paraId="431F0CCA" w14:textId="77777777" w:rsidR="00C7687E" w:rsidRPr="00C7687E" w:rsidRDefault="00C7687E" w:rsidP="00C7687E">
      <w:r w:rsidRPr="00C7687E">
        <w:t>How should a player adjust their strategy against opponents who are prone to calling bluffs with weak hands?</w:t>
      </w:r>
    </w:p>
    <w:p w14:paraId="193A8497" w14:textId="77777777" w:rsidR="00C7687E" w:rsidRPr="00C7687E" w:rsidRDefault="00C7687E" w:rsidP="00C7687E">
      <w:r w:rsidRPr="00C7687E">
        <w:t>When playing against opponents who are prone to calling bluffs with weak hands (often referred to as "sticky" players), the optimal strategy shifts from bluffing to thin value betting. If a player is known to call down with hands like pocket sevens even against large river jams, then bluffing with air becomes unprofitable. Instead, the poker player should exploit this tendency by betting very thinly for value with hands that are slightly better than the opponent's calling range (e.g., pocket eights, ten-nine suited, pocket tens). Conversely, against players who are more likely to fold their weak holdings, one can bluff "with impunity." The key is to maintain logical consistency in your strategy: if they call with weak hands, you value bet thinly; if they fold weak hands, you bluff.</w:t>
      </w:r>
    </w:p>
    <w:p w14:paraId="74FD5B36" w14:textId="77777777" w:rsidR="00C7687E" w:rsidRPr="00C7687E" w:rsidRDefault="00C7687E" w:rsidP="00C7687E">
      <w:r w:rsidRPr="00C7687E">
        <w:t>Why is an "unbalanced" overbetting strategy often effective against recreational players, and how is it truly "balanced"?</w:t>
      </w:r>
    </w:p>
    <w:p w14:paraId="36A115F6" w14:textId="77777777" w:rsidR="00C7687E" w:rsidRPr="00C7687E" w:rsidRDefault="00C7687E" w:rsidP="00C7687E">
      <w:r w:rsidRPr="00C7687E">
        <w:t xml:space="preserve">An "unbalanced" overbetting strategy is effective against recreational players because they are typically not thinking about game theory optimal (GTO) play or opponent balance. They react primarily to hand strength and bet sizing. The "balance" in this strategy isn't about being balanced </w:t>
      </w:r>
      <w:r w:rsidRPr="00C7687E">
        <w:rPr>
          <w:i/>
          <w:iCs/>
        </w:rPr>
        <w:t>against</w:t>
      </w:r>
      <w:r w:rsidRPr="00C7687E">
        <w:t xml:space="preserve"> the opponent, but rather about exploiting </w:t>
      </w:r>
      <w:r w:rsidRPr="00C7687E">
        <w:rPr>
          <w:i/>
          <w:iCs/>
        </w:rPr>
        <w:t>their</w:t>
      </w:r>
      <w:r w:rsidRPr="00C7687E">
        <w:t xml:space="preserve"> imbalance. When an opponent's range is weak and cannot withstand significant pressure, a large overbet can be used effectively as a bluff to induce folds across a wide spectrum of their holdings. Conversely, when an opponent's range is strong and unlikely to fold, a large overbet can be used for maximum value, as they will call with many strong hands. The sizing decision is dynamic and depends entirely on the perceived strength and tendencies of the opponent's range, allowing for both large bluffs and large value bets as the situation dictates.</w:t>
      </w:r>
    </w:p>
    <w:p w14:paraId="5CD45535" w14:textId="77777777" w:rsidR="00C7687E" w:rsidRPr="00C7687E" w:rsidRDefault="00C7687E" w:rsidP="00C7687E">
      <w:r w:rsidRPr="00C7687E">
        <w:lastRenderedPageBreak/>
        <w:t>How reliable are "tells" or physical reads in live poker, and what is necessary to make them useful?</w:t>
      </w:r>
    </w:p>
    <w:p w14:paraId="58D5C019" w14:textId="77777777" w:rsidR="00C7687E" w:rsidRPr="00C7687E" w:rsidRDefault="00C7687E" w:rsidP="00C7687E">
      <w:r w:rsidRPr="00C7687E">
        <w:t xml:space="preserve">"Tells" or physical reads in live poker are often unreliable unless you have a "baseline" to compare them against. Simply observing a player talking or exhibiting a certain mannerism when they are bluffing isn't enough. To make a tell useful, you need to observe what the player does when they are </w:t>
      </w:r>
      <w:r w:rsidRPr="00C7687E">
        <w:rPr>
          <w:i/>
          <w:iCs/>
        </w:rPr>
        <w:t>also</w:t>
      </w:r>
      <w:r w:rsidRPr="00C7687E">
        <w:t xml:space="preserve"> value betting. For instance, if a player talks when bluffing but also talks when value betting, or sometimes lies and sometimes tells the truth about their hand, then that specific behavior provides no meaningful information. Without a consistent pattern that differentiates bluffing from value betting, attempting to deduce an opponent's exact hand or bluffing percentage based on a tell is mere guesswork.</w:t>
      </w:r>
    </w:p>
    <w:p w14:paraId="1B3763DD" w14:textId="77777777" w:rsidR="00C7687E" w:rsidRPr="00C7687E" w:rsidRDefault="00C7687E" w:rsidP="00C7687E">
      <w:r w:rsidRPr="00C7687E">
        <w:t>Why is maximizing win rate more important than minimizing variance in poker, especially over the long run?</w:t>
      </w:r>
    </w:p>
    <w:p w14:paraId="36FED487" w14:textId="77777777" w:rsidR="00C7687E" w:rsidRPr="00C7687E" w:rsidRDefault="00C7687E" w:rsidP="00C7687E">
      <w:r w:rsidRPr="00C7687E">
        <w:t>Maximizing your win rate is more important than minimizing variance in poker because a higher win rate inherently leads to less losing or break-even periods over significant sample sizes. While a high-variance style might seem riskier in the short term, a player consistently making the highest Expected Value (EV) play in every spot, even if it's only by a few cents, will accumulate profits more rapidly. This aggressive, high-win-rate approach ultimately results in fewer hours or hands played where the player is actually losing or breaking even. In contrast, a player with a lower win rate, even with lower variance, will experience longer stretches of losing or stagnant results. Therefore, focusing on the highest win rate possible allows variance to "sort itself out," becoming less of a concern over the long term.</w:t>
      </w:r>
    </w:p>
    <w:p w14:paraId="692BFE35" w14:textId="77777777" w:rsidR="00C7687E" w:rsidRPr="00C7687E" w:rsidRDefault="00C7687E" w:rsidP="00C7687E">
      <w:pPr>
        <w:rPr>
          <w:vanish/>
        </w:rPr>
      </w:pPr>
      <w:r w:rsidRPr="00C7687E">
        <w:rPr>
          <w:vanish/>
        </w:rPr>
        <w:t>Bottom of Form</w:t>
      </w:r>
    </w:p>
    <w:p w14:paraId="204CF611" w14:textId="77777777" w:rsidR="00C7687E" w:rsidRDefault="00C7687E"/>
    <w:sectPr w:rsidR="00C768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87E"/>
    <w:rsid w:val="007B650E"/>
    <w:rsid w:val="00C768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4A63"/>
  <w15:chartTrackingRefBased/>
  <w15:docId w15:val="{2876587E-AC49-43F0-8262-013C316F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8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8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8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8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8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8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8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8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8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8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87E"/>
    <w:rPr>
      <w:rFonts w:eastAsiaTheme="majorEastAsia" w:cstheme="majorBidi"/>
      <w:color w:val="272727" w:themeColor="text1" w:themeTint="D8"/>
    </w:rPr>
  </w:style>
  <w:style w:type="paragraph" w:styleId="Title">
    <w:name w:val="Title"/>
    <w:basedOn w:val="Normal"/>
    <w:next w:val="Normal"/>
    <w:link w:val="TitleChar"/>
    <w:uiPriority w:val="10"/>
    <w:qFormat/>
    <w:rsid w:val="00C76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8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87E"/>
    <w:pPr>
      <w:spacing w:before="160"/>
      <w:jc w:val="center"/>
    </w:pPr>
    <w:rPr>
      <w:i/>
      <w:iCs/>
      <w:color w:val="404040" w:themeColor="text1" w:themeTint="BF"/>
    </w:rPr>
  </w:style>
  <w:style w:type="character" w:customStyle="1" w:styleId="QuoteChar">
    <w:name w:val="Quote Char"/>
    <w:basedOn w:val="DefaultParagraphFont"/>
    <w:link w:val="Quote"/>
    <w:uiPriority w:val="29"/>
    <w:rsid w:val="00C7687E"/>
    <w:rPr>
      <w:i/>
      <w:iCs/>
      <w:color w:val="404040" w:themeColor="text1" w:themeTint="BF"/>
    </w:rPr>
  </w:style>
  <w:style w:type="paragraph" w:styleId="ListParagraph">
    <w:name w:val="List Paragraph"/>
    <w:basedOn w:val="Normal"/>
    <w:uiPriority w:val="34"/>
    <w:qFormat/>
    <w:rsid w:val="00C7687E"/>
    <w:pPr>
      <w:ind w:left="720"/>
      <w:contextualSpacing/>
    </w:pPr>
  </w:style>
  <w:style w:type="character" w:styleId="IntenseEmphasis">
    <w:name w:val="Intense Emphasis"/>
    <w:basedOn w:val="DefaultParagraphFont"/>
    <w:uiPriority w:val="21"/>
    <w:qFormat/>
    <w:rsid w:val="00C7687E"/>
    <w:rPr>
      <w:i/>
      <w:iCs/>
      <w:color w:val="0F4761" w:themeColor="accent1" w:themeShade="BF"/>
    </w:rPr>
  </w:style>
  <w:style w:type="paragraph" w:styleId="IntenseQuote">
    <w:name w:val="Intense Quote"/>
    <w:basedOn w:val="Normal"/>
    <w:next w:val="Normal"/>
    <w:link w:val="IntenseQuoteChar"/>
    <w:uiPriority w:val="30"/>
    <w:qFormat/>
    <w:rsid w:val="00C76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87E"/>
    <w:rPr>
      <w:i/>
      <w:iCs/>
      <w:color w:val="0F4761" w:themeColor="accent1" w:themeShade="BF"/>
    </w:rPr>
  </w:style>
  <w:style w:type="character" w:styleId="IntenseReference">
    <w:name w:val="Intense Reference"/>
    <w:basedOn w:val="DefaultParagraphFont"/>
    <w:uiPriority w:val="32"/>
    <w:qFormat/>
    <w:rsid w:val="00C768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5984865">
      <w:bodyDiv w:val="1"/>
      <w:marLeft w:val="0"/>
      <w:marRight w:val="0"/>
      <w:marTop w:val="0"/>
      <w:marBottom w:val="0"/>
      <w:divBdr>
        <w:top w:val="none" w:sz="0" w:space="0" w:color="auto"/>
        <w:left w:val="none" w:sz="0" w:space="0" w:color="auto"/>
        <w:bottom w:val="none" w:sz="0" w:space="0" w:color="auto"/>
        <w:right w:val="none" w:sz="0" w:space="0" w:color="auto"/>
      </w:divBdr>
      <w:divsChild>
        <w:div w:id="274216285">
          <w:marLeft w:val="0"/>
          <w:marRight w:val="0"/>
          <w:marTop w:val="0"/>
          <w:marBottom w:val="0"/>
          <w:divBdr>
            <w:top w:val="none" w:sz="0" w:space="0" w:color="auto"/>
            <w:left w:val="none" w:sz="0" w:space="0" w:color="auto"/>
            <w:bottom w:val="none" w:sz="0" w:space="0" w:color="auto"/>
            <w:right w:val="none" w:sz="0" w:space="0" w:color="auto"/>
          </w:divBdr>
          <w:divsChild>
            <w:div w:id="324364392">
              <w:marLeft w:val="0"/>
              <w:marRight w:val="0"/>
              <w:marTop w:val="0"/>
              <w:marBottom w:val="0"/>
              <w:divBdr>
                <w:top w:val="none" w:sz="0" w:space="0" w:color="auto"/>
                <w:left w:val="none" w:sz="0" w:space="0" w:color="auto"/>
                <w:bottom w:val="none" w:sz="0" w:space="0" w:color="auto"/>
                <w:right w:val="none" w:sz="0" w:space="0" w:color="auto"/>
              </w:divBdr>
              <w:divsChild>
                <w:div w:id="1325280143">
                  <w:marLeft w:val="0"/>
                  <w:marRight w:val="0"/>
                  <w:marTop w:val="0"/>
                  <w:marBottom w:val="0"/>
                  <w:divBdr>
                    <w:top w:val="single" w:sz="4" w:space="0" w:color="DDE1EB"/>
                    <w:left w:val="none" w:sz="0" w:space="0" w:color="auto"/>
                    <w:bottom w:val="none" w:sz="0" w:space="0" w:color="auto"/>
                    <w:right w:val="none" w:sz="0" w:space="0" w:color="auto"/>
                  </w:divBdr>
                  <w:divsChild>
                    <w:div w:id="1068262989">
                      <w:marLeft w:val="0"/>
                      <w:marRight w:val="0"/>
                      <w:marTop w:val="0"/>
                      <w:marBottom w:val="0"/>
                      <w:divBdr>
                        <w:top w:val="single" w:sz="4" w:space="0" w:color="DDE1EB"/>
                        <w:left w:val="single" w:sz="6" w:space="0" w:color="CCCCCC"/>
                        <w:bottom w:val="single" w:sz="6" w:space="0" w:color="CCCCCC"/>
                        <w:right w:val="single" w:sz="6" w:space="0" w:color="CCCCCC"/>
                      </w:divBdr>
                      <w:divsChild>
                        <w:div w:id="6473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723196">
      <w:bodyDiv w:val="1"/>
      <w:marLeft w:val="0"/>
      <w:marRight w:val="0"/>
      <w:marTop w:val="0"/>
      <w:marBottom w:val="0"/>
      <w:divBdr>
        <w:top w:val="none" w:sz="0" w:space="0" w:color="auto"/>
        <w:left w:val="none" w:sz="0" w:space="0" w:color="auto"/>
        <w:bottom w:val="none" w:sz="0" w:space="0" w:color="auto"/>
        <w:right w:val="none" w:sz="0" w:space="0" w:color="auto"/>
      </w:divBdr>
      <w:divsChild>
        <w:div w:id="1554466250">
          <w:marLeft w:val="0"/>
          <w:marRight w:val="0"/>
          <w:marTop w:val="0"/>
          <w:marBottom w:val="0"/>
          <w:divBdr>
            <w:top w:val="none" w:sz="0" w:space="0" w:color="auto"/>
            <w:left w:val="none" w:sz="0" w:space="0" w:color="auto"/>
            <w:bottom w:val="none" w:sz="0" w:space="0" w:color="auto"/>
            <w:right w:val="none" w:sz="0" w:space="0" w:color="auto"/>
          </w:divBdr>
          <w:divsChild>
            <w:div w:id="312757579">
              <w:marLeft w:val="0"/>
              <w:marRight w:val="0"/>
              <w:marTop w:val="0"/>
              <w:marBottom w:val="0"/>
              <w:divBdr>
                <w:top w:val="none" w:sz="0" w:space="0" w:color="auto"/>
                <w:left w:val="none" w:sz="0" w:space="0" w:color="auto"/>
                <w:bottom w:val="none" w:sz="0" w:space="0" w:color="auto"/>
                <w:right w:val="none" w:sz="0" w:space="0" w:color="auto"/>
              </w:divBdr>
              <w:divsChild>
                <w:div w:id="163015171">
                  <w:marLeft w:val="0"/>
                  <w:marRight w:val="0"/>
                  <w:marTop w:val="0"/>
                  <w:marBottom w:val="0"/>
                  <w:divBdr>
                    <w:top w:val="single" w:sz="4" w:space="0" w:color="DDE1EB"/>
                    <w:left w:val="none" w:sz="0" w:space="0" w:color="auto"/>
                    <w:bottom w:val="none" w:sz="0" w:space="0" w:color="auto"/>
                    <w:right w:val="none" w:sz="0" w:space="0" w:color="auto"/>
                  </w:divBdr>
                  <w:divsChild>
                    <w:div w:id="1131752418">
                      <w:marLeft w:val="0"/>
                      <w:marRight w:val="0"/>
                      <w:marTop w:val="0"/>
                      <w:marBottom w:val="0"/>
                      <w:divBdr>
                        <w:top w:val="single" w:sz="4" w:space="0" w:color="DDE1EB"/>
                        <w:left w:val="single" w:sz="6" w:space="0" w:color="CCCCCC"/>
                        <w:bottom w:val="single" w:sz="6" w:space="0" w:color="CCCCCC"/>
                        <w:right w:val="single" w:sz="6" w:space="0" w:color="CCCCCC"/>
                      </w:divBdr>
                      <w:divsChild>
                        <w:div w:id="19393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1107</Words>
  <Characters>6313</Characters>
  <Application>Microsoft Office Word</Application>
  <DocSecurity>0</DocSecurity>
  <Lines>52</Lines>
  <Paragraphs>14</Paragraphs>
  <ScaleCrop>false</ScaleCrop>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2025-07-18T15:43:00Z</dcterms:created>
  <dcterms:modified xsi:type="dcterms:W3CDTF">2025-07-18T15:43:00Z</dcterms:modified>
</cp:coreProperties>
</file>