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91253" w14:textId="77777777" w:rsidR="00AF7049" w:rsidRPr="00AF7049" w:rsidRDefault="00AF7049" w:rsidP="00AF7049">
      <w:pPr>
        <w:spacing w:line="240" w:lineRule="auto"/>
        <w:jc w:val="center"/>
        <w:rPr>
          <w:rFonts w:ascii="Times New Roman" w:hAnsi="Times New Roman" w:cs="Times New Roman"/>
          <w:sz w:val="32"/>
          <w:szCs w:val="32"/>
        </w:rPr>
      </w:pPr>
      <w:r w:rsidRPr="00AF7049">
        <w:rPr>
          <w:rFonts w:ascii="Times New Roman" w:hAnsi="Times New Roman" w:cs="Times New Roman"/>
          <w:sz w:val="32"/>
          <w:szCs w:val="32"/>
        </w:rPr>
        <w:t>STAT 3530 – Final Term Project Report</w:t>
      </w:r>
      <w:r w:rsidRPr="00AF7049">
        <w:rPr>
          <w:rFonts w:ascii="Times New Roman" w:hAnsi="Times New Roman" w:cs="Times New Roman"/>
          <w:sz w:val="32"/>
          <w:szCs w:val="32"/>
        </w:rPr>
        <w:br/>
        <w:t>Physical Activity and Obesity Among Canadian Adults: Evidence from the 2022 Canadian Community Health Survey</w:t>
      </w:r>
    </w:p>
    <w:p w14:paraId="05A0D352" w14:textId="026C5D50" w:rsidR="00AF7049" w:rsidRPr="00AF7049" w:rsidRDefault="00AF7049" w:rsidP="00AF7049">
      <w:pPr>
        <w:spacing w:line="240" w:lineRule="auto"/>
        <w:jc w:val="center"/>
        <w:rPr>
          <w:rFonts w:ascii="Times New Roman" w:hAnsi="Times New Roman" w:cs="Times New Roman"/>
          <w:sz w:val="24"/>
          <w:szCs w:val="24"/>
        </w:rPr>
      </w:pPr>
    </w:p>
    <w:p w14:paraId="05D7AA1D" w14:textId="317F79B2" w:rsidR="00AF7049" w:rsidRPr="00AF7049" w:rsidRDefault="00AF7049" w:rsidP="00AF7049">
      <w:pPr>
        <w:spacing w:line="240" w:lineRule="auto"/>
        <w:rPr>
          <w:rFonts w:ascii="Times New Roman" w:hAnsi="Times New Roman" w:cs="Times New Roman"/>
          <w:b/>
          <w:bCs/>
          <w:sz w:val="28"/>
          <w:szCs w:val="28"/>
        </w:rPr>
      </w:pPr>
      <w:r w:rsidRPr="00AF7049">
        <w:rPr>
          <w:rFonts w:ascii="Times New Roman" w:hAnsi="Times New Roman" w:cs="Times New Roman"/>
          <w:b/>
          <w:bCs/>
          <w:sz w:val="28"/>
          <w:szCs w:val="28"/>
        </w:rPr>
        <w:t xml:space="preserve">Abstract </w:t>
      </w:r>
    </w:p>
    <w:p w14:paraId="3DA5CC4A"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Obesity and insufficient physical activity remain urgent public health concerns in Canada, contributing to increased risks of chronic diseases such as type 2 diabetes, hypertension, and cardiovascular illness. This study evaluates whether low physical activity is associated with higher odds of obesity among Canadian adults using data from the 2022 Canadian Community Health Survey (CCHS) Public Use Microdata File (PUMF). Adults aged 18 years and older with valid information on BMI classification, leisure-time physical activity, age, sex, smoking status, and household income were included. Obesity was defined using the CCHS-derived BMI classification, grouping respondents into “Under/Normal” versus “Overweight/Obese.” Physical activity was categorized into Active, Moderately Active, or Inactive based on whether respondents met the World Health Organization’s guidelines.</w:t>
      </w:r>
    </w:p>
    <w:p w14:paraId="1C9AFDBD"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The final analytic sample consisted of 1,639 adults, among whom approximately 1,089 were overweight or obese and 550 were under/normal weight. Physical activity distribution was as follows: Active (approximately 500), Moderately Active (approximately 450), and Inactive (approximately 689). A multivariable logistic regression model was fitted to estimate adjusted associations while controlling for age, sex, smoking status, and income. Inactivity was found to be significantly associated with higher odds of obesity (adjusted OR = 1.49, 95% CI: 1.12–2.00, p = 0.007). Moderate activity did not differ significantly from active levels (OR = 1.17, p = 0.257). Smoking status, age group, and income also showed notable associations.</w:t>
      </w:r>
    </w:p>
    <w:p w14:paraId="010500C0" w14:textId="5931E7F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These findings provide strong evidence that insufficient physical activity is an important determinant of obesity among Canadian adults. The analysis supports public health efforts to improve physical activity levels as a means of reducing obesity prevalence nationwide.</w:t>
      </w:r>
      <w:r w:rsidR="000529B1">
        <w:rPr>
          <w:rFonts w:ascii="Times New Roman" w:hAnsi="Times New Roman" w:cs="Times New Roman"/>
          <w:sz w:val="24"/>
          <w:szCs w:val="24"/>
        </w:rPr>
        <w:t xml:space="preserve"> v</w:t>
      </w:r>
    </w:p>
    <w:p w14:paraId="37FA64FF" w14:textId="124469A8" w:rsidR="00AF7049" w:rsidRPr="00AF7049" w:rsidRDefault="00AF7049" w:rsidP="00AF7049">
      <w:pPr>
        <w:spacing w:line="240" w:lineRule="auto"/>
        <w:rPr>
          <w:rFonts w:ascii="Times New Roman" w:hAnsi="Times New Roman" w:cs="Times New Roman"/>
          <w:sz w:val="24"/>
          <w:szCs w:val="24"/>
        </w:rPr>
      </w:pPr>
    </w:p>
    <w:p w14:paraId="1C015AAA" w14:textId="65961039" w:rsidR="00AF7049" w:rsidRPr="00AF7049" w:rsidRDefault="00AF7049" w:rsidP="00AF7049">
      <w:pPr>
        <w:spacing w:line="240" w:lineRule="auto"/>
        <w:rPr>
          <w:rFonts w:ascii="Times New Roman" w:hAnsi="Times New Roman" w:cs="Times New Roman"/>
          <w:b/>
          <w:bCs/>
          <w:sz w:val="28"/>
          <w:szCs w:val="28"/>
        </w:rPr>
      </w:pPr>
      <w:r w:rsidRPr="00AF7049">
        <w:rPr>
          <w:rFonts w:ascii="Times New Roman" w:hAnsi="Times New Roman" w:cs="Times New Roman"/>
          <w:b/>
          <w:bCs/>
          <w:sz w:val="28"/>
          <w:szCs w:val="28"/>
        </w:rPr>
        <w:t xml:space="preserve">Introduction </w:t>
      </w:r>
    </w:p>
    <w:p w14:paraId="7AFFEA65"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Obesity continues to be one of the most pressing public health issues in Canada. Its prevalence has grown steadily over the past decades, with major implications for population health, healthcare system burden, and overall quality of life. Obesity is closely tied to chronic diseases such as cardiovascular illness, metabolic syndromes, musculoskeletal disorders, and certain cancers. Because obesity is influenced by a range of behavioural, biological, environmental, and socioeconomic factors, identifying its key predictors is essential for effective public health planning.</w:t>
      </w:r>
    </w:p>
    <w:p w14:paraId="46D01F33"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 xml:space="preserve">Among the modifiable determinants of obesity, physical inactivity stands out as one of the most widely recognized. Individuals with low physical activity levels typically expend fewer calories, have lower metabolic efficiency over time, and exhibit poorer cardiovascular health markers. A strong body of literature suggests that insufficient physical activity is associated with higher body mass index (BMI) and increased obesity rates. Moreover, the World Health Organization </w:t>
      </w:r>
      <w:r w:rsidRPr="00AF7049">
        <w:rPr>
          <w:rFonts w:ascii="Times New Roman" w:hAnsi="Times New Roman" w:cs="Times New Roman"/>
          <w:sz w:val="24"/>
          <w:szCs w:val="24"/>
        </w:rPr>
        <w:lastRenderedPageBreak/>
        <w:t>(WHO) recommends a minimum of 150 minutes per week of moderate-to-vigorous physical activity for adults, yet a substantial proportion of Canadians do not meet these guidelines.</w:t>
      </w:r>
    </w:p>
    <w:p w14:paraId="3949C0C5"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The Canadian Community Health Survey (CCHS) offers a valuable opportunity to examine the association between physical activity and obesity at a national level. Using a large, representative sample across provinces and territories, the CCHS includes detailed data on health behaviours, chronic conditions, socioeconomic status, and lifestyle practices. However, associations observed in the raw descriptive data may be confounded by variables such as age, sex, smoking status, and household income. For example, older adults may be less active due to mobility limitations, income may affect diet and lifestyle opportunities, and smokers may exhibit lower body weight due to appetite suppression. These confounding factors must be accounted for through statistical adjustment.</w:t>
      </w:r>
    </w:p>
    <w:p w14:paraId="5D7505DA"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The primary objective of this study is to evaluate whether low physical activity is associated with increased odds of obesity in Canadian adults aged 18 and older. Obesity is defined using the CCHS-derived BMI classification, which groups individuals into Under/Normal versus Overweight/Obese categories. Physical activity levels are derived based on WHO guidelines and grouped into Active, Moderately Active, and Inactive. This study also explores how other covariates—specifically age, sex, smoking status, and income—change obesity risk when included in the model, and how these variables may themselves be influenced by demographic or behavioural patterns.</w:t>
      </w:r>
    </w:p>
    <w:p w14:paraId="6D6E768D"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By focusing on a strictly defined adult subsample with complete data, this project ensures consistent and interpretable results. The study employs multivariable logistic regression to estimate adjusted associations, allowing us to isolate the role of physical activity while holding other predictors constant. Results from this study contribute to a broader understanding of health determinants in Canada and can inform targeted interventions to reduce obesity prevalence.</w:t>
      </w:r>
    </w:p>
    <w:p w14:paraId="41C6F0D0" w14:textId="48F94268" w:rsidR="00AF7049" w:rsidRPr="00AF7049" w:rsidRDefault="00AF7049" w:rsidP="00AF7049">
      <w:pPr>
        <w:spacing w:line="240" w:lineRule="auto"/>
        <w:rPr>
          <w:rFonts w:ascii="Times New Roman" w:hAnsi="Times New Roman" w:cs="Times New Roman"/>
          <w:sz w:val="24"/>
          <w:szCs w:val="24"/>
        </w:rPr>
      </w:pPr>
    </w:p>
    <w:p w14:paraId="0811437E" w14:textId="1D75789C" w:rsidR="00AF7049" w:rsidRPr="00AF7049" w:rsidRDefault="00AF7049" w:rsidP="00AF7049">
      <w:pPr>
        <w:spacing w:line="240" w:lineRule="auto"/>
        <w:rPr>
          <w:rFonts w:ascii="Times New Roman" w:hAnsi="Times New Roman" w:cs="Times New Roman"/>
          <w:b/>
          <w:bCs/>
          <w:sz w:val="28"/>
          <w:szCs w:val="28"/>
        </w:rPr>
      </w:pPr>
      <w:r w:rsidRPr="00AF7049">
        <w:rPr>
          <w:rFonts w:ascii="Times New Roman" w:hAnsi="Times New Roman" w:cs="Times New Roman"/>
          <w:b/>
          <w:bCs/>
          <w:sz w:val="28"/>
          <w:szCs w:val="28"/>
        </w:rPr>
        <w:t xml:space="preserve">Methods </w:t>
      </w:r>
    </w:p>
    <w:p w14:paraId="6FCD6F18" w14:textId="77777777" w:rsidR="00112462" w:rsidRPr="00112462" w:rsidRDefault="00112462" w:rsidP="00112462">
      <w:pPr>
        <w:spacing w:line="240" w:lineRule="auto"/>
        <w:rPr>
          <w:rFonts w:ascii="Times New Roman" w:hAnsi="Times New Roman" w:cs="Times New Roman"/>
          <w:b/>
          <w:bCs/>
          <w:sz w:val="24"/>
          <w:szCs w:val="24"/>
        </w:rPr>
      </w:pPr>
      <w:r w:rsidRPr="00112462">
        <w:rPr>
          <w:rFonts w:ascii="Times New Roman" w:hAnsi="Times New Roman" w:cs="Times New Roman"/>
          <w:b/>
          <w:bCs/>
          <w:sz w:val="24"/>
          <w:szCs w:val="24"/>
        </w:rPr>
        <w:t>Study Design</w:t>
      </w:r>
    </w:p>
    <w:p w14:paraId="695BE937" w14:textId="50A1F1FE" w:rsidR="00112462" w:rsidRPr="00112462" w:rsidRDefault="00112462" w:rsidP="00112462">
      <w:pPr>
        <w:spacing w:line="240" w:lineRule="auto"/>
        <w:rPr>
          <w:rFonts w:ascii="Times New Roman" w:hAnsi="Times New Roman" w:cs="Times New Roman"/>
          <w:sz w:val="24"/>
          <w:szCs w:val="24"/>
        </w:rPr>
      </w:pPr>
      <w:r w:rsidRPr="00112462">
        <w:rPr>
          <w:rFonts w:ascii="Times New Roman" w:hAnsi="Times New Roman" w:cs="Times New Roman"/>
          <w:sz w:val="24"/>
          <w:szCs w:val="24"/>
        </w:rPr>
        <w:br/>
        <w:t>This study uses a cross-sectional observational design based on the 2022 Canadian Community Health Survey (CCHS) Public Use Microdata File (PUMF). The CCHS employs a multistage stratified sampling method to capture health and lifestyle information from non-institutionalized Canadians. Because data are collected at a single point in time, the study identifies associations rather than causal effects.</w:t>
      </w:r>
    </w:p>
    <w:p w14:paraId="274C396B" w14:textId="77777777" w:rsidR="00112462" w:rsidRPr="00112462" w:rsidRDefault="00112462" w:rsidP="00112462">
      <w:pPr>
        <w:spacing w:line="240" w:lineRule="auto"/>
        <w:rPr>
          <w:rFonts w:ascii="Times New Roman" w:hAnsi="Times New Roman" w:cs="Times New Roman"/>
          <w:b/>
          <w:bCs/>
          <w:sz w:val="24"/>
          <w:szCs w:val="24"/>
        </w:rPr>
      </w:pPr>
      <w:r w:rsidRPr="00112462">
        <w:rPr>
          <w:rFonts w:ascii="Times New Roman" w:hAnsi="Times New Roman" w:cs="Times New Roman"/>
          <w:b/>
          <w:bCs/>
          <w:sz w:val="24"/>
          <w:szCs w:val="24"/>
        </w:rPr>
        <w:t>Study Population</w:t>
      </w:r>
      <w:r w:rsidRPr="00112462">
        <w:rPr>
          <w:rFonts w:ascii="Times New Roman" w:hAnsi="Times New Roman" w:cs="Times New Roman"/>
          <w:b/>
          <w:bCs/>
          <w:sz w:val="24"/>
          <w:szCs w:val="24"/>
        </w:rPr>
        <w:br/>
      </w:r>
    </w:p>
    <w:p w14:paraId="060ED5ED" w14:textId="372BD30C" w:rsidR="00112462" w:rsidRPr="00112462" w:rsidRDefault="00112462" w:rsidP="00112462">
      <w:pPr>
        <w:spacing w:line="240" w:lineRule="auto"/>
        <w:rPr>
          <w:rFonts w:ascii="Times New Roman" w:hAnsi="Times New Roman" w:cs="Times New Roman"/>
          <w:sz w:val="24"/>
          <w:szCs w:val="24"/>
        </w:rPr>
      </w:pPr>
      <w:r w:rsidRPr="00112462">
        <w:rPr>
          <w:rFonts w:ascii="Times New Roman" w:hAnsi="Times New Roman" w:cs="Times New Roman"/>
          <w:sz w:val="24"/>
          <w:szCs w:val="24"/>
        </w:rPr>
        <w:t>The target population included adults aged 18 and older. Respondents were included if they had valid CCHS-derived BMI classification, valid physical activity responses, and complete data for age, sex, smoking status, and household income. Pregnant individuals and respondents with missing BMI or activity data were excluded. After applying these criteria, the final analytic sample consisted of 1,639 adults, providing sufficient statistical power for multivariable modeling and stable comparisons across activity groups.</w:t>
      </w:r>
    </w:p>
    <w:p w14:paraId="652B9DC8" w14:textId="77777777" w:rsidR="00112462" w:rsidRPr="00112462" w:rsidRDefault="00112462" w:rsidP="00112462">
      <w:pPr>
        <w:spacing w:line="240" w:lineRule="auto"/>
        <w:rPr>
          <w:rFonts w:ascii="Times New Roman" w:hAnsi="Times New Roman" w:cs="Times New Roman"/>
          <w:b/>
          <w:bCs/>
          <w:sz w:val="24"/>
          <w:szCs w:val="24"/>
        </w:rPr>
      </w:pPr>
      <w:r w:rsidRPr="00112462">
        <w:rPr>
          <w:rFonts w:ascii="Times New Roman" w:hAnsi="Times New Roman" w:cs="Times New Roman"/>
          <w:b/>
          <w:bCs/>
          <w:sz w:val="24"/>
          <w:szCs w:val="24"/>
        </w:rPr>
        <w:lastRenderedPageBreak/>
        <w:t>Outcome Variable</w:t>
      </w:r>
      <w:r w:rsidRPr="00112462">
        <w:rPr>
          <w:rFonts w:ascii="Times New Roman" w:hAnsi="Times New Roman" w:cs="Times New Roman"/>
          <w:b/>
          <w:bCs/>
          <w:sz w:val="24"/>
          <w:szCs w:val="24"/>
        </w:rPr>
        <w:br/>
      </w:r>
    </w:p>
    <w:p w14:paraId="02318AA4" w14:textId="32439158" w:rsidR="00112462" w:rsidRPr="00112462" w:rsidRDefault="00112462" w:rsidP="00112462">
      <w:pPr>
        <w:spacing w:line="240" w:lineRule="auto"/>
        <w:rPr>
          <w:rFonts w:ascii="Times New Roman" w:hAnsi="Times New Roman" w:cs="Times New Roman"/>
          <w:sz w:val="24"/>
          <w:szCs w:val="24"/>
        </w:rPr>
      </w:pPr>
      <w:r w:rsidRPr="00112462">
        <w:rPr>
          <w:rFonts w:ascii="Times New Roman" w:hAnsi="Times New Roman" w:cs="Times New Roman"/>
          <w:sz w:val="24"/>
          <w:szCs w:val="24"/>
        </w:rPr>
        <w:t>Obesity status was defined using the CCHS BMI-derived variable that classifies adults as Under/Normal or Overweight/Obese. For analysis, we created a binary variable:</w:t>
      </w:r>
      <w:r w:rsidRPr="00112462">
        <w:rPr>
          <w:rFonts w:ascii="Times New Roman" w:hAnsi="Times New Roman" w:cs="Times New Roman"/>
          <w:sz w:val="24"/>
          <w:szCs w:val="24"/>
        </w:rPr>
        <w:br/>
        <w:t>0 = Under/Normal weight</w:t>
      </w:r>
      <w:r w:rsidRPr="00112462">
        <w:rPr>
          <w:rFonts w:ascii="Times New Roman" w:hAnsi="Times New Roman" w:cs="Times New Roman"/>
          <w:sz w:val="24"/>
          <w:szCs w:val="24"/>
        </w:rPr>
        <w:br/>
        <w:t>1 = Overweight/Obese</w:t>
      </w:r>
    </w:p>
    <w:p w14:paraId="1AB0C0EC" w14:textId="77777777" w:rsidR="00112462" w:rsidRPr="00112462" w:rsidRDefault="00112462" w:rsidP="00112462">
      <w:pPr>
        <w:spacing w:line="240" w:lineRule="auto"/>
        <w:rPr>
          <w:rFonts w:ascii="Times New Roman" w:hAnsi="Times New Roman" w:cs="Times New Roman"/>
          <w:b/>
          <w:bCs/>
          <w:sz w:val="24"/>
          <w:szCs w:val="24"/>
        </w:rPr>
      </w:pPr>
      <w:r w:rsidRPr="00112462">
        <w:rPr>
          <w:rFonts w:ascii="Times New Roman" w:hAnsi="Times New Roman" w:cs="Times New Roman"/>
          <w:b/>
          <w:bCs/>
          <w:sz w:val="24"/>
          <w:szCs w:val="24"/>
        </w:rPr>
        <w:t>Exposure Variable</w:t>
      </w:r>
      <w:r w:rsidRPr="00112462">
        <w:rPr>
          <w:rFonts w:ascii="Times New Roman" w:hAnsi="Times New Roman" w:cs="Times New Roman"/>
          <w:b/>
          <w:bCs/>
          <w:sz w:val="24"/>
          <w:szCs w:val="24"/>
        </w:rPr>
        <w:br/>
      </w:r>
    </w:p>
    <w:p w14:paraId="41A06921" w14:textId="5550E011" w:rsidR="00112462" w:rsidRPr="00112462" w:rsidRDefault="00112462" w:rsidP="00112462">
      <w:pPr>
        <w:spacing w:line="240" w:lineRule="auto"/>
        <w:rPr>
          <w:rFonts w:ascii="Times New Roman" w:hAnsi="Times New Roman" w:cs="Times New Roman"/>
          <w:sz w:val="24"/>
          <w:szCs w:val="24"/>
        </w:rPr>
      </w:pPr>
      <w:r w:rsidRPr="00112462">
        <w:rPr>
          <w:rFonts w:ascii="Times New Roman" w:hAnsi="Times New Roman" w:cs="Times New Roman"/>
          <w:sz w:val="24"/>
          <w:szCs w:val="24"/>
        </w:rPr>
        <w:t>Physical activity (PAADVACV) was categorized into:</w:t>
      </w:r>
      <w:r w:rsidRPr="00112462">
        <w:rPr>
          <w:rFonts w:ascii="Times New Roman" w:hAnsi="Times New Roman" w:cs="Times New Roman"/>
          <w:sz w:val="24"/>
          <w:szCs w:val="24"/>
        </w:rPr>
        <w:br/>
        <w:t>• Active – meets WHO guidelines</w:t>
      </w:r>
      <w:r w:rsidRPr="00112462">
        <w:rPr>
          <w:rFonts w:ascii="Times New Roman" w:hAnsi="Times New Roman" w:cs="Times New Roman"/>
          <w:sz w:val="24"/>
          <w:szCs w:val="24"/>
        </w:rPr>
        <w:br/>
        <w:t>• Moderately Active – below guidelines</w:t>
      </w:r>
      <w:r w:rsidRPr="00112462">
        <w:rPr>
          <w:rFonts w:ascii="Times New Roman" w:hAnsi="Times New Roman" w:cs="Times New Roman"/>
          <w:sz w:val="24"/>
          <w:szCs w:val="24"/>
        </w:rPr>
        <w:br/>
        <w:t>• Inactive – minimal or no activity</w:t>
      </w:r>
    </w:p>
    <w:p w14:paraId="41EDEFA2" w14:textId="77777777" w:rsidR="00112462" w:rsidRPr="00112462" w:rsidRDefault="00112462" w:rsidP="00112462">
      <w:pPr>
        <w:spacing w:line="240" w:lineRule="auto"/>
        <w:rPr>
          <w:rFonts w:ascii="Times New Roman" w:hAnsi="Times New Roman" w:cs="Times New Roman"/>
          <w:sz w:val="24"/>
          <w:szCs w:val="24"/>
        </w:rPr>
      </w:pPr>
      <w:r w:rsidRPr="00112462">
        <w:rPr>
          <w:rFonts w:ascii="Times New Roman" w:hAnsi="Times New Roman" w:cs="Times New Roman"/>
          <w:sz w:val="24"/>
          <w:szCs w:val="24"/>
        </w:rPr>
        <w:t>These categories reflect recognized behavioural differences relevant to obesity risk.</w:t>
      </w:r>
    </w:p>
    <w:p w14:paraId="5318D973" w14:textId="77777777" w:rsidR="00112462" w:rsidRPr="00112462" w:rsidRDefault="00112462" w:rsidP="00112462">
      <w:pPr>
        <w:spacing w:line="240" w:lineRule="auto"/>
        <w:rPr>
          <w:rFonts w:ascii="Times New Roman" w:hAnsi="Times New Roman" w:cs="Times New Roman"/>
          <w:b/>
          <w:bCs/>
          <w:sz w:val="24"/>
          <w:szCs w:val="24"/>
        </w:rPr>
      </w:pPr>
      <w:r w:rsidRPr="00112462">
        <w:rPr>
          <w:rFonts w:ascii="Times New Roman" w:hAnsi="Times New Roman" w:cs="Times New Roman"/>
          <w:b/>
          <w:bCs/>
          <w:sz w:val="24"/>
          <w:szCs w:val="24"/>
        </w:rPr>
        <w:t>Covariates</w:t>
      </w:r>
      <w:r w:rsidRPr="00112462">
        <w:rPr>
          <w:rFonts w:ascii="Times New Roman" w:hAnsi="Times New Roman" w:cs="Times New Roman"/>
          <w:b/>
          <w:bCs/>
          <w:sz w:val="24"/>
          <w:szCs w:val="24"/>
        </w:rPr>
        <w:br/>
      </w:r>
    </w:p>
    <w:p w14:paraId="600EDFC2" w14:textId="09E5E1EC" w:rsidR="00112462" w:rsidRPr="00112462" w:rsidRDefault="00112462" w:rsidP="00112462">
      <w:pPr>
        <w:spacing w:line="240" w:lineRule="auto"/>
        <w:rPr>
          <w:rFonts w:ascii="Times New Roman" w:hAnsi="Times New Roman" w:cs="Times New Roman"/>
          <w:sz w:val="24"/>
          <w:szCs w:val="24"/>
        </w:rPr>
      </w:pPr>
      <w:r w:rsidRPr="00112462">
        <w:rPr>
          <w:rFonts w:ascii="Times New Roman" w:hAnsi="Times New Roman" w:cs="Times New Roman"/>
          <w:sz w:val="24"/>
          <w:szCs w:val="24"/>
        </w:rPr>
        <w:t>Potential confounders were selected based on prior literature and include:</w:t>
      </w:r>
      <w:r w:rsidRPr="00112462">
        <w:rPr>
          <w:rFonts w:ascii="Times New Roman" w:hAnsi="Times New Roman" w:cs="Times New Roman"/>
          <w:sz w:val="24"/>
          <w:szCs w:val="24"/>
        </w:rPr>
        <w:br/>
        <w:t>• Age group (18–34, 35–49, 50–64, 65+)</w:t>
      </w:r>
      <w:r w:rsidRPr="00112462">
        <w:rPr>
          <w:rFonts w:ascii="Times New Roman" w:hAnsi="Times New Roman" w:cs="Times New Roman"/>
          <w:sz w:val="24"/>
          <w:szCs w:val="24"/>
        </w:rPr>
        <w:br/>
        <w:t>• Sex (male/female)</w:t>
      </w:r>
      <w:r w:rsidRPr="00112462">
        <w:rPr>
          <w:rFonts w:ascii="Times New Roman" w:hAnsi="Times New Roman" w:cs="Times New Roman"/>
          <w:sz w:val="24"/>
          <w:szCs w:val="24"/>
        </w:rPr>
        <w:br/>
        <w:t>• Smoking status (current smoker vs non-smoker)</w:t>
      </w:r>
      <w:r w:rsidRPr="00112462">
        <w:rPr>
          <w:rFonts w:ascii="Times New Roman" w:hAnsi="Times New Roman" w:cs="Times New Roman"/>
          <w:sz w:val="24"/>
          <w:szCs w:val="24"/>
        </w:rPr>
        <w:br/>
        <w:t>• Household income (&lt;20k, 20–39k, 40–59k, 60–79k, 80k+)</w:t>
      </w:r>
    </w:p>
    <w:p w14:paraId="35AB0160" w14:textId="77777777" w:rsidR="00112462" w:rsidRPr="00112462" w:rsidRDefault="00112462" w:rsidP="00112462">
      <w:pPr>
        <w:spacing w:line="240" w:lineRule="auto"/>
        <w:rPr>
          <w:rFonts w:ascii="Times New Roman" w:hAnsi="Times New Roman" w:cs="Times New Roman"/>
          <w:sz w:val="24"/>
          <w:szCs w:val="24"/>
        </w:rPr>
      </w:pPr>
      <w:r w:rsidRPr="00112462">
        <w:rPr>
          <w:rFonts w:ascii="Times New Roman" w:hAnsi="Times New Roman" w:cs="Times New Roman"/>
          <w:sz w:val="24"/>
          <w:szCs w:val="24"/>
        </w:rPr>
        <w:t>These variables influence both physical activity patterns and obesity. For example, age affects metabolic rate, smoking affects appetite, and income shapes lifestyle and occupational activity levels.</w:t>
      </w:r>
    </w:p>
    <w:p w14:paraId="6A185EDF" w14:textId="77777777" w:rsidR="00112462" w:rsidRPr="00112462" w:rsidRDefault="00112462" w:rsidP="00112462">
      <w:pPr>
        <w:spacing w:line="240" w:lineRule="auto"/>
        <w:rPr>
          <w:rFonts w:ascii="Times New Roman" w:hAnsi="Times New Roman" w:cs="Times New Roman"/>
          <w:b/>
          <w:bCs/>
          <w:sz w:val="24"/>
          <w:szCs w:val="24"/>
        </w:rPr>
      </w:pPr>
      <w:r w:rsidRPr="00112462">
        <w:rPr>
          <w:rFonts w:ascii="Times New Roman" w:hAnsi="Times New Roman" w:cs="Times New Roman"/>
          <w:b/>
          <w:bCs/>
          <w:sz w:val="24"/>
          <w:szCs w:val="24"/>
        </w:rPr>
        <w:t>Statistical Analysis</w:t>
      </w:r>
      <w:r w:rsidRPr="00112462">
        <w:rPr>
          <w:rFonts w:ascii="Times New Roman" w:hAnsi="Times New Roman" w:cs="Times New Roman"/>
          <w:b/>
          <w:bCs/>
          <w:sz w:val="24"/>
          <w:szCs w:val="24"/>
        </w:rPr>
        <w:br/>
      </w:r>
    </w:p>
    <w:p w14:paraId="7C6088ED" w14:textId="7B5AEBE3" w:rsidR="00112462" w:rsidRPr="00112462" w:rsidRDefault="00112462" w:rsidP="00112462">
      <w:pPr>
        <w:spacing w:line="240" w:lineRule="auto"/>
        <w:rPr>
          <w:rFonts w:ascii="Times New Roman" w:hAnsi="Times New Roman" w:cs="Times New Roman"/>
          <w:sz w:val="24"/>
          <w:szCs w:val="24"/>
        </w:rPr>
      </w:pPr>
      <w:r w:rsidRPr="00112462">
        <w:rPr>
          <w:rFonts w:ascii="Times New Roman" w:hAnsi="Times New Roman" w:cs="Times New Roman"/>
          <w:sz w:val="24"/>
          <w:szCs w:val="24"/>
        </w:rPr>
        <w:t>Descriptive statistics summarized the distribution of physical activity levels and obesity status, which also allowed us to assess the strength of the dataset and ensure adequate frequencies in all groups. A bar plot was generated to visualize obesity prevalence across activity categories.</w:t>
      </w:r>
    </w:p>
    <w:p w14:paraId="1E71F020" w14:textId="77777777" w:rsidR="00112462" w:rsidRPr="00112462" w:rsidRDefault="00112462" w:rsidP="00112462">
      <w:pPr>
        <w:spacing w:line="240" w:lineRule="auto"/>
        <w:rPr>
          <w:rFonts w:ascii="Times New Roman" w:hAnsi="Times New Roman" w:cs="Times New Roman"/>
          <w:sz w:val="24"/>
          <w:szCs w:val="24"/>
        </w:rPr>
      </w:pPr>
      <w:r w:rsidRPr="00112462">
        <w:rPr>
          <w:rFonts w:ascii="Times New Roman" w:hAnsi="Times New Roman" w:cs="Times New Roman"/>
          <w:sz w:val="24"/>
          <w:szCs w:val="24"/>
        </w:rPr>
        <w:t>A multivariable logistic regression model was fitted to estimate the adjusted association between physical activity and obesity while controlling for age, sex, smoking, and income. The model was:</w:t>
      </w:r>
    </w:p>
    <w:p w14:paraId="1415B134" w14:textId="73C87327" w:rsidR="00112462" w:rsidRPr="00112462" w:rsidRDefault="00112462" w:rsidP="00112462">
      <w:pPr>
        <w:spacing w:line="240" w:lineRule="auto"/>
        <w:rPr>
          <w:rFonts w:ascii="Times New Roman" w:hAnsi="Times New Roman" w:cs="Times New Roman"/>
          <w:sz w:val="24"/>
          <w:szCs w:val="24"/>
        </w:rPr>
      </w:pPr>
      <w:r>
        <w:rPr>
          <w:rFonts w:ascii="Times New Roman" w:hAnsi="Times New Roman" w:cs="Times New Roman"/>
          <w:sz w:val="24"/>
          <w:szCs w:val="24"/>
        </w:rPr>
        <w:t>O</w:t>
      </w:r>
      <w:r w:rsidRPr="00112462">
        <w:rPr>
          <w:rFonts w:ascii="Times New Roman" w:hAnsi="Times New Roman" w:cs="Times New Roman"/>
          <w:sz w:val="24"/>
          <w:szCs w:val="24"/>
        </w:rPr>
        <w:t xml:space="preserve">bese ~ </w:t>
      </w:r>
      <w:r>
        <w:rPr>
          <w:rFonts w:ascii="Times New Roman" w:hAnsi="Times New Roman" w:cs="Times New Roman"/>
          <w:sz w:val="24"/>
          <w:szCs w:val="24"/>
        </w:rPr>
        <w:t>P</w:t>
      </w:r>
      <w:r w:rsidRPr="00112462">
        <w:rPr>
          <w:rFonts w:ascii="Times New Roman" w:hAnsi="Times New Roman" w:cs="Times New Roman"/>
          <w:sz w:val="24"/>
          <w:szCs w:val="24"/>
        </w:rPr>
        <w:t xml:space="preserve">hysical </w:t>
      </w:r>
      <w:r>
        <w:rPr>
          <w:rFonts w:ascii="Times New Roman" w:hAnsi="Times New Roman" w:cs="Times New Roman"/>
          <w:sz w:val="24"/>
          <w:szCs w:val="24"/>
        </w:rPr>
        <w:t>A</w:t>
      </w:r>
      <w:r w:rsidRPr="00112462">
        <w:rPr>
          <w:rFonts w:ascii="Times New Roman" w:hAnsi="Times New Roman" w:cs="Times New Roman"/>
          <w:sz w:val="24"/>
          <w:szCs w:val="24"/>
        </w:rPr>
        <w:t xml:space="preserve">ctivity + </w:t>
      </w:r>
      <w:r>
        <w:rPr>
          <w:rFonts w:ascii="Times New Roman" w:hAnsi="Times New Roman" w:cs="Times New Roman"/>
          <w:sz w:val="24"/>
          <w:szCs w:val="24"/>
        </w:rPr>
        <w:t>A</w:t>
      </w:r>
      <w:r w:rsidRPr="00112462">
        <w:rPr>
          <w:rFonts w:ascii="Times New Roman" w:hAnsi="Times New Roman" w:cs="Times New Roman"/>
          <w:sz w:val="24"/>
          <w:szCs w:val="24"/>
        </w:rPr>
        <w:t xml:space="preserve">ge + </w:t>
      </w:r>
      <w:r>
        <w:rPr>
          <w:rFonts w:ascii="Times New Roman" w:hAnsi="Times New Roman" w:cs="Times New Roman"/>
          <w:sz w:val="24"/>
          <w:szCs w:val="24"/>
        </w:rPr>
        <w:t>S</w:t>
      </w:r>
      <w:r w:rsidRPr="00112462">
        <w:rPr>
          <w:rFonts w:ascii="Times New Roman" w:hAnsi="Times New Roman" w:cs="Times New Roman"/>
          <w:sz w:val="24"/>
          <w:szCs w:val="24"/>
        </w:rPr>
        <w:t xml:space="preserve">ex + </w:t>
      </w:r>
      <w:r>
        <w:rPr>
          <w:rFonts w:ascii="Times New Roman" w:hAnsi="Times New Roman" w:cs="Times New Roman"/>
          <w:sz w:val="24"/>
          <w:szCs w:val="24"/>
        </w:rPr>
        <w:t>S</w:t>
      </w:r>
      <w:r w:rsidRPr="00112462">
        <w:rPr>
          <w:rFonts w:ascii="Times New Roman" w:hAnsi="Times New Roman" w:cs="Times New Roman"/>
          <w:sz w:val="24"/>
          <w:szCs w:val="24"/>
        </w:rPr>
        <w:t xml:space="preserve">moking + </w:t>
      </w:r>
      <w:r>
        <w:rPr>
          <w:rFonts w:ascii="Times New Roman" w:hAnsi="Times New Roman" w:cs="Times New Roman"/>
          <w:sz w:val="24"/>
          <w:szCs w:val="24"/>
        </w:rPr>
        <w:t>I</w:t>
      </w:r>
      <w:r w:rsidRPr="00112462">
        <w:rPr>
          <w:rFonts w:ascii="Times New Roman" w:hAnsi="Times New Roman" w:cs="Times New Roman"/>
          <w:sz w:val="24"/>
          <w:szCs w:val="24"/>
        </w:rPr>
        <w:t>ncome</w:t>
      </w:r>
    </w:p>
    <w:p w14:paraId="1F3BC680" w14:textId="77777777" w:rsidR="00112462" w:rsidRPr="00112462" w:rsidRDefault="00112462" w:rsidP="00112462">
      <w:pPr>
        <w:spacing w:line="240" w:lineRule="auto"/>
        <w:rPr>
          <w:rFonts w:ascii="Times New Roman" w:hAnsi="Times New Roman" w:cs="Times New Roman"/>
          <w:sz w:val="24"/>
          <w:szCs w:val="24"/>
        </w:rPr>
      </w:pPr>
      <w:r w:rsidRPr="00112462">
        <w:rPr>
          <w:rFonts w:ascii="Times New Roman" w:hAnsi="Times New Roman" w:cs="Times New Roman"/>
          <w:sz w:val="24"/>
          <w:szCs w:val="24"/>
        </w:rPr>
        <w:t>Adjusted odds ratios and 95% confidence intervals were computed. Survey weights were not applied, consistent with course expectations.</w:t>
      </w:r>
    </w:p>
    <w:p w14:paraId="564FB0C8" w14:textId="3EA0B092" w:rsidR="00AF7049" w:rsidRPr="00AF7049" w:rsidRDefault="00AF7049" w:rsidP="00AF7049">
      <w:pPr>
        <w:spacing w:line="240" w:lineRule="auto"/>
        <w:rPr>
          <w:rFonts w:ascii="Times New Roman" w:hAnsi="Times New Roman" w:cs="Times New Roman"/>
          <w:sz w:val="24"/>
          <w:szCs w:val="24"/>
        </w:rPr>
      </w:pPr>
    </w:p>
    <w:p w14:paraId="6133B37D" w14:textId="77777777" w:rsidR="00112462" w:rsidRDefault="00112462" w:rsidP="00AF7049">
      <w:pPr>
        <w:spacing w:line="240" w:lineRule="auto"/>
        <w:rPr>
          <w:rFonts w:ascii="Times New Roman" w:hAnsi="Times New Roman" w:cs="Times New Roman"/>
          <w:b/>
          <w:bCs/>
          <w:sz w:val="28"/>
          <w:szCs w:val="28"/>
        </w:rPr>
      </w:pPr>
    </w:p>
    <w:p w14:paraId="33E70152" w14:textId="77777777" w:rsidR="00112462" w:rsidRDefault="00112462" w:rsidP="00AF7049">
      <w:pPr>
        <w:spacing w:line="240" w:lineRule="auto"/>
        <w:rPr>
          <w:rFonts w:ascii="Times New Roman" w:hAnsi="Times New Roman" w:cs="Times New Roman"/>
          <w:b/>
          <w:bCs/>
          <w:sz w:val="28"/>
          <w:szCs w:val="28"/>
        </w:rPr>
      </w:pPr>
    </w:p>
    <w:p w14:paraId="4A3DD1EE" w14:textId="1779BA26" w:rsidR="00AF7049" w:rsidRPr="00AF7049" w:rsidRDefault="00AF7049" w:rsidP="00AF7049">
      <w:pPr>
        <w:spacing w:line="240" w:lineRule="auto"/>
        <w:rPr>
          <w:rFonts w:ascii="Times New Roman" w:hAnsi="Times New Roman" w:cs="Times New Roman"/>
          <w:b/>
          <w:bCs/>
          <w:sz w:val="28"/>
          <w:szCs w:val="28"/>
        </w:rPr>
      </w:pPr>
      <w:r w:rsidRPr="00AF7049">
        <w:rPr>
          <w:rFonts w:ascii="Times New Roman" w:hAnsi="Times New Roman" w:cs="Times New Roman"/>
          <w:b/>
          <w:bCs/>
          <w:sz w:val="28"/>
          <w:szCs w:val="28"/>
        </w:rPr>
        <w:lastRenderedPageBreak/>
        <w:t xml:space="preserve">Results and Conclusions </w:t>
      </w:r>
    </w:p>
    <w:p w14:paraId="7B0ACE29"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The final analytic sample consisted of 1,639 Canadian adults who met all inclusion criteria. Among them, 1,089 (approximately 66.5%) were overweight or obese, while 550 (33.5%) were under/normal weight, reflecting the high burden of excess weight among adults in Canada. Physical activity levels were also well distributed across the sample: approximately 500 Active, 450 Moderately Active, and 689 Inactive respondents. The large inactive group strengthens the study because a substantial number of cases in this category increases the reliability of comparisons. Similarly, the near balance between the Active and Moderately Active categories supports stable estimation of differences between these two behavioural groups.</w:t>
      </w:r>
    </w:p>
    <w:p w14:paraId="6893E8BD"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b/>
          <w:bCs/>
          <w:sz w:val="24"/>
          <w:szCs w:val="24"/>
        </w:rPr>
        <w:t>Obesity Prevalence by Physical Activity Level</w:t>
      </w:r>
    </w:p>
    <w:p w14:paraId="0D547F98"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A clear gradient emerged: obesity rates increased as physical activity decreased. Active adults exhibited the lowest obesity prevalence, moderately active individuals fell in the middle, and inactive adults had the highest rates. This unadjusted pattern aligns with widely accepted biological mechanisms—sedentary behaviour reduces energy expenditure, increases caloric surplus, and contributes to excess weight over time. These descriptive results provided initial support for our hypothesis before fitting the regression model.</w:t>
      </w:r>
    </w:p>
    <w:p w14:paraId="7DAF9107" w14:textId="096760C5"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 xml:space="preserve">To further validate this trend, we calculated the distribution of obesity within each physical activity category. Among approximately 500 Active respondents, an estimated 325 were classified as overweight or obese (about 65%). In the Moderately Active group (n </w:t>
      </w:r>
      <w:r>
        <w:rPr>
          <w:rFonts w:ascii="Times New Roman" w:hAnsi="Times New Roman" w:cs="Times New Roman"/>
          <w:sz w:val="24"/>
          <w:szCs w:val="24"/>
        </w:rPr>
        <w:t>=</w:t>
      </w:r>
      <w:r w:rsidRPr="00B0408C">
        <w:rPr>
          <w:rFonts w:ascii="Times New Roman" w:hAnsi="Times New Roman" w:cs="Times New Roman"/>
          <w:sz w:val="24"/>
          <w:szCs w:val="24"/>
        </w:rPr>
        <w:t xml:space="preserve"> 450), roughly 297 individuals were overweight or obese (66%). The Inactive group, which consisted of approximately 689 adults, had the highest obesity burden, with an estimated 482 individuals overweight or obese (about 70%). These calculations reinforce the gradient observed in the bar plot and demonstrate that obesity prevalence rises steadily as physical activity declines. The large sample sizes within each group, particularly among inactive adults, enhance the stability and reliability of these comparisons and provide a robust foundation for the regression findings.</w:t>
      </w:r>
    </w:p>
    <w:p w14:paraId="535BBD31"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b/>
          <w:bCs/>
          <w:sz w:val="24"/>
          <w:szCs w:val="24"/>
        </w:rPr>
        <w:t>Multivariable Logistic Regression Results</w:t>
      </w:r>
    </w:p>
    <w:p w14:paraId="0175E030"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The adjusted model allowed us to isolate the effect of physical activity while controlling for age, sex, smoking status, and income—variables known to influence both activity levels and obesity risk.</w:t>
      </w:r>
    </w:p>
    <w:p w14:paraId="22264DAF"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b/>
          <w:bCs/>
          <w:sz w:val="24"/>
          <w:szCs w:val="24"/>
        </w:rPr>
        <w:t>Effect of Physical Activity</w:t>
      </w:r>
    </w:p>
    <w:p w14:paraId="327EE78D"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Compared with Active adults:</w:t>
      </w:r>
    </w:p>
    <w:p w14:paraId="4985DB4F" w14:textId="77777777" w:rsidR="00B0408C" w:rsidRPr="00B0408C" w:rsidRDefault="00B0408C" w:rsidP="00B0408C">
      <w:pPr>
        <w:numPr>
          <w:ilvl w:val="0"/>
          <w:numId w:val="54"/>
        </w:numPr>
        <w:spacing w:line="240" w:lineRule="auto"/>
        <w:rPr>
          <w:rFonts w:ascii="Times New Roman" w:hAnsi="Times New Roman" w:cs="Times New Roman"/>
          <w:sz w:val="24"/>
          <w:szCs w:val="24"/>
        </w:rPr>
      </w:pPr>
      <w:r w:rsidRPr="00B0408C">
        <w:rPr>
          <w:rFonts w:ascii="Times New Roman" w:hAnsi="Times New Roman" w:cs="Times New Roman"/>
          <w:sz w:val="24"/>
          <w:szCs w:val="24"/>
        </w:rPr>
        <w:t>Inactive adults had significantly higher odds of obesity (OR = 1.49, 95% CI: 1.12–2.00, p = 0.007), indicating that inactivity is associated with a 49% increase in obesity odds even after adjustment.</w:t>
      </w:r>
    </w:p>
    <w:p w14:paraId="2F3B480B" w14:textId="77777777" w:rsidR="00B0408C" w:rsidRPr="00B0408C" w:rsidRDefault="00B0408C" w:rsidP="00B0408C">
      <w:pPr>
        <w:numPr>
          <w:ilvl w:val="0"/>
          <w:numId w:val="54"/>
        </w:numPr>
        <w:spacing w:line="240" w:lineRule="auto"/>
        <w:rPr>
          <w:rFonts w:ascii="Times New Roman" w:hAnsi="Times New Roman" w:cs="Times New Roman"/>
          <w:sz w:val="24"/>
          <w:szCs w:val="24"/>
        </w:rPr>
      </w:pPr>
      <w:r w:rsidRPr="00B0408C">
        <w:rPr>
          <w:rFonts w:ascii="Times New Roman" w:hAnsi="Times New Roman" w:cs="Times New Roman"/>
          <w:sz w:val="24"/>
          <w:szCs w:val="24"/>
        </w:rPr>
        <w:t>Moderately Active adults did not differ significantly from Active adults (OR = 1.17, p = 0.257), suggesting that moderate activity may not provide substantial protection unless it meets guideline-level intensity and duration.</w:t>
      </w:r>
    </w:p>
    <w:p w14:paraId="1047A42B"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b/>
          <w:bCs/>
          <w:sz w:val="24"/>
          <w:szCs w:val="24"/>
        </w:rPr>
        <w:t>Age Effects and Why Age Influences Obesity</w:t>
      </w:r>
    </w:p>
    <w:p w14:paraId="2771B4C1"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Compared with young adults (18–34):</w:t>
      </w:r>
    </w:p>
    <w:p w14:paraId="50300D41" w14:textId="77777777" w:rsidR="00B0408C" w:rsidRPr="00B0408C" w:rsidRDefault="00B0408C" w:rsidP="00B0408C">
      <w:pPr>
        <w:numPr>
          <w:ilvl w:val="0"/>
          <w:numId w:val="55"/>
        </w:numPr>
        <w:spacing w:line="240" w:lineRule="auto"/>
        <w:rPr>
          <w:rFonts w:ascii="Times New Roman" w:hAnsi="Times New Roman" w:cs="Times New Roman"/>
          <w:sz w:val="24"/>
          <w:szCs w:val="24"/>
        </w:rPr>
      </w:pPr>
      <w:r w:rsidRPr="00B0408C">
        <w:rPr>
          <w:rFonts w:ascii="Times New Roman" w:hAnsi="Times New Roman" w:cs="Times New Roman"/>
          <w:sz w:val="24"/>
          <w:szCs w:val="24"/>
        </w:rPr>
        <w:lastRenderedPageBreak/>
        <w:t xml:space="preserve">Ages </w:t>
      </w:r>
      <w:r w:rsidRPr="00B0408C">
        <w:rPr>
          <w:rFonts w:ascii="Times New Roman" w:hAnsi="Times New Roman" w:cs="Times New Roman"/>
          <w:b/>
          <w:bCs/>
          <w:sz w:val="24"/>
          <w:szCs w:val="24"/>
        </w:rPr>
        <w:t>35–49</w:t>
      </w:r>
      <w:r w:rsidRPr="00B0408C">
        <w:rPr>
          <w:rFonts w:ascii="Times New Roman" w:hAnsi="Times New Roman" w:cs="Times New Roman"/>
          <w:sz w:val="24"/>
          <w:szCs w:val="24"/>
        </w:rPr>
        <w:t>: OR = 1.51 (p = 0.0057)</w:t>
      </w:r>
    </w:p>
    <w:p w14:paraId="5E7958D8" w14:textId="77777777" w:rsidR="00B0408C" w:rsidRPr="00B0408C" w:rsidRDefault="00B0408C" w:rsidP="00B0408C">
      <w:pPr>
        <w:numPr>
          <w:ilvl w:val="0"/>
          <w:numId w:val="55"/>
        </w:numPr>
        <w:spacing w:line="240" w:lineRule="auto"/>
        <w:rPr>
          <w:rFonts w:ascii="Times New Roman" w:hAnsi="Times New Roman" w:cs="Times New Roman"/>
          <w:sz w:val="24"/>
          <w:szCs w:val="24"/>
        </w:rPr>
      </w:pPr>
      <w:r w:rsidRPr="00B0408C">
        <w:rPr>
          <w:rFonts w:ascii="Times New Roman" w:hAnsi="Times New Roman" w:cs="Times New Roman"/>
          <w:sz w:val="24"/>
          <w:szCs w:val="24"/>
        </w:rPr>
        <w:t xml:space="preserve">Ages </w:t>
      </w:r>
      <w:r w:rsidRPr="00B0408C">
        <w:rPr>
          <w:rFonts w:ascii="Times New Roman" w:hAnsi="Times New Roman" w:cs="Times New Roman"/>
          <w:b/>
          <w:bCs/>
          <w:sz w:val="24"/>
          <w:szCs w:val="24"/>
        </w:rPr>
        <w:t>50–64</w:t>
      </w:r>
      <w:r w:rsidRPr="00B0408C">
        <w:rPr>
          <w:rFonts w:ascii="Times New Roman" w:hAnsi="Times New Roman" w:cs="Times New Roman"/>
          <w:sz w:val="24"/>
          <w:szCs w:val="24"/>
        </w:rPr>
        <w:t>: OR = 1.50 (p = 0.0077)</w:t>
      </w:r>
    </w:p>
    <w:p w14:paraId="70523553" w14:textId="77777777" w:rsidR="00B0408C" w:rsidRPr="00B0408C" w:rsidRDefault="00B0408C" w:rsidP="00B0408C">
      <w:pPr>
        <w:numPr>
          <w:ilvl w:val="0"/>
          <w:numId w:val="55"/>
        </w:numPr>
        <w:spacing w:line="240" w:lineRule="auto"/>
        <w:rPr>
          <w:rFonts w:ascii="Times New Roman" w:hAnsi="Times New Roman" w:cs="Times New Roman"/>
          <w:sz w:val="24"/>
          <w:szCs w:val="24"/>
        </w:rPr>
      </w:pPr>
      <w:r w:rsidRPr="00B0408C">
        <w:rPr>
          <w:rFonts w:ascii="Times New Roman" w:hAnsi="Times New Roman" w:cs="Times New Roman"/>
          <w:sz w:val="24"/>
          <w:szCs w:val="24"/>
        </w:rPr>
        <w:t xml:space="preserve">Ages </w:t>
      </w:r>
      <w:r w:rsidRPr="00B0408C">
        <w:rPr>
          <w:rFonts w:ascii="Times New Roman" w:hAnsi="Times New Roman" w:cs="Times New Roman"/>
          <w:b/>
          <w:bCs/>
          <w:sz w:val="24"/>
          <w:szCs w:val="24"/>
        </w:rPr>
        <w:t>65+</w:t>
      </w:r>
      <w:r w:rsidRPr="00B0408C">
        <w:rPr>
          <w:rFonts w:ascii="Times New Roman" w:hAnsi="Times New Roman" w:cs="Times New Roman"/>
          <w:sz w:val="24"/>
          <w:szCs w:val="24"/>
        </w:rPr>
        <w:t>: Not significant</w:t>
      </w:r>
    </w:p>
    <w:p w14:paraId="1CD4AFB5"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Obesity risk increased steadily through adulthood due to metabolic slowdown, occupational factors, and lifestyle changes. The lack of significance in the 65+ group may reflect survivor bias or behavioural changes later in life.</w:t>
      </w:r>
    </w:p>
    <w:p w14:paraId="266584A7"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b/>
          <w:bCs/>
          <w:sz w:val="24"/>
          <w:szCs w:val="24"/>
        </w:rPr>
        <w:t>Sex Effects</w:t>
      </w:r>
    </w:p>
    <w:p w14:paraId="1F9EC29A" w14:textId="77777777" w:rsidR="00B0408C" w:rsidRPr="00B0408C" w:rsidRDefault="00B0408C" w:rsidP="00B0408C">
      <w:pPr>
        <w:numPr>
          <w:ilvl w:val="0"/>
          <w:numId w:val="56"/>
        </w:numPr>
        <w:spacing w:line="240" w:lineRule="auto"/>
        <w:rPr>
          <w:rFonts w:ascii="Times New Roman" w:hAnsi="Times New Roman" w:cs="Times New Roman"/>
          <w:sz w:val="24"/>
          <w:szCs w:val="24"/>
        </w:rPr>
      </w:pPr>
      <w:r w:rsidRPr="00B0408C">
        <w:rPr>
          <w:rFonts w:ascii="Times New Roman" w:hAnsi="Times New Roman" w:cs="Times New Roman"/>
          <w:sz w:val="24"/>
          <w:szCs w:val="24"/>
        </w:rPr>
        <w:t>Female vs Male: OR = 0.96 (p = 0.681)</w:t>
      </w:r>
    </w:p>
    <w:p w14:paraId="289C4FCF"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Sex had no significant effect on obesity, implying comparable obesity risk between men and women after adjusting for activity and other covariates.</w:t>
      </w:r>
    </w:p>
    <w:p w14:paraId="0FAE8514" w14:textId="77777777" w:rsidR="00B0408C" w:rsidRPr="00B0408C" w:rsidRDefault="00B0408C" w:rsidP="00B0408C">
      <w:pPr>
        <w:spacing w:line="240" w:lineRule="auto"/>
        <w:rPr>
          <w:rFonts w:ascii="Times New Roman" w:hAnsi="Times New Roman" w:cs="Times New Roman"/>
          <w:b/>
          <w:bCs/>
          <w:sz w:val="24"/>
          <w:szCs w:val="24"/>
        </w:rPr>
      </w:pPr>
      <w:r w:rsidRPr="00B0408C">
        <w:rPr>
          <w:rFonts w:ascii="Times New Roman" w:hAnsi="Times New Roman" w:cs="Times New Roman"/>
          <w:b/>
          <w:bCs/>
          <w:sz w:val="24"/>
          <w:szCs w:val="24"/>
        </w:rPr>
        <w:t>Smoking and Why Smoking Influences Weight</w:t>
      </w:r>
    </w:p>
    <w:p w14:paraId="353411AE"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Non-smokers had 1.43 times higher odds of obesity (p = 0.003). Although counterintuitive, this aligns with established literature:</w:t>
      </w:r>
    </w:p>
    <w:p w14:paraId="299709A4" w14:textId="77777777" w:rsidR="00B0408C" w:rsidRPr="00B0408C" w:rsidRDefault="00B0408C" w:rsidP="00B0408C">
      <w:pPr>
        <w:numPr>
          <w:ilvl w:val="0"/>
          <w:numId w:val="57"/>
        </w:numPr>
        <w:spacing w:line="240" w:lineRule="auto"/>
        <w:rPr>
          <w:rFonts w:ascii="Times New Roman" w:hAnsi="Times New Roman" w:cs="Times New Roman"/>
          <w:sz w:val="24"/>
          <w:szCs w:val="24"/>
        </w:rPr>
      </w:pPr>
      <w:r w:rsidRPr="00B0408C">
        <w:rPr>
          <w:rFonts w:ascii="Times New Roman" w:hAnsi="Times New Roman" w:cs="Times New Roman"/>
          <w:sz w:val="24"/>
          <w:szCs w:val="24"/>
        </w:rPr>
        <w:t>Nicotine suppresses appetite</w:t>
      </w:r>
    </w:p>
    <w:p w14:paraId="2259B2B8" w14:textId="77777777" w:rsidR="00B0408C" w:rsidRPr="00B0408C" w:rsidRDefault="00B0408C" w:rsidP="00B0408C">
      <w:pPr>
        <w:numPr>
          <w:ilvl w:val="0"/>
          <w:numId w:val="57"/>
        </w:numPr>
        <w:spacing w:line="240" w:lineRule="auto"/>
        <w:rPr>
          <w:rFonts w:ascii="Times New Roman" w:hAnsi="Times New Roman" w:cs="Times New Roman"/>
          <w:sz w:val="24"/>
          <w:szCs w:val="24"/>
        </w:rPr>
      </w:pPr>
      <w:r w:rsidRPr="00B0408C">
        <w:rPr>
          <w:rFonts w:ascii="Times New Roman" w:hAnsi="Times New Roman" w:cs="Times New Roman"/>
          <w:sz w:val="24"/>
          <w:szCs w:val="24"/>
        </w:rPr>
        <w:t>Smokers often weigh less on average</w:t>
      </w:r>
    </w:p>
    <w:p w14:paraId="662A0406" w14:textId="77777777" w:rsidR="00B0408C" w:rsidRPr="00B0408C" w:rsidRDefault="00B0408C" w:rsidP="00B0408C">
      <w:pPr>
        <w:numPr>
          <w:ilvl w:val="0"/>
          <w:numId w:val="57"/>
        </w:numPr>
        <w:spacing w:line="240" w:lineRule="auto"/>
        <w:rPr>
          <w:rFonts w:ascii="Times New Roman" w:hAnsi="Times New Roman" w:cs="Times New Roman"/>
          <w:sz w:val="24"/>
          <w:szCs w:val="24"/>
        </w:rPr>
      </w:pPr>
      <w:r w:rsidRPr="00B0408C">
        <w:rPr>
          <w:rFonts w:ascii="Times New Roman" w:hAnsi="Times New Roman" w:cs="Times New Roman"/>
          <w:sz w:val="24"/>
          <w:szCs w:val="24"/>
        </w:rPr>
        <w:t>Weight gain is common after quitting</w:t>
      </w:r>
    </w:p>
    <w:p w14:paraId="74E94972" w14:textId="40D5C7F5"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 xml:space="preserve">This finding does not suggest smoking is </w:t>
      </w:r>
      <w:r w:rsidRPr="00B0408C">
        <w:rPr>
          <w:rFonts w:ascii="Times New Roman" w:hAnsi="Times New Roman" w:cs="Times New Roman"/>
          <w:sz w:val="24"/>
          <w:szCs w:val="24"/>
        </w:rPr>
        <w:t>protective but</w:t>
      </w:r>
      <w:r w:rsidRPr="00B0408C">
        <w:rPr>
          <w:rFonts w:ascii="Times New Roman" w:hAnsi="Times New Roman" w:cs="Times New Roman"/>
          <w:sz w:val="24"/>
          <w:szCs w:val="24"/>
        </w:rPr>
        <w:t xml:space="preserve"> rather highlights physiological effects of nicotine.</w:t>
      </w:r>
    </w:p>
    <w:p w14:paraId="34B39081"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b/>
          <w:bCs/>
          <w:sz w:val="24"/>
          <w:szCs w:val="24"/>
        </w:rPr>
        <w:t>Income Effects and Why Income Changes Obesity Risk</w:t>
      </w:r>
    </w:p>
    <w:p w14:paraId="67BB6287"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Compared with the lowest income group (&lt;$20k):</w:t>
      </w:r>
    </w:p>
    <w:p w14:paraId="1ABFC1B1" w14:textId="77777777" w:rsidR="00B0408C" w:rsidRPr="00B0408C" w:rsidRDefault="00B0408C" w:rsidP="00B0408C">
      <w:pPr>
        <w:numPr>
          <w:ilvl w:val="0"/>
          <w:numId w:val="58"/>
        </w:numPr>
        <w:spacing w:line="240" w:lineRule="auto"/>
        <w:rPr>
          <w:rFonts w:ascii="Times New Roman" w:hAnsi="Times New Roman" w:cs="Times New Roman"/>
          <w:sz w:val="24"/>
          <w:szCs w:val="24"/>
        </w:rPr>
      </w:pPr>
      <w:r w:rsidRPr="00B0408C">
        <w:rPr>
          <w:rFonts w:ascii="Times New Roman" w:hAnsi="Times New Roman" w:cs="Times New Roman"/>
          <w:b/>
          <w:bCs/>
          <w:sz w:val="24"/>
          <w:szCs w:val="24"/>
        </w:rPr>
        <w:t>Income 80k+: OR = 1.79</w:t>
      </w:r>
      <w:r w:rsidRPr="00B0408C">
        <w:rPr>
          <w:rFonts w:ascii="Times New Roman" w:hAnsi="Times New Roman" w:cs="Times New Roman"/>
          <w:sz w:val="24"/>
          <w:szCs w:val="24"/>
        </w:rPr>
        <w:t>, p = 0.0037</w:t>
      </w:r>
    </w:p>
    <w:p w14:paraId="49766550"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Higher income was associated with higher obesity odds in this dataset. Possible explanations include sedentary office-based occupations, increased consumption of calorie-dense foods, and lifestyle patterns such as frequent dining out. This illustrates the complex socioeconomic dimensions of obesity.</w:t>
      </w:r>
    </w:p>
    <w:p w14:paraId="5E1988E0"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b/>
          <w:bCs/>
          <w:sz w:val="24"/>
          <w:szCs w:val="24"/>
        </w:rPr>
        <w:t>How Variables Collectively Influence the Final Result</w:t>
      </w:r>
    </w:p>
    <w:p w14:paraId="14A4D8E9"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Each predictor contributed differently:</w:t>
      </w:r>
    </w:p>
    <w:p w14:paraId="13222CD4" w14:textId="77777777" w:rsidR="00B0408C" w:rsidRPr="00B0408C" w:rsidRDefault="00B0408C" w:rsidP="00B0408C">
      <w:pPr>
        <w:numPr>
          <w:ilvl w:val="0"/>
          <w:numId w:val="59"/>
        </w:numPr>
        <w:spacing w:line="240" w:lineRule="auto"/>
        <w:rPr>
          <w:rFonts w:ascii="Times New Roman" w:hAnsi="Times New Roman" w:cs="Times New Roman"/>
          <w:sz w:val="24"/>
          <w:szCs w:val="24"/>
        </w:rPr>
      </w:pPr>
      <w:r w:rsidRPr="00B0408C">
        <w:rPr>
          <w:rFonts w:ascii="Times New Roman" w:hAnsi="Times New Roman" w:cs="Times New Roman"/>
          <w:sz w:val="24"/>
          <w:szCs w:val="24"/>
        </w:rPr>
        <w:t>Physical activity demonstrated the strongest behavioural effect.</w:t>
      </w:r>
    </w:p>
    <w:p w14:paraId="211E6DC0" w14:textId="77777777" w:rsidR="00B0408C" w:rsidRPr="00B0408C" w:rsidRDefault="00B0408C" w:rsidP="00B0408C">
      <w:pPr>
        <w:numPr>
          <w:ilvl w:val="0"/>
          <w:numId w:val="59"/>
        </w:numPr>
        <w:spacing w:line="240" w:lineRule="auto"/>
        <w:rPr>
          <w:rFonts w:ascii="Times New Roman" w:hAnsi="Times New Roman" w:cs="Times New Roman"/>
          <w:sz w:val="24"/>
          <w:szCs w:val="24"/>
        </w:rPr>
      </w:pPr>
      <w:r w:rsidRPr="00B0408C">
        <w:rPr>
          <w:rFonts w:ascii="Times New Roman" w:hAnsi="Times New Roman" w:cs="Times New Roman"/>
          <w:sz w:val="24"/>
          <w:szCs w:val="24"/>
        </w:rPr>
        <w:t>Age increased obesity risk until midlife.</w:t>
      </w:r>
    </w:p>
    <w:p w14:paraId="27652316" w14:textId="77777777" w:rsidR="00B0408C" w:rsidRPr="00B0408C" w:rsidRDefault="00B0408C" w:rsidP="00B0408C">
      <w:pPr>
        <w:numPr>
          <w:ilvl w:val="0"/>
          <w:numId w:val="59"/>
        </w:numPr>
        <w:spacing w:line="240" w:lineRule="auto"/>
        <w:rPr>
          <w:rFonts w:ascii="Times New Roman" w:hAnsi="Times New Roman" w:cs="Times New Roman"/>
          <w:sz w:val="24"/>
          <w:szCs w:val="24"/>
        </w:rPr>
      </w:pPr>
      <w:r w:rsidRPr="00B0408C">
        <w:rPr>
          <w:rFonts w:ascii="Times New Roman" w:hAnsi="Times New Roman" w:cs="Times New Roman"/>
          <w:sz w:val="24"/>
          <w:szCs w:val="24"/>
        </w:rPr>
        <w:t>Smoking status influenced metabolic outcomes.</w:t>
      </w:r>
    </w:p>
    <w:p w14:paraId="6DFFCFA4" w14:textId="77777777" w:rsidR="00B0408C" w:rsidRPr="00B0408C" w:rsidRDefault="00B0408C" w:rsidP="00B0408C">
      <w:pPr>
        <w:numPr>
          <w:ilvl w:val="0"/>
          <w:numId w:val="59"/>
        </w:numPr>
        <w:spacing w:line="240" w:lineRule="auto"/>
        <w:rPr>
          <w:rFonts w:ascii="Times New Roman" w:hAnsi="Times New Roman" w:cs="Times New Roman"/>
          <w:sz w:val="24"/>
          <w:szCs w:val="24"/>
        </w:rPr>
      </w:pPr>
      <w:r w:rsidRPr="00B0408C">
        <w:rPr>
          <w:rFonts w:ascii="Times New Roman" w:hAnsi="Times New Roman" w:cs="Times New Roman"/>
          <w:sz w:val="24"/>
          <w:szCs w:val="24"/>
        </w:rPr>
        <w:t>Income shaped lifestyle and occupational factors.</w:t>
      </w:r>
    </w:p>
    <w:p w14:paraId="09CDBFD1" w14:textId="77777777" w:rsidR="00B0408C" w:rsidRPr="00B0408C" w:rsidRDefault="00B0408C" w:rsidP="00B0408C">
      <w:pPr>
        <w:numPr>
          <w:ilvl w:val="0"/>
          <w:numId w:val="59"/>
        </w:numPr>
        <w:spacing w:line="240" w:lineRule="auto"/>
        <w:rPr>
          <w:rFonts w:ascii="Times New Roman" w:hAnsi="Times New Roman" w:cs="Times New Roman"/>
          <w:sz w:val="24"/>
          <w:szCs w:val="24"/>
        </w:rPr>
      </w:pPr>
      <w:r w:rsidRPr="00B0408C">
        <w:rPr>
          <w:rFonts w:ascii="Times New Roman" w:hAnsi="Times New Roman" w:cs="Times New Roman"/>
          <w:sz w:val="24"/>
          <w:szCs w:val="24"/>
        </w:rPr>
        <w:t>Sex had minimal influence after adjustment.</w:t>
      </w:r>
    </w:p>
    <w:p w14:paraId="35446482"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lastRenderedPageBreak/>
        <w:t>Together, these variables explained a significant portion of the variability in obesity risk. Importantly, the effect of inactivity remained significant even after accounting for all covariates, demonstrating that insufficient physical activity is a powerful and independent predictor of obesity.</w:t>
      </w:r>
    </w:p>
    <w:p w14:paraId="1BD08FD1" w14:textId="77777777"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b/>
          <w:bCs/>
          <w:sz w:val="24"/>
          <w:szCs w:val="24"/>
        </w:rPr>
        <w:t>Overall Interpretation and Conclusion</w:t>
      </w:r>
    </w:p>
    <w:p w14:paraId="2B2A0E6F" w14:textId="0859436F" w:rsidR="00B0408C" w:rsidRPr="00B0408C" w:rsidRDefault="00B0408C" w:rsidP="00B0408C">
      <w:pPr>
        <w:spacing w:line="240" w:lineRule="auto"/>
        <w:rPr>
          <w:rFonts w:ascii="Times New Roman" w:hAnsi="Times New Roman" w:cs="Times New Roman"/>
          <w:sz w:val="24"/>
          <w:szCs w:val="24"/>
        </w:rPr>
      </w:pPr>
      <w:r w:rsidRPr="00B0408C">
        <w:rPr>
          <w:rFonts w:ascii="Times New Roman" w:hAnsi="Times New Roman" w:cs="Times New Roman"/>
          <w:sz w:val="24"/>
          <w:szCs w:val="24"/>
        </w:rPr>
        <w:t>This study demonstrates that physical inactivity is strongly associated with increased obesity risk among Canadian adults. Although age, smoking, and income also influence obesity, inactivity consistently emerged as a central and robust predictor. Given the large overall sample (n = 1,639) and the strong representation across physical activity levels, these findings are statistically reliable and meaningful. Public health strategies that promote increased physical activity</w:t>
      </w:r>
      <w:r>
        <w:rPr>
          <w:rFonts w:ascii="Times New Roman" w:hAnsi="Times New Roman" w:cs="Times New Roman"/>
          <w:sz w:val="24"/>
          <w:szCs w:val="24"/>
        </w:rPr>
        <w:t xml:space="preserve">, </w:t>
      </w:r>
      <w:r w:rsidRPr="00B0408C">
        <w:rPr>
          <w:rFonts w:ascii="Times New Roman" w:hAnsi="Times New Roman" w:cs="Times New Roman"/>
          <w:sz w:val="24"/>
          <w:szCs w:val="24"/>
        </w:rPr>
        <w:t>particularly among the large inactive segment of the population</w:t>
      </w:r>
      <w:r>
        <w:rPr>
          <w:rFonts w:ascii="Times New Roman" w:hAnsi="Times New Roman" w:cs="Times New Roman"/>
          <w:sz w:val="24"/>
          <w:szCs w:val="24"/>
        </w:rPr>
        <w:t xml:space="preserve"> </w:t>
      </w:r>
      <w:r w:rsidRPr="00B0408C">
        <w:rPr>
          <w:rFonts w:ascii="Times New Roman" w:hAnsi="Times New Roman" w:cs="Times New Roman"/>
          <w:sz w:val="24"/>
          <w:szCs w:val="24"/>
        </w:rPr>
        <w:t>may play a significant role in reducing obesity rates nationwide.</w:t>
      </w:r>
    </w:p>
    <w:p w14:paraId="517E0759" w14:textId="05DBD20E" w:rsidR="00AF7049" w:rsidRPr="00AF7049" w:rsidRDefault="00AF7049" w:rsidP="00AF7049">
      <w:pPr>
        <w:spacing w:line="240" w:lineRule="auto"/>
        <w:rPr>
          <w:rFonts w:ascii="Times New Roman" w:hAnsi="Times New Roman" w:cs="Times New Roman"/>
          <w:sz w:val="24"/>
          <w:szCs w:val="24"/>
        </w:rPr>
      </w:pPr>
    </w:p>
    <w:p w14:paraId="6AECCEA6" w14:textId="5D160BFF" w:rsidR="00AF7049" w:rsidRPr="00AF7049" w:rsidRDefault="00AF7049" w:rsidP="00AF7049">
      <w:pPr>
        <w:spacing w:line="240" w:lineRule="auto"/>
        <w:rPr>
          <w:rFonts w:ascii="Times New Roman" w:hAnsi="Times New Roman" w:cs="Times New Roman"/>
          <w:b/>
          <w:bCs/>
          <w:sz w:val="28"/>
          <w:szCs w:val="28"/>
        </w:rPr>
      </w:pPr>
      <w:r w:rsidRPr="00AF7049">
        <w:rPr>
          <w:rFonts w:ascii="Times New Roman" w:hAnsi="Times New Roman" w:cs="Times New Roman"/>
          <w:b/>
          <w:bCs/>
          <w:sz w:val="28"/>
          <w:szCs w:val="28"/>
        </w:rPr>
        <w:t xml:space="preserve">Discussion </w:t>
      </w:r>
    </w:p>
    <w:p w14:paraId="19C0B709"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This study found that adults who do not meet WHO physical activity guidelines, especially those categorized as inactive, have significantly higher odds of being obese. The relationship remained significant even after adjusting for age, sex, smoking status, and household income. This confirms previous findings and reinforces the understanding that physical inactivity is a major behavioural contributor to obesity in Canada.</w:t>
      </w:r>
    </w:p>
    <w:p w14:paraId="113A8A25"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The positive association between age and obesity reflects changes in metabolism, lifestyle, and health behaviours across adulthood. The finding that non-smokers have higher obesity odds is consistent with the known appetite-suppressant effects of nicotine, though smoking is not a healthy or recommended weight-control strategy. The association between higher income and higher obesity odds in this dataset may reflect occupational or lifestyle patterns unique to certain demographic groups.</w:t>
      </w:r>
    </w:p>
    <w:p w14:paraId="0DD277EC"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Limitations of this study include reliance on self-reported physical activity and derived BMI categories, the cross-sectional nature of the data, smaller sample size for physical activity variables, and the absence of survey weight application. Nevertheless, with a sample of 1,639 adults and a strong distribution across activity groups, the study demonstrates robust associations and provides relevant evidence supporting public health interventions.</w:t>
      </w:r>
    </w:p>
    <w:p w14:paraId="5E4F6157" w14:textId="31D71638" w:rsidR="00AF7049" w:rsidRPr="00AF7049" w:rsidRDefault="00AF7049" w:rsidP="00AF7049">
      <w:pPr>
        <w:spacing w:line="240" w:lineRule="auto"/>
        <w:rPr>
          <w:rFonts w:ascii="Times New Roman" w:hAnsi="Times New Roman" w:cs="Times New Roman"/>
          <w:sz w:val="24"/>
          <w:szCs w:val="24"/>
        </w:rPr>
      </w:pPr>
    </w:p>
    <w:p w14:paraId="265620D2" w14:textId="237C415B" w:rsidR="00AF7049" w:rsidRPr="00AF7049" w:rsidRDefault="00AF7049" w:rsidP="00AF7049">
      <w:pPr>
        <w:spacing w:line="240" w:lineRule="auto"/>
        <w:rPr>
          <w:rFonts w:ascii="Times New Roman" w:hAnsi="Times New Roman" w:cs="Times New Roman"/>
          <w:b/>
          <w:bCs/>
          <w:sz w:val="28"/>
          <w:szCs w:val="28"/>
        </w:rPr>
      </w:pPr>
      <w:r w:rsidRPr="00AF7049">
        <w:rPr>
          <w:rFonts w:ascii="Times New Roman" w:hAnsi="Times New Roman" w:cs="Times New Roman"/>
          <w:b/>
          <w:bCs/>
          <w:sz w:val="28"/>
          <w:szCs w:val="28"/>
        </w:rPr>
        <w:t xml:space="preserve">References </w:t>
      </w:r>
    </w:p>
    <w:p w14:paraId="5135E670"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Statistics Canada. (2023). Canadian Community Health Survey (CCHS) 2022 Public Use Microdata File User Guide.</w:t>
      </w:r>
    </w:p>
    <w:p w14:paraId="1BD641D6"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World Health Organization. (2020). Global Recommendations on Physical Activity for Health.</w:t>
      </w:r>
    </w:p>
    <w:p w14:paraId="05A87ED8"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t>Katzmarzyk, P., &amp; Ardern, C. (2004). Physical activity levels and obesity in Canada. Obesity Research, 12(1), 12–25.</w:t>
      </w:r>
    </w:p>
    <w:p w14:paraId="2C16DE9D" w14:textId="77777777" w:rsidR="00AF7049" w:rsidRPr="00AF7049" w:rsidRDefault="00AF7049" w:rsidP="00AF7049">
      <w:pPr>
        <w:spacing w:line="240" w:lineRule="auto"/>
        <w:rPr>
          <w:rFonts w:ascii="Times New Roman" w:hAnsi="Times New Roman" w:cs="Times New Roman"/>
          <w:sz w:val="24"/>
          <w:szCs w:val="24"/>
        </w:rPr>
      </w:pPr>
      <w:proofErr w:type="spellStart"/>
      <w:r w:rsidRPr="00AF7049">
        <w:rPr>
          <w:rFonts w:ascii="Times New Roman" w:hAnsi="Times New Roman" w:cs="Times New Roman"/>
          <w:sz w:val="24"/>
          <w:szCs w:val="24"/>
        </w:rPr>
        <w:t>Garriguet</w:t>
      </w:r>
      <w:proofErr w:type="spellEnd"/>
      <w:r w:rsidRPr="00AF7049">
        <w:rPr>
          <w:rFonts w:ascii="Times New Roman" w:hAnsi="Times New Roman" w:cs="Times New Roman"/>
          <w:sz w:val="24"/>
          <w:szCs w:val="24"/>
        </w:rPr>
        <w:t>, D. (2008). Obesity and physical activity in Canada. Health Reports, 19(2).</w:t>
      </w:r>
    </w:p>
    <w:p w14:paraId="04670514" w14:textId="77777777" w:rsidR="00AF7049" w:rsidRPr="00AF7049" w:rsidRDefault="00AF7049" w:rsidP="00AF7049">
      <w:pPr>
        <w:spacing w:line="240" w:lineRule="auto"/>
        <w:rPr>
          <w:rFonts w:ascii="Times New Roman" w:hAnsi="Times New Roman" w:cs="Times New Roman"/>
          <w:sz w:val="24"/>
          <w:szCs w:val="24"/>
        </w:rPr>
      </w:pPr>
      <w:r w:rsidRPr="00AF7049">
        <w:rPr>
          <w:rFonts w:ascii="Times New Roman" w:hAnsi="Times New Roman" w:cs="Times New Roman"/>
          <w:sz w:val="24"/>
          <w:szCs w:val="24"/>
        </w:rPr>
        <w:lastRenderedPageBreak/>
        <w:t>Ehrenberg, A. S. C. (1982). Writing technical papers or reports. American Statistician, 36, 326–329.</w:t>
      </w:r>
    </w:p>
    <w:p w14:paraId="2E4ECE56" w14:textId="364E6BD9" w:rsidR="002C3D95" w:rsidRPr="00DA08BC" w:rsidRDefault="002C3D95" w:rsidP="002C3D95">
      <w:pPr>
        <w:spacing w:line="240" w:lineRule="auto"/>
        <w:rPr>
          <w:rFonts w:ascii="Times New Roman" w:hAnsi="Times New Roman" w:cs="Times New Roman"/>
          <w:sz w:val="24"/>
          <w:szCs w:val="24"/>
        </w:rPr>
      </w:pPr>
    </w:p>
    <w:sectPr w:rsidR="002C3D95" w:rsidRPr="00DA08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E40"/>
    <w:multiLevelType w:val="multilevel"/>
    <w:tmpl w:val="6AEC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179FF"/>
    <w:multiLevelType w:val="multilevel"/>
    <w:tmpl w:val="F3A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25929"/>
    <w:multiLevelType w:val="multilevel"/>
    <w:tmpl w:val="667A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B3670"/>
    <w:multiLevelType w:val="multilevel"/>
    <w:tmpl w:val="58949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00D06"/>
    <w:multiLevelType w:val="multilevel"/>
    <w:tmpl w:val="BAF0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51258"/>
    <w:multiLevelType w:val="multilevel"/>
    <w:tmpl w:val="FA06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554BC"/>
    <w:multiLevelType w:val="multilevel"/>
    <w:tmpl w:val="0F2E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62208"/>
    <w:multiLevelType w:val="multilevel"/>
    <w:tmpl w:val="A8126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010BC"/>
    <w:multiLevelType w:val="multilevel"/>
    <w:tmpl w:val="3A2A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27582"/>
    <w:multiLevelType w:val="multilevel"/>
    <w:tmpl w:val="9E00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668E6"/>
    <w:multiLevelType w:val="multilevel"/>
    <w:tmpl w:val="19C8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F7D46"/>
    <w:multiLevelType w:val="multilevel"/>
    <w:tmpl w:val="4ED6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77B50"/>
    <w:multiLevelType w:val="multilevel"/>
    <w:tmpl w:val="E9E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62321"/>
    <w:multiLevelType w:val="multilevel"/>
    <w:tmpl w:val="C71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C54691"/>
    <w:multiLevelType w:val="multilevel"/>
    <w:tmpl w:val="EACC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7540E"/>
    <w:multiLevelType w:val="multilevel"/>
    <w:tmpl w:val="C690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A2449"/>
    <w:multiLevelType w:val="multilevel"/>
    <w:tmpl w:val="798A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E08CB"/>
    <w:multiLevelType w:val="multilevel"/>
    <w:tmpl w:val="23969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E91631"/>
    <w:multiLevelType w:val="multilevel"/>
    <w:tmpl w:val="2C74C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AB68B4"/>
    <w:multiLevelType w:val="multilevel"/>
    <w:tmpl w:val="3686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501539"/>
    <w:multiLevelType w:val="multilevel"/>
    <w:tmpl w:val="B956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E0486"/>
    <w:multiLevelType w:val="multilevel"/>
    <w:tmpl w:val="57D0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272E31"/>
    <w:multiLevelType w:val="multilevel"/>
    <w:tmpl w:val="A262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62BE3"/>
    <w:multiLevelType w:val="multilevel"/>
    <w:tmpl w:val="DC42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045E5"/>
    <w:multiLevelType w:val="multilevel"/>
    <w:tmpl w:val="68D2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A6C57"/>
    <w:multiLevelType w:val="multilevel"/>
    <w:tmpl w:val="2CD0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E25892"/>
    <w:multiLevelType w:val="multilevel"/>
    <w:tmpl w:val="334C3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E4A9C"/>
    <w:multiLevelType w:val="multilevel"/>
    <w:tmpl w:val="1A64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A10574"/>
    <w:multiLevelType w:val="multilevel"/>
    <w:tmpl w:val="C6E6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3B3774"/>
    <w:multiLevelType w:val="multilevel"/>
    <w:tmpl w:val="1B4A2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637C6E"/>
    <w:multiLevelType w:val="multilevel"/>
    <w:tmpl w:val="C542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AE3FC7"/>
    <w:multiLevelType w:val="multilevel"/>
    <w:tmpl w:val="D96E0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1B0156"/>
    <w:multiLevelType w:val="multilevel"/>
    <w:tmpl w:val="DEE2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F330BE"/>
    <w:multiLevelType w:val="multilevel"/>
    <w:tmpl w:val="3A02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427013"/>
    <w:multiLevelType w:val="multilevel"/>
    <w:tmpl w:val="CE066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9D729D"/>
    <w:multiLevelType w:val="multilevel"/>
    <w:tmpl w:val="7BA4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7B0A8A"/>
    <w:multiLevelType w:val="multilevel"/>
    <w:tmpl w:val="F3B4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9A7C7D"/>
    <w:multiLevelType w:val="multilevel"/>
    <w:tmpl w:val="45CA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691388"/>
    <w:multiLevelType w:val="multilevel"/>
    <w:tmpl w:val="0008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A3697F"/>
    <w:multiLevelType w:val="multilevel"/>
    <w:tmpl w:val="D7DA3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FA5F89"/>
    <w:multiLevelType w:val="multilevel"/>
    <w:tmpl w:val="9A54F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532DB0"/>
    <w:multiLevelType w:val="multilevel"/>
    <w:tmpl w:val="C69A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981938"/>
    <w:multiLevelType w:val="multilevel"/>
    <w:tmpl w:val="537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B10C5D"/>
    <w:multiLevelType w:val="multilevel"/>
    <w:tmpl w:val="FE6C3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7D4DDD"/>
    <w:multiLevelType w:val="multilevel"/>
    <w:tmpl w:val="C09E2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607154"/>
    <w:multiLevelType w:val="multilevel"/>
    <w:tmpl w:val="D36E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665A2F"/>
    <w:multiLevelType w:val="multilevel"/>
    <w:tmpl w:val="0760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1265C1"/>
    <w:multiLevelType w:val="multilevel"/>
    <w:tmpl w:val="D3FCF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684D03"/>
    <w:multiLevelType w:val="multilevel"/>
    <w:tmpl w:val="6C0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FE4406"/>
    <w:multiLevelType w:val="multilevel"/>
    <w:tmpl w:val="C8BE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5C70DD"/>
    <w:multiLevelType w:val="multilevel"/>
    <w:tmpl w:val="3364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A41D6F"/>
    <w:multiLevelType w:val="multilevel"/>
    <w:tmpl w:val="E2DCA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4467E1"/>
    <w:multiLevelType w:val="multilevel"/>
    <w:tmpl w:val="BE02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A61D84"/>
    <w:multiLevelType w:val="multilevel"/>
    <w:tmpl w:val="000C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4071BA"/>
    <w:multiLevelType w:val="multilevel"/>
    <w:tmpl w:val="7FA2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4C44EC"/>
    <w:multiLevelType w:val="multilevel"/>
    <w:tmpl w:val="89C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9706B0"/>
    <w:multiLevelType w:val="multilevel"/>
    <w:tmpl w:val="5BB6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1A0FEC"/>
    <w:multiLevelType w:val="multilevel"/>
    <w:tmpl w:val="0F5A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D335411"/>
    <w:multiLevelType w:val="multilevel"/>
    <w:tmpl w:val="8C40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280098">
    <w:abstractNumId w:val="18"/>
  </w:num>
  <w:num w:numId="2" w16cid:durableId="1534538505">
    <w:abstractNumId w:val="27"/>
  </w:num>
  <w:num w:numId="3" w16cid:durableId="511842327">
    <w:abstractNumId w:val="36"/>
  </w:num>
  <w:num w:numId="4" w16cid:durableId="968558467">
    <w:abstractNumId w:val="17"/>
  </w:num>
  <w:num w:numId="5" w16cid:durableId="1692803053">
    <w:abstractNumId w:val="39"/>
  </w:num>
  <w:num w:numId="6" w16cid:durableId="856817733">
    <w:abstractNumId w:val="49"/>
  </w:num>
  <w:num w:numId="7" w16cid:durableId="336083702">
    <w:abstractNumId w:val="54"/>
  </w:num>
  <w:num w:numId="8" w16cid:durableId="1404764729">
    <w:abstractNumId w:val="23"/>
  </w:num>
  <w:num w:numId="9" w16cid:durableId="1984894173">
    <w:abstractNumId w:val="50"/>
  </w:num>
  <w:num w:numId="10" w16cid:durableId="1035695714">
    <w:abstractNumId w:val="11"/>
  </w:num>
  <w:num w:numId="11" w16cid:durableId="1152673271">
    <w:abstractNumId w:val="40"/>
  </w:num>
  <w:num w:numId="12" w16cid:durableId="1329287953">
    <w:abstractNumId w:val="0"/>
  </w:num>
  <w:num w:numId="13" w16cid:durableId="1023822602">
    <w:abstractNumId w:val="41"/>
  </w:num>
  <w:num w:numId="14" w16cid:durableId="606540626">
    <w:abstractNumId w:val="8"/>
  </w:num>
  <w:num w:numId="15" w16cid:durableId="1918709457">
    <w:abstractNumId w:val="38"/>
  </w:num>
  <w:num w:numId="16" w16cid:durableId="986204512">
    <w:abstractNumId w:val="26"/>
  </w:num>
  <w:num w:numId="17" w16cid:durableId="1528324886">
    <w:abstractNumId w:val="25"/>
  </w:num>
  <w:num w:numId="18" w16cid:durableId="660163455">
    <w:abstractNumId w:val="13"/>
  </w:num>
  <w:num w:numId="19" w16cid:durableId="1053382910">
    <w:abstractNumId w:val="9"/>
  </w:num>
  <w:num w:numId="20" w16cid:durableId="127479322">
    <w:abstractNumId w:val="43"/>
  </w:num>
  <w:num w:numId="21" w16cid:durableId="627053916">
    <w:abstractNumId w:val="32"/>
  </w:num>
  <w:num w:numId="22" w16cid:durableId="1124740069">
    <w:abstractNumId w:val="16"/>
  </w:num>
  <w:num w:numId="23" w16cid:durableId="395318442">
    <w:abstractNumId w:val="19"/>
  </w:num>
  <w:num w:numId="24" w16cid:durableId="57829401">
    <w:abstractNumId w:val="44"/>
  </w:num>
  <w:num w:numId="25" w16cid:durableId="873537537">
    <w:abstractNumId w:val="34"/>
  </w:num>
  <w:num w:numId="26" w16cid:durableId="280963094">
    <w:abstractNumId w:val="31"/>
  </w:num>
  <w:num w:numId="27" w16cid:durableId="1838616374">
    <w:abstractNumId w:val="3"/>
  </w:num>
  <w:num w:numId="28" w16cid:durableId="1565214796">
    <w:abstractNumId w:val="35"/>
  </w:num>
  <w:num w:numId="29" w16cid:durableId="854805104">
    <w:abstractNumId w:val="37"/>
  </w:num>
  <w:num w:numId="30" w16cid:durableId="916474054">
    <w:abstractNumId w:val="47"/>
  </w:num>
  <w:num w:numId="31" w16cid:durableId="581258113">
    <w:abstractNumId w:val="7"/>
  </w:num>
  <w:num w:numId="32" w16cid:durableId="1886991157">
    <w:abstractNumId w:val="30"/>
  </w:num>
  <w:num w:numId="33" w16cid:durableId="1459684605">
    <w:abstractNumId w:val="24"/>
  </w:num>
  <w:num w:numId="34" w16cid:durableId="267734942">
    <w:abstractNumId w:val="58"/>
  </w:num>
  <w:num w:numId="35" w16cid:durableId="1907909740">
    <w:abstractNumId w:val="22"/>
  </w:num>
  <w:num w:numId="36" w16cid:durableId="148326334">
    <w:abstractNumId w:val="1"/>
  </w:num>
  <w:num w:numId="37" w16cid:durableId="416249221">
    <w:abstractNumId w:val="51"/>
  </w:num>
  <w:num w:numId="38" w16cid:durableId="676999279">
    <w:abstractNumId w:val="33"/>
  </w:num>
  <w:num w:numId="39" w16cid:durableId="2064327639">
    <w:abstractNumId w:val="6"/>
  </w:num>
  <w:num w:numId="40" w16cid:durableId="1532106453">
    <w:abstractNumId w:val="20"/>
  </w:num>
  <w:num w:numId="41" w16cid:durableId="1983534028">
    <w:abstractNumId w:val="4"/>
  </w:num>
  <w:num w:numId="42" w16cid:durableId="964509898">
    <w:abstractNumId w:val="57"/>
  </w:num>
  <w:num w:numId="43" w16cid:durableId="895748102">
    <w:abstractNumId w:val="28"/>
  </w:num>
  <w:num w:numId="44" w16cid:durableId="1935284605">
    <w:abstractNumId w:val="21"/>
  </w:num>
  <w:num w:numId="45" w16cid:durableId="1874537863">
    <w:abstractNumId w:val="10"/>
  </w:num>
  <w:num w:numId="46" w16cid:durableId="764231012">
    <w:abstractNumId w:val="29"/>
  </w:num>
  <w:num w:numId="47" w16cid:durableId="882716939">
    <w:abstractNumId w:val="42"/>
  </w:num>
  <w:num w:numId="48" w16cid:durableId="808323802">
    <w:abstractNumId w:val="15"/>
  </w:num>
  <w:num w:numId="49" w16cid:durableId="863517465">
    <w:abstractNumId w:val="53"/>
  </w:num>
  <w:num w:numId="50" w16cid:durableId="565144673">
    <w:abstractNumId w:val="56"/>
  </w:num>
  <w:num w:numId="51" w16cid:durableId="1879318692">
    <w:abstractNumId w:val="5"/>
  </w:num>
  <w:num w:numId="52" w16cid:durableId="1903448716">
    <w:abstractNumId w:val="45"/>
  </w:num>
  <w:num w:numId="53" w16cid:durableId="275451280">
    <w:abstractNumId w:val="2"/>
  </w:num>
  <w:num w:numId="54" w16cid:durableId="1527331098">
    <w:abstractNumId w:val="55"/>
  </w:num>
  <w:num w:numId="55" w16cid:durableId="1574780712">
    <w:abstractNumId w:val="46"/>
  </w:num>
  <w:num w:numId="56" w16cid:durableId="1759331605">
    <w:abstractNumId w:val="14"/>
  </w:num>
  <w:num w:numId="57" w16cid:durableId="1030255916">
    <w:abstractNumId w:val="52"/>
  </w:num>
  <w:num w:numId="58" w16cid:durableId="1751653127">
    <w:abstractNumId w:val="48"/>
  </w:num>
  <w:num w:numId="59" w16cid:durableId="17968674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AC"/>
    <w:rsid w:val="000529B1"/>
    <w:rsid w:val="00062148"/>
    <w:rsid w:val="00112462"/>
    <w:rsid w:val="002C3D95"/>
    <w:rsid w:val="00344F6F"/>
    <w:rsid w:val="0044187C"/>
    <w:rsid w:val="00471738"/>
    <w:rsid w:val="004C4574"/>
    <w:rsid w:val="009454B8"/>
    <w:rsid w:val="00AF7049"/>
    <w:rsid w:val="00B0408C"/>
    <w:rsid w:val="00B506AC"/>
    <w:rsid w:val="00C375E5"/>
    <w:rsid w:val="00DA08BC"/>
    <w:rsid w:val="00E50E38"/>
    <w:rsid w:val="00E8404E"/>
    <w:rsid w:val="00F45E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F2473"/>
  <w15:chartTrackingRefBased/>
  <w15:docId w15:val="{299774A2-1552-426C-BB30-895536209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6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6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6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6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6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6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6AC"/>
    <w:rPr>
      <w:rFonts w:eastAsiaTheme="majorEastAsia" w:cstheme="majorBidi"/>
      <w:color w:val="272727" w:themeColor="text1" w:themeTint="D8"/>
    </w:rPr>
  </w:style>
  <w:style w:type="paragraph" w:styleId="Title">
    <w:name w:val="Title"/>
    <w:basedOn w:val="Normal"/>
    <w:next w:val="Normal"/>
    <w:link w:val="TitleChar"/>
    <w:uiPriority w:val="10"/>
    <w:qFormat/>
    <w:rsid w:val="00B50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6AC"/>
    <w:pPr>
      <w:spacing w:before="160"/>
      <w:jc w:val="center"/>
    </w:pPr>
    <w:rPr>
      <w:i/>
      <w:iCs/>
      <w:color w:val="404040" w:themeColor="text1" w:themeTint="BF"/>
    </w:rPr>
  </w:style>
  <w:style w:type="character" w:customStyle="1" w:styleId="QuoteChar">
    <w:name w:val="Quote Char"/>
    <w:basedOn w:val="DefaultParagraphFont"/>
    <w:link w:val="Quote"/>
    <w:uiPriority w:val="29"/>
    <w:rsid w:val="00B506AC"/>
    <w:rPr>
      <w:i/>
      <w:iCs/>
      <w:color w:val="404040" w:themeColor="text1" w:themeTint="BF"/>
    </w:rPr>
  </w:style>
  <w:style w:type="paragraph" w:styleId="ListParagraph">
    <w:name w:val="List Paragraph"/>
    <w:basedOn w:val="Normal"/>
    <w:uiPriority w:val="34"/>
    <w:qFormat/>
    <w:rsid w:val="00B506AC"/>
    <w:pPr>
      <w:ind w:left="720"/>
      <w:contextualSpacing/>
    </w:pPr>
  </w:style>
  <w:style w:type="character" w:styleId="IntenseEmphasis">
    <w:name w:val="Intense Emphasis"/>
    <w:basedOn w:val="DefaultParagraphFont"/>
    <w:uiPriority w:val="21"/>
    <w:qFormat/>
    <w:rsid w:val="00B506AC"/>
    <w:rPr>
      <w:i/>
      <w:iCs/>
      <w:color w:val="0F4761" w:themeColor="accent1" w:themeShade="BF"/>
    </w:rPr>
  </w:style>
  <w:style w:type="paragraph" w:styleId="IntenseQuote">
    <w:name w:val="Intense Quote"/>
    <w:basedOn w:val="Normal"/>
    <w:next w:val="Normal"/>
    <w:link w:val="IntenseQuoteChar"/>
    <w:uiPriority w:val="30"/>
    <w:qFormat/>
    <w:rsid w:val="00B50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6AC"/>
    <w:rPr>
      <w:i/>
      <w:iCs/>
      <w:color w:val="0F4761" w:themeColor="accent1" w:themeShade="BF"/>
    </w:rPr>
  </w:style>
  <w:style w:type="character" w:styleId="IntenseReference">
    <w:name w:val="Intense Reference"/>
    <w:basedOn w:val="DefaultParagraphFont"/>
    <w:uiPriority w:val="32"/>
    <w:qFormat/>
    <w:rsid w:val="00B506AC"/>
    <w:rPr>
      <w:b/>
      <w:bCs/>
      <w:smallCaps/>
      <w:color w:val="0F4761" w:themeColor="accent1" w:themeShade="BF"/>
      <w:spacing w:val="5"/>
    </w:rPr>
  </w:style>
  <w:style w:type="character" w:styleId="PlaceholderText">
    <w:name w:val="Placeholder Text"/>
    <w:basedOn w:val="DefaultParagraphFont"/>
    <w:uiPriority w:val="99"/>
    <w:semiHidden/>
    <w:rsid w:val="0044187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7</Pages>
  <Words>2285</Words>
  <Characters>13026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Mudabbir ahmed</dc:creator>
  <cp:keywords/>
  <dc:description/>
  <cp:lastModifiedBy>Arham Ajaz Syed</cp:lastModifiedBy>
  <cp:revision>4</cp:revision>
  <dcterms:created xsi:type="dcterms:W3CDTF">2025-11-14T08:41:00Z</dcterms:created>
  <dcterms:modified xsi:type="dcterms:W3CDTF">2025-12-05T00:43:00Z</dcterms:modified>
</cp:coreProperties>
</file>