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JAIBB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2B2B2B"/>
          <w:sz w:val="26"/>
          <w:szCs w:val="26"/>
        </w:rPr>
        <w:t xml:space="preserve">Laws and Practice of General Banking (LPGB)</w:t>
      </w:r>
    </w:p>
    <w:p>
      <w:pPr>
        <w:spacing w:before="600"/>
        <w:jc w:val="center"/>
      </w:pPr>
      <w:r>
        <w:rPr>
          <w:rFonts w:ascii="Vrinda" w:cs="Vrinda" w:eastAsia="Vrinda" w:hAnsi="Vrinda"/>
          <w:b/>
          <w:bCs/>
          <w:color w:val="0B1220"/>
          <w:sz w:val="40"/>
          <w:szCs w:val="40"/>
        </w:rPr>
        <w:t xml:space="preserve">7th Banking Professional Examination, 2025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1F4E79"/>
          <w:sz w:val="28"/>
          <w:szCs w:val="28"/>
        </w:rPr>
        <w:t xml:space="preserve">7th Banking Professional Examination, 2025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30"/>
          <w:szCs w:val="30"/>
        </w:rPr>
        <w:t xml:space="preserve">Part A - Broad Questions (Marks: 20)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2B2B2B"/>
          <w:sz w:val="26"/>
          <w:szCs w:val="26"/>
        </w:rPr>
        <w:t xml:space="preserve">Complete Module-wise Guide</w:t>
      </w:r>
    </w:p>
    <w:p>
      <w:pPr>
        <w:spacing w:before="30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Based on Past Exam Analysis (96th - 99th, 5th &amp; 6th)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Subject Code: 104 | Full Marks: 100 | Pass Marks: 45 | Time: 3 Hours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2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Past Exam Analysis - Broad Questions (Part A, 20 Marks)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Topic 1: Artha Rin Adalat Ain, 2003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Question [Marks: 20]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Answer</w:t>
          </w:r>
          <w:r>
            <w:tab/>
          </w:r>
          <w:r>
            <w:t>2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Key Provisions Table</w:t>
          </w:r>
          <w:r>
            <w:tab/>
          </w:r>
          <w:r>
            <w:t>2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Loan Recovery Process Flowchart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Time Limit for Filing Suit (Sec 46)</w:t>
          </w:r>
          <w:r>
            <w:tab/>
          </w:r>
          <w:r>
            <w:t>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Auction Sale Procedure (Sec 33)</w:t>
          </w:r>
          <w:r>
            <w:tab/>
          </w:r>
          <w:r>
            <w:t>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Appeal and Revision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Topic 2: Bank Company Act, 1991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Question [Marks: 20]</w:t>
          </w:r>
          <w:r>
            <w:tab/>
          </w:r>
          <w:r>
            <w:t>5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Answer (a): Director Vacancy Situations</w:t>
          </w:r>
          <w:r>
            <w:tab/>
          </w:r>
          <w:r>
            <w:t>5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Answer (b): Restrictions on Loans and Advances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Answer (c): PCA - Section 77 Ka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Capital Adequacy Requirements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Topic 3: Banker-Customer Relationship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Question [Marks: 20]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General Relationship - Debtor and Creditor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Special Relationships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Rights and Duties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Exceptions to Secrecy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Topic 4: Negotiable Instruments Act, 1881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Question [Marks: 20]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Crossing of Cheque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Types of Crossing</w:t>
          </w:r>
          <w:r>
            <w:tab/>
          </w:r>
          <w:r>
            <w:t>11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Endorsement (Sec 15-16)</w:t>
          </w:r>
          <w:r>
            <w:tab/>
          </w:r>
          <w:r>
            <w:t>11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Payment vs Holder in Due Course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Topic 5: FERA, 1947 &amp; KYC/CDD/EDD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Question [Marks: 20]</w:t>
          </w:r>
          <w:r>
            <w:tab/>
          </w:r>
          <w:r>
            <w:t>13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FERA 1947</w:t>
          </w:r>
          <w:r>
            <w:tab/>
          </w:r>
          <w:r>
            <w:t>13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Authorized Dealers vs Money Changers</w:t>
          </w:r>
          <w:r>
            <w:tab/>
          </w:r>
          <w:r>
            <w:t>14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KYC, CDD, EDD</w:t>
          </w:r>
          <w:r>
            <w:tab/>
          </w:r>
          <w:r>
            <w:t>14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KYC Documents Required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Topic 6: Hundi &amp; Guarantee vs Indemnity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Question [Marks: 20]</w:t>
          </w:r>
          <w:r>
            <w:tab/>
          </w:r>
          <w:r>
            <w:t>15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Hundi</w:t>
          </w:r>
          <w:r>
            <w:tab/>
          </w:r>
          <w:r>
            <w:t>15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Guarantee vs Indemnity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Quick Reference - Important Legal Sections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Note: Right-click the Table of Contents and select “Update Field” to show correct page numbers.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Past Exam Analysis - Broad Questions (Part A, 20 Marks)</w:t>
      </w:r>
    </w:p>
    <w:p>
      <w:pPr>
        <w:spacing w:before="1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700"/>
        <w:gridCol w:w="700"/>
        <w:gridCol w:w="700"/>
        <w:gridCol w:w="700"/>
        <w:gridCol w:w="700"/>
        <w:gridCol w:w="700"/>
        <w:gridCol w:w="90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Module / Topic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96th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97th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98th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99th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5th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6th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7th Prob.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Artha Rin Adalat Ain, 2003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BCA 1991 - Credit/Director/PCA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Banker-Customer Relationship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NI Act - Crossing/Endorsement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FERA 1947 + KYC/CDD/EDD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Hundi + Guarantee vs Indemnity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MLPA 2012 + CTR/STR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Bankruptcy Act 1997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Registration Act / Gift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Dormant Account / Positive Pay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100"/>
      </w:pP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HIGH = Very likely for 7th exam | MEDIUM = Possible | LOW = Already covered in 6th exam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Topic 1: Artha Rin Adalat Ain, 2003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Money Loan Court Act, 2003 - Loan Recovery Law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Question [Marks: 20]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(a) Discuss the main provisions of Artha Rin Adalat Ain, 2003. What duties should banker follow before filing suit? [10]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(b) Describe the auction sale procedure and appeal/revision provisions. How does this law help in loan recovery? [10]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Artha Rin Adalat Ain, 2003 is a special law enacted for speedy recovery of classified loans. It has 60 sections in 8 chapters. This law supersedes the Civil Procedure Code for loan recovery matters. Suit minimum value: Tk 1,00,000 (Sec 4).</w:t>
      </w:r>
    </w:p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Key Provisions Table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Provision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Minimum suit value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Tk 1,00,000 (1 lakh)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6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Plaint format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Plaint + Affidavit (treated as substantive evidence)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7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Summons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Must be served within 15 days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9-10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Written reply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Defendant must reply within 40 days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Sale before suit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Sell lien/pledge/hypothecation securities FIRST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16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Judgment time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Within 10 days of hearing completion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17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Case settlement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90 days (30 + 30 extension)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28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Execution case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Must file within 360 days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33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Auction sale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Through sealed tenders, 15 days notice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34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Civil imprisonment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Up to 6 months for non-payment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Appeal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50% decretal amount, 90 days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Revision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75% decretal amount, 60 days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46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Filing time limit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10%/15%/25% in 1st/2nd/3rd year</w:t>
            </w:r>
          </w:p>
        </w:tc>
      </w:tr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47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Suit value limit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Principal + max 200% interest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Loan Recovery Process Flowchart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flowchart" descr="Process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Time Limit for Filing Suit (Sec 46)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Minimum Repayment Required</w:t>
            </w:r>
          </w:p>
        </w:tc>
        <w:tc>
          <w:tcPr>
            <w:tcW w:type="dxa" w:w="36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Time to File Suit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1st Year</w:t>
            </w:r>
          </w:p>
        </w:tc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10% of scheduled amount</w:t>
            </w:r>
          </w:p>
        </w:tc>
        <w:tc>
          <w:tcPr>
            <w:tcW w:type="dxa" w:w="36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Within next 1 year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2nd Year</w:t>
            </w:r>
          </w:p>
        </w:tc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15% of scheduled amount</w:t>
            </w:r>
          </w:p>
        </w:tc>
        <w:tc>
          <w:tcPr>
            <w:tcW w:type="dxa" w:w="36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Within next 1 year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3rd Year</w:t>
            </w:r>
          </w:p>
        </w:tc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25% of scheduled amount</w:t>
            </w:r>
          </w:p>
        </w:tc>
        <w:tc>
          <w:tcPr>
            <w:tcW w:type="dxa" w:w="36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Within next 1 year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Less than 3 years total</w:t>
            </w:r>
          </w:p>
        </w:tc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Less than 20% total</w:t>
            </w:r>
          </w:p>
        </w:tc>
        <w:tc>
          <w:tcPr>
            <w:tcW w:type="dxa" w:w="36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Within next 1 year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Auction Sale Procedure (Sec 33)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Step 1: Publish notice - 15 days in national Bangla daily + local paper + court notice board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Step 2: Receive sealed tenders from bidders with bank draft/pay order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Step 3: Security deposit - 20% (up to Tk 10 lac) / 15% (10-50 lac) / 10% (above 50 lac)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Step 4: Open tenders, evaluate, accept highest valid bid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Step 5: Payment - 30/60/90 days respectively for the three slabs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Step 6: If bidder defaults, security money forfeited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Step 7: Court issues title deed certificate to decree holder</w:t>
      </w:r>
    </w:p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Appeal and Revision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Matter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Appeal (Sec 41)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Revision (Sec 42)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Deposit Required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50% of decretal amount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75% of decretal amount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Forum (&lt; Tk 50 lac)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District Judge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Appropriate court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Forum (&gt; Tk 50 lac)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High Court Division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High Court Division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Time Limit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90 days + 30 extension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60 days + 30 extension</w:t>
            </w:r>
          </w:p>
        </w:tc>
      </w:tr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Interest Rate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16%</w:t>
            </w:r>
          </w:p>
        </w:tc>
        <w:tc>
          <w:tcPr>
            <w:tcW w:type="dxa" w:w="343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16%</w:t>
            </w:r>
          </w:p>
        </w:tc>
      </w:tr>
    </w:tbl>
    <w:p>
      <w:pPr>
        <w:spacing w:before="80"/>
      </w:pP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Interest rates: Normal decree = 12% | Appeal/Revision = 16% | Higher court = 18% | Writ discharged = 25%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Topic 2: Bank Company Act, 1991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Credit Restrictions, Director Vacancy &amp; Prompt Corrective Action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Question [Marks: 20]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(a) Under what situations does a director's office fall vacant per BCA 1991? [6]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(b) State the general limitations and restrictions on loans and advances. [7]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(c) What is Prompt Corrective Action (PCA) under Section 77 Ka? [7]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(a): Director Vacancy Situations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00"/>
        <w:gridCol w:w="5960"/>
        <w:gridCol w:w="2700"/>
      </w:tblGrid>
      <w:tr>
        <w:trPr>
          <w:tblHeader/>
        </w:trP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Ground for Vacancy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Legal Basis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Convicted for offence involving moral turpitude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14(2)(a)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Unsound mind / mental incapacity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14(2)(b)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Undischarged insolvent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14(2)(c)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Fails to pay call money on shares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14(2)(d)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Removal by shareholders (special resolution)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15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Holds notable shares (&gt;5%) without BB approval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14-Ka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Resignation by director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Death of director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Failure to attend 3 consecutive board meetings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14(2)</w:t>
            </w:r>
          </w:p>
        </w:tc>
      </w:tr>
      <w:tr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Director of bank classified as willful defaulter</w:t>
            </w:r>
          </w:p>
        </w:tc>
        <w:tc>
          <w:tcPr>
            <w:tcW w:type="dxa" w:w="2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27KaKa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(b): Restrictions on Loans and Advances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800"/>
        <w:gridCol w:w="40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Restriction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Punishment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27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Loans against own shares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No loan against security of bank's own shares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27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Unsecured to directors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No unsecured loans to directors/family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27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Director-related loans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Majority approval (excl. concerned director)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27KaKa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Defaulters list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No fresh loan to any loan defaulter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28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Respite of loans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BB approval mandatory for director-related respite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3 years + Tk 30,000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29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BB control on advances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BB sets: credit ceilings, small loan ratio, purpose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13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Capital maintenance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Min CAR 10% + 2.5% CCB = 12.5%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Penalty per Sec 13(7)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22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Dividend payment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No dividend without writing off expenses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14-Ka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Share holding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Max 10% per family, 5% notable shares BB approval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Share forfeiture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25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CRR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Cash Reserve Ratio maintained with BB (4%)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Penalty</w:t>
            </w:r>
          </w:p>
        </w:tc>
      </w:tr>
      <w:tr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33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SLR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13% conventional, 5.5% Islamic banking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Penalty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(c): Prompt Corrective Action (PCA) - Section 77 Ka (2023 Amendment)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Section 77 Ka of the BCA (Amendment) Act, 2023 empowers Bangladesh Bank to take early action for proper management of weak bank companies. Key features: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1. Early Intervention: BB can act BEFORE a bank becomes critically weak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2. Resolution Measures: BB can order merger, reconstruction, or restructuring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3. Capital Conservation Buffer (CCB): Banks must maintain 2.5% buffer above minimum CAR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4. Regulatory Power: BB can restrict business, impose penalties, remove directors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5. Merger Authority: BB can direct merger of weak banks with stronger ones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6. Good Governance: Ensures discipline through timely intervention</w:t>
      </w:r>
    </w:p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Capital Adequacy Requirements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Minimum Required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CET1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4.5% of RWA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Common Equity Tier 1 Capital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Tier-1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6.0% of RWA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Core Capital (CET1 + AT1)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Total CAR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10.0% of RWA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Tier-1 + Tier-2 Capital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CCB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2.5% of RWA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Capital Conservation Buffer (in CET1 form)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Effective CAR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12.5% of RWA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Total CAR + CCB combined</w:t>
            </w:r>
          </w:p>
        </w:tc>
      </w:tr>
    </w:tbl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Formula: CAR = (Total Eligible Capital / Total Risk Weighted Assets) x 100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Topic 3: Banker-Customer Relationship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Rights, Duties &amp; Special Relationships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Question [Marks: 20]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(a) Describe General and Special relationship between banker and customer. [10]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(b) What are the rights and duties of banker and customer? [10]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(a): General Relationship - Debtor and Creditor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The fundamental relationship is DEBTOR-CREDITOR. When a customer deposits money, the bank is DEBTOR and customer is CREDITOR. When the bank lends, the roles reverse. Key point: Bank as debtor must pay ON DEMAND.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When Depositing Money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When Borrowing Money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is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DEBTOR (owes money to customer)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CREDITOR (customer owes bank)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Customer is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CREDITOR (bank owes customer)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DEBTOR (owes bank)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Nature of debt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Payable on DEMAND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Payable per SCHEDULE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Obligation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must pay when customer demands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Customer must repay per loan terms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Special Relationships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00"/>
        <w:gridCol w:w="2400"/>
        <w:gridCol w:w="2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When It Arises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Bailor - Bailee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Safe custody / Locker service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Valuables in bank locker</w:t>
            </w:r>
          </w:p>
        </w:tc>
      </w:tr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Principal - Agent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Collection of cheques/bills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collects outstation cheques</w:t>
            </w:r>
          </w:p>
        </w:tc>
      </w:tr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Lessor - Lessee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Hiring safe deposit locker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rents locker to customer</w:t>
            </w:r>
          </w:p>
        </w:tc>
      </w:tr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Trustee - Beneficiary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Trust accounts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manages trust funds</w:t>
            </w:r>
          </w:p>
        </w:tc>
      </w:tr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Pledger - Pledgee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Pledge of securities as collateral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Customer pledges shares for loan</w:t>
            </w:r>
          </w:p>
        </w:tc>
      </w:tr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Indemnifier - Indemnified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drafts, TT, mail transfers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Customer indemnifies bank for DD</w:t>
            </w:r>
          </w:p>
        </w:tc>
      </w:tr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Mortgagor - Mortgagee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Mortgage loans against property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Customer mortgages property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(b): Rights and Duties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Party</w:t>
            </w:r>
          </w:p>
        </w:tc>
        <w:tc>
          <w:tcPr>
            <w:tcW w:type="dxa" w:w="3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Rights</w:t>
            </w:r>
          </w:p>
        </w:tc>
        <w:tc>
          <w:tcPr>
            <w:tcW w:type="dxa" w:w="3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Duties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Banker's Rights</w:t>
            </w:r>
          </w:p>
        </w:tc>
        <w:tc>
          <w:tcPr>
            <w:tcW w:type="dxa" w:w="3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1. General Lien on customer's securities
2. Right of Set-off
3. Right to charge interest
4. Right to close accounts (with notice)
5. Right to refuse cheques (valid grounds)</w:t>
            </w:r>
          </w:p>
        </w:tc>
        <w:tc>
          <w:tcPr>
            <w:tcW w:type="dxa" w:w="3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1. Maintain secrecy of accounts
2. Honor cheques (if funds available)
3. Provide account statement
4. Give reasonable notice before closing
5. Follow standing instructions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Customer's Rights</w:t>
            </w:r>
          </w:p>
        </w:tc>
        <w:tc>
          <w:tcPr>
            <w:tcW w:type="dxa" w:w="3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1. Receive interest on deposits
2. Get periodic statements
3. Sue for wrongful dishonor
4. Receive notice before closure
5. Withdraw money on demand</w:t>
            </w:r>
          </w:p>
        </w:tc>
        <w:tc>
          <w:tcPr>
            <w:tcW w:type="dxa" w:w="3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1. Present cheques within validity
2. Inform bank about forgeries
3. Maintain minimum balance
4. Keep cheque book safely
5. Provide KYC documents</w:t>
            </w:r>
          </w:p>
        </w:tc>
      </w:tr>
    </w:tbl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Exceptions to Banker's Duty of Secrecy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1. Legal Requirement - Court order, tax authority, BB requirements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2. Public Duty - Disclosure in national interest, crime prevention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3. Bank's Own Interest - Recovery of dues, legal proceedings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4. Customer Consent - With express or implied permission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5. Under AML/CFT Laws - CTR, STR reporting to BFIU per MLPA 2012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Topic 4: Negotiable Instruments Act, 1881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Crossing, Endorsement &amp; Payment/Holder in Due Course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Question [Marks: 20]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(a) What is crossing of cheque? Discuss types under NI Act 1881. [7]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(b) What is endorsement? Explain types and general principles. [7]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(c) Differentiate Payment in Due Course and Holder in Due Course. [6]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(a): Crossing of Cheque (Sec 123-131)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Crossing means drawing two parallel transverse lines on the face of a cheque. It directs the paying bank to pay only through a bank account, NOT in cash over the counter. This reduces fraud risk significantly.</w:t>
      </w:r>
    </w:p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Types of Crossing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lowchart" descr="Process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000"/>
        <w:gridCol w:w="3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General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123</w:t>
            </w:r>
          </w:p>
        </w:tc>
        <w:tc>
          <w:tcPr>
            <w:tcW w:type="dxa" w:w="3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Two parallel lines (with or without 'and company')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Payment via any bank a/c</w:t>
            </w:r>
          </w:p>
        </w:tc>
      </w:tr>
      <w:tr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Special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124</w:t>
            </w:r>
          </w:p>
        </w:tc>
        <w:tc>
          <w:tcPr>
            <w:tcW w:type="dxa" w:w="3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name written between parallel lines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Only named bank collects</w:t>
            </w:r>
          </w:p>
        </w:tc>
      </w:tr>
      <w:tr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A/C Payee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126</w:t>
            </w:r>
          </w:p>
        </w:tc>
        <w:tc>
          <w:tcPr>
            <w:tcW w:type="dxa" w:w="3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'Account payee' added to crossing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Restrictive - payee's a/c only</w:t>
            </w:r>
          </w:p>
        </w:tc>
      </w:tr>
      <w:tr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Not Negotiable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130</w:t>
            </w:r>
          </w:p>
        </w:tc>
        <w:tc>
          <w:tcPr>
            <w:tcW w:type="dxa" w:w="3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'Not negotiable' added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Transferee gets no better title</w:t>
            </w:r>
          </w:p>
        </w:tc>
      </w:tr>
      <w:tr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127</w:t>
            </w:r>
          </w:p>
        </w:tc>
        <w:tc>
          <w:tcPr>
            <w:tcW w:type="dxa" w:w="3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Already specially crossed, crossed again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Banker may refuse payment</w:t>
            </w:r>
          </w:p>
        </w:tc>
      </w:tr>
    </w:tbl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Who can cancel crossing: Drawer (before issue) or Endorser (before endorsement) - Sec 125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(b): Endorsement (Sec 15-16)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Endorsement means signing the back of a negotiable instrument for negotiation. The endorser signs, the endorsee receives. Must be on the instrument, signed by endorser.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Valid/Invalid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Blank</w:t>
            </w:r>
          </w:p>
        </w:tc>
        <w:tc>
          <w:tcPr>
            <w:tcW w:type="dxa" w:w="4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Only signature, no name - becomes bearer instrument</w:t>
            </w:r>
          </w:p>
        </w:tc>
        <w:tc>
          <w:tcPr>
            <w:tcW w:type="dxa" w:w="28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Special/Full</w:t>
            </w:r>
          </w:p>
        </w:tc>
        <w:tc>
          <w:tcPr>
            <w:tcW w:type="dxa" w:w="4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Signature + direction to pay specific person</w:t>
            </w:r>
          </w:p>
        </w:tc>
        <w:tc>
          <w:tcPr>
            <w:tcW w:type="dxa" w:w="28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Restrictive</w:t>
            </w:r>
          </w:p>
        </w:tc>
        <w:tc>
          <w:tcPr>
            <w:tcW w:type="dxa" w:w="4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Restricts further negotiation</w:t>
            </w:r>
          </w:p>
        </w:tc>
        <w:tc>
          <w:tcPr>
            <w:tcW w:type="dxa" w:w="28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Partial</w:t>
            </w:r>
          </w:p>
        </w:tc>
        <w:tc>
          <w:tcPr>
            <w:tcW w:type="dxa" w:w="4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Endorses only part of amount</w:t>
            </w:r>
          </w:p>
        </w:tc>
        <w:tc>
          <w:tcPr>
            <w:tcW w:type="dxa" w:w="28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INVALID (Sec 50)</w:t>
            </w:r>
          </w:p>
        </w:tc>
      </w:tr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Payment subject to condition</w:t>
            </w:r>
          </w:p>
        </w:tc>
        <w:tc>
          <w:tcPr>
            <w:tcW w:type="dxa" w:w="28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may ignore condition</w:t>
            </w:r>
          </w:p>
        </w:tc>
      </w:tr>
    </w:tbl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Principles: Must be on instrument; must sign; must be for full amount; if two payees, all must endorse; maker cannot endorse (Sec 51).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(c): Payment in Due Course vs Holder in Due Course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flowchart" descr="Process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Payment in Due Course (Sec 10)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Holder in Due Course (Sec 9)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Who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BANK/Paying banker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HOLDER/Receiver of instrument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Payment in good faith, without notice of defect in title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Takes for consideration, before maturity, in good faith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Conditions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1. Good faith
2. No notice of defect
3. Per apparent tenor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1. For consideration
2. Before maturity
3. Good faith
4. No notice of defect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Rights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discharged from liability to true owner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Gets better title than transferor (free from defects)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Protection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 protected from true owner's claim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HDC takes free from all prior claims</w:t>
            </w:r>
          </w:p>
        </w:tc>
      </w:tr>
    </w:tbl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Topic 5: FERA, 1947 &amp; KYC/CDD/EDD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Foreign Exchange Regulation &amp; Customer Due Diligence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Question [Marks: 20]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(a) State scope and main purposes of FERA 1947. Who are Authorized Dealers? [10]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(b) Discuss importance of KYC, CDD, and EDD. What documents required? [10]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(a): Foreign Exchange Regulation Act, 1947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FERA 1947 is the primary law governing foreign exchange transactions in Bangladesh. It provides the regulatory framework for all dealings in foreign exchange, foreign securities, and payments to/from persons outside Bangladesh.</w:t>
      </w:r>
    </w:p>
    <w:p>
      <w:pPr>
        <w:spacing w:before="80"/>
      </w:pP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Scope: All foreign exchange transactions, import/export of currency/gold, opening foreign currency accounts, remittance abroad, acquisition of foreign securities, payments to/from persons outside Bangladesh.</w:t>
      </w:r>
    </w:p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Authorized Dealers vs Money Changers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Authorized Dealers (Sec 3)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Money Changers (Sec 3A)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Who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Scheduled banks with BB license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Authorized firms/individuals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Scope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ALL types of forex transactions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Limited to tourist/travel only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Full range of forex banking services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Only buying/selling forex notes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Reporting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Full reporting to BB/BFIU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Limited reporting</w:t>
            </w:r>
          </w:p>
        </w:tc>
      </w:tr>
    </w:tbl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Blocked Account (Sec 9): No withdrawal without BB permission. Special Account (Sec 10): Non-resident accounts for approved purposes.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(b): KYC, CDD, and EDD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flowchart" descr="Process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KYC = Know Your Customer (foundation for all customer identification)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CDD = Customer Due Diligence (standard verification measures for all customers)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EDD = Enhanced Due Diligence (additional scrutiny for PEPs and high-risk customers)</w:t>
      </w:r>
    </w:p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KYC Documents Required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Customer Type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Required Documents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Individual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NID/Passport, Photograph, Utility Bill (address proof)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Company (Ltd.)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Certificate of Incorporation, MOA/AOA, Trade License, TIN, Board Resolution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Partnership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Partnership Deed, Trade License, TIN, Partners' NID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Sole Proprietorship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Trade License, TIN, Owner's NID, Utility Bill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Minor/Student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Birth Certificate, Guardian's NID, Guardian's signature, School ID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PEP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All individual docs + source of wealth + PEP status declaration</w:t>
            </w:r>
          </w:p>
        </w:tc>
      </w:tr>
    </w:tbl>
    <w:p>
      <w:pPr>
        <w:spacing w:before="80"/>
      </w:pP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EDD Measures (High-Risk): Senior management approval, enhanced monitoring, source of funds/wealth verification, Enhanced CPV, lower transaction thresholds, additional identity documents.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Topic 6: Hundi &amp; Guarantee vs Indemnity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Contract Act, 1872 - Traditional Instruments &amp; Contractual Relationships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Question [Marks: 20]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(a) What is Hundi? Can it be considered a negotiable instrument? Discuss reasons and economic impact. [10]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(b) Differentiate between Contract of Guarantee and Contract of Indemnity. [10]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(a): Hundi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Hundi is a traditional financial instrument used in the Indian subcontinent for remitting money. It is an unconditional written order by one person on another directing payment of a certain sum to a specified person.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Is Hundi a Negotiable Instrument? NO - Hundi is NOT recognized under the Negotiable Instruments Act, 1881. It operates outside the formal banking system.</w:t>
      </w:r>
    </w:p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Types of Hundi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Darshani Hundi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Payable on sight/presentation - like demand draft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Muddati Hundi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Payable after a specified time period - like usance bill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Nam-jad Hundi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Payable to specified person (order instrument)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Shah-jad Hundi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Payable to bearer - whoever presents gets payment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Jokhmi Hundi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Conditional Hundi - payment subject to safe arrival of goods</w:t>
            </w:r>
          </w:p>
        </w:tc>
      </w:tr>
    </w:tbl>
    <w:p>
      <w:pPr>
        <w:spacing w:before="8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Reasons for Using Hundi &amp; Economic Impact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Reasons: Avoid banking channels, maintain secrecy, evade tax/forex regulations, no documentation needed, lower/no fees, no KYC requirements.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Negative Impact: (1) Loss of foreign exchange - bypasses official channels; (2) Money laundering tool; (3) Tax evasion - escapes tax net; (4) Strengthens informal/black economy; (5) Finances terrorism/anti-national activities; (6) Reduces monetary policy effectiveness.</w:t>
      </w:r>
    </w:p>
    <w:p>
      <w:pPr>
        <w:spacing w:before="10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B2B2B"/>
          <w:sz w:val="22"/>
          <w:szCs w:val="22"/>
        </w:rPr>
        <w:t xml:space="preserve">Answer (b): Guarantee vs Indemnity (Contract Act, 1872)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Contract of Indemnity (Sec 124): A contract where one party promises to save the other from loss caused by the promisor's own conduct or a third party. Example: FDR indemnity bond.</w:t>
      </w:r>
    </w:p>
    <w:p>
      <w:pPr>
        <w:spacing w:after="6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F172A"/>
          <w:sz w:val="21"/>
          <w:szCs w:val="21"/>
        </w:rPr>
        <w:t xml:space="preserve">Contract of Guarantee (Sec 126): A contract to perform the promise or discharge the liability of a THIRD person in case of default. Three parties: Surety, Principal Debtor, Creditor. Example: Bank loan guarantee.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Guarantee (Sec 126)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Indemnity (Sec 124)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Parties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THREE: Surety, Principal Debtor, Creditor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TWO: Indemnifier, Indemnified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Purpose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Answer for default of THIRD PARTY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Protect from loss by promisor/third party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Liability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Secondary/Co-extensive (after principal defaults)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Primary (indemnifier directly liable)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Contracts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Three contracts between three parties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One contract between two parties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Must exist (Sec 127)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Can be anything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Right to Sue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After paying creditor, can sue principal debtor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Immediately after loss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Nature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Joint and several (Sec 128)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Only indemnifier liable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Continuing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Can be continuing guarantee (Sec 129)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Generally single transaction</w:t>
            </w:r>
          </w:p>
        </w:tc>
      </w:tr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Example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Third person guarantees bank loan</w:t>
            </w:r>
          </w:p>
        </w:tc>
        <w:tc>
          <w:tcPr>
            <w:tcW w:type="dxa" w:w="37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FDR indemnity bond for lost original</w:t>
            </w:r>
          </w:p>
        </w:tc>
      </w:tr>
    </w:tbl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Quick Reference - Important Legal Sections</w:t>
      </w:r>
    </w:p>
    <w:p>
      <w:pPr>
        <w:spacing w:before="1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Act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4, 5, 6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Promissory Note, Bill of Exchange, Cheque definitions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9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Holder in Due Course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10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Payment in Due Course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73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Cheque presentation time (6 months)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123-131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Crossing provisions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138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Cheque dishonor punishment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MLPA 2012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2(cha)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Money Laundering definition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MLPA 2012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ML punishment (4-12 years)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MLPA 2012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25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Reporting obligation (CTR/STR)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BCA 1991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13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Maintenance of Capital/CAR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BCA 1991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25, 33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CRR and SLR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BCA 1991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27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Restrictions on loans/advances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BCA 1991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35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Unclaimed deposits (10 years)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BCA 1991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77 Ka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Prompt Corrective Action (PCA)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Artha Rin 2003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4, 12, 33, 46, 47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Suit value, sale, auction, time limit, suit value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Artha Rin 2003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41, 42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Appeal (50%) and Revision (75%)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FERA 1947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3, 9, 10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Authorized Dealers, Blocked/Special Account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Contract Act 1872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124, 126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Indemnity and Guarantee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Contract Act 1872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172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Pledge definition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Registration 1908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17, 49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Compulsory registration, non-registration effects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TPA 1882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122, 123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Gift definition and registration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TPA 1882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53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Fraudulent transfer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Bankruptcy 1997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9, 18, 24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Min debt Tk 1L, fraudulent transfer, restrictions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Majority Act 1875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3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1F5F9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Minor = Below 18 years</w:t>
            </w:r>
          </w:p>
        </w:tc>
      </w:tr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ICT Act 2006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Sec 9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Times New Roman" w:cs="Times New Roman" w:eastAsia="Times New Roman" w:hAnsi="Times New Roman"/>
                <w:color w:val="0F172A"/>
                <w:sz w:val="18"/>
                <w:szCs w:val="18"/>
              </w:rPr>
              <w:t xml:space="preserve">Electronic records retention (5 years)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6"/>
        <w:szCs w:val="16"/>
      </w:rPr>
      <w:t xml:space="preserve">LPGB - 7th Exam Broad Questions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6"/>
        <w:szCs w:val="16"/>
      </w:rPr>
      <w:t xml:space="preserve">LPGB - 7th Exam Broad Questions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 w:line="276"/>
      <w:outlineLvl w:val="0"/>
    </w:pPr>
    <w:rPr>
      <w:rFonts w:ascii="Times New Roman" w:cs="Times New Roman" w:eastAsia="Times New Roman" w:hAnsi="Times New Roman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 w:line="276"/>
      <w:outlineLvl w:val="1"/>
    </w:pPr>
    <w:rPr>
      <w:rFonts w:ascii="Times New Roman" w:cs="Times New Roman" w:eastAsia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 w:line="276"/>
      <w:outlineLvl w:val="2"/>
    </w:pPr>
    <w:rPr>
      <w:rFonts w:ascii="Times New Roman" w:cs="Times New Roman" w:eastAsia="Times New Roman" w:hAnsi="Times New Roman"/>
      <w:b/>
      <w:bCs/>
      <w:color w:val="2B2B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7e8460295d65fc19b88fe8b4a6fbba24722695.png"/><Relationship Id="rId12" Type="http://schemas.openxmlformats.org/officeDocument/2006/relationships/image" Target="media/e92a544348a9d53be4ffb1a282b91e2e095acee7.png"/><Relationship Id="rId13" Type="http://schemas.openxmlformats.org/officeDocument/2006/relationships/image" Target="media/62af6a260f28315b8a2630f2e44d8b20fd956851.png"/><Relationship Id="rId14" Type="http://schemas.openxmlformats.org/officeDocument/2006/relationships/image" Target="media/e4e0d36c5ac54c79a8b84c958b7c55a78eff8f8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2026-03-30T07:15:40.761Z</dcterms:created>
  <dcterms:modified xsi:type="dcterms:W3CDTF">2026-03-30T07:15:40.761Z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