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JAIBB – Laws and Practice of General Banking (LPGB)</w:t>
      </w:r>
    </w:p>
    <w:p>
      <w:r>
        <w:t>Complete Bilingual Guide Book – Full Modules A–L</w:t>
      </w:r>
    </w:p>
    <w:p>
      <w:r>
        <w:t>6th Banking Professional Examination Pattern (Part A–E)</w:t>
      </w:r>
    </w:p>
    <w:p>
      <w:r>
        <w:t>Subject Code: 104 | Full Marks: 100 | Pass Marks: 45 | Time: 3 Hours</w:t>
      </w:r>
    </w:p>
    <w:p>
      <w:r>
        <w:rPr>
          <w:b/>
        </w:rPr>
        <w:t xml:space="preserve">Overview </w:t>
      </w:r>
      <w:r>
        <w:t xml:space="preserve">This guidebook summarises the laws and practices of general banking taught in the LPGB module. </w:t>
        <w:br/>
      </w:r>
      <w:r>
        <w:t xml:space="preserve">It is organised according to the examination pattern: Part A (Broad Questions), Part B (Numeric/Reasoning), </w:t>
        <w:br/>
      </w:r>
      <w:r>
        <w:t xml:space="preserve">Part C (Case Studies), Part D (Definitions/Terms) and Part E (Short Notes). Each module covers specific banking laws and operations. </w:t>
        <w:br/>
      </w:r>
      <w:r>
        <w:t xml:space="preserve">All explanations are provided in simple Bengali and English side‑by‑side for easy understanding. </w:t>
        <w:br/>
      </w:r>
    </w:p>
    <w:p>
      <w:r>
        <w:br w:type="page"/>
      </w:r>
    </w:p>
    <w:p>
      <w:pPr>
        <w:pStyle w:val="Heading1"/>
      </w:pPr>
      <w:r>
        <w:t>Module A – Financial Institutions Related Laws</w:t>
      </w:r>
    </w:p>
    <w:p>
      <w:r>
        <w:t>Includes Bangladesh Bank Order 1972, Bank Company Act 1991, Financial Institutions Act 1993, Artho Rin Adalat Ain 2003 and Bankruptcy Act 1997.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বাংলাদেশ ব্যাংকের মূল কাজসমূহ এবং বোর্ডের গঠন – </w:t>
      </w:r>
      <w:r>
        <w:t>Main functions of Bangladesh Bank and composition of its Board of Directors (Bangladesh Bank Order, 1972 Art. 7–9)</w:t>
      </w:r>
    </w:p>
    <w:p>
      <w:pPr>
        <w:pStyle w:val="ListBullet"/>
      </w:pPr>
      <w:r>
        <w:rPr>
          <w:b/>
        </w:rPr>
        <w:t xml:space="preserve">ব্যাংক কোম্পানি আইন ১৯৯১ এর উদ্দেশ্য ও উল্লেখযোগ্য ধারা – </w:t>
      </w:r>
      <w:r>
        <w:t>Objectives and notable sections of the Bank Company Act, 1991 (e.g., Section 7 – forms of business, Section 10 – disposal of non‑banking assets, Section 13 – capital maintenance)</w:t>
      </w:r>
    </w:p>
    <w:p>
      <w:pPr>
        <w:pStyle w:val="ListBullet"/>
      </w:pPr>
      <w:r>
        <w:rPr>
          <w:b/>
        </w:rPr>
        <w:t xml:space="preserve">অর্থ ও আর্থিক প্রতিষ্ঠান আইন ১৯৯৩ এর লক্ষ্য, অধ্যায় এবং শাস্তি – </w:t>
      </w:r>
      <w:r>
        <w:t>Purpose, chapters and offences under the Financial Institutions Act, 1993</w:t>
      </w:r>
    </w:p>
    <w:p>
      <w:pPr>
        <w:pStyle w:val="ListBullet"/>
      </w:pPr>
      <w:r>
        <w:rPr>
          <w:b/>
        </w:rPr>
        <w:t xml:space="preserve">অর্থ ঋণ আদালত আইন ২০০৩ অনুযায়ী ঋণ আদায়ের ব্যবস্থা ও আদালতের কার্যক্রম – </w:t>
      </w:r>
      <w:r>
        <w:t>Loan recovery procedures and court process under the Artho Rin Adalat Ain, 2003 (Sections 12, 33, 46, 47)</w:t>
      </w:r>
    </w:p>
    <w:p>
      <w:pPr>
        <w:pStyle w:val="ListBullet"/>
      </w:pPr>
      <w:r>
        <w:rPr>
          <w:b/>
        </w:rPr>
        <w:t xml:space="preserve">দেউলিয়া আইন ১৯৯৭ – পাওনাদারের মামলা দায়ের প্রক্রিয়া ও প্রতারণামূলক সম্পত্তি হস্তান্তর প্রতিকার – </w:t>
      </w:r>
      <w:r>
        <w:t>Bankruptcy Act 1997 – procedure for creditor to file suit and remedies for fraudulent transfer (Sections 9, 10, 18, 24; TPA Section 53)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Cash Reserve Ratio (CRR) এবং Statutory Liquidity Ratio (SLR) গণনা – </w:t>
      </w:r>
      <w:r>
        <w:t>Calculations of CRR and SLR, reserve requirements under the Bank Company Act and Bangladesh Bank regulations</w:t>
      </w:r>
    </w:p>
    <w:p>
      <w:pPr>
        <w:pStyle w:val="ListBullet"/>
      </w:pPr>
      <w:r>
        <w:rPr>
          <w:b/>
        </w:rPr>
        <w:t xml:space="preserve">ব্যাংকের মূলধন সংরক্ষণ এবং রিজার্ভ তহবিল – </w:t>
      </w:r>
      <w:r>
        <w:t>Capital maintenance and reserve fund requirements (Bank Company Act Section 13, 24, 25)</w:t>
      </w:r>
    </w:p>
    <w:p>
      <w:pPr>
        <w:pStyle w:val="ListBullet"/>
      </w:pPr>
      <w:r>
        <w:rPr>
          <w:b/>
        </w:rPr>
        <w:t xml:space="preserve">শেয়ার ধারণে সীমাবদ্ধতা – </w:t>
      </w:r>
      <w:r>
        <w:t>Restrictions on holding shares (Bank Company Act Sections 14Ka, 14Kha)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অর্থ ঋণ আদালতে মামলা করার পূর্বপ্রস্তুতি – </w:t>
      </w:r>
      <w:r>
        <w:t>Pre‑suit duties for recovery of default loans under Artho Rin Adalat (serving notice, negotiation)</w:t>
      </w:r>
    </w:p>
    <w:p>
      <w:pPr>
        <w:pStyle w:val="ListBullet"/>
      </w:pPr>
      <w:r>
        <w:rPr>
          <w:b/>
        </w:rPr>
        <w:t xml:space="preserve">দেউলিয়া মামলা – দেনাদার ও পাওনাদারের অধিকার ও দায় – </w:t>
      </w:r>
      <w:r>
        <w:t>Bankruptcy suit: rights and liabilities of debtor and creditor; role of Receiver</w:t>
      </w:r>
    </w:p>
    <w:p>
      <w:pPr>
        <w:pStyle w:val="ListBullet"/>
      </w:pPr>
      <w:r>
        <w:rPr>
          <w:b/>
        </w:rPr>
        <w:t xml:space="preserve">দুই ব্যাংকের মিশ্রণের ক্ষেত্রে বাংলাদেশ ব্যাংকের অনুমতির কেস – </w:t>
      </w:r>
      <w:r>
        <w:t>Case on merger of two banks requiring Bangladesh Bank approval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সিআরআর (CRR) – </w:t>
      </w:r>
      <w:r>
        <w:t>Cash Reserve Ratio – নির্দিষ্ট শতাংশ জমা যা ব্যাংককে বাংলাদেশ ব্যাংকের কাছে রাখতে হয়</w:t>
      </w:r>
    </w:p>
    <w:p>
      <w:pPr>
        <w:pStyle w:val="ListBullet"/>
      </w:pPr>
      <w:r>
        <w:rPr>
          <w:b/>
        </w:rPr>
        <w:t xml:space="preserve">এসএলআর (SLR) – </w:t>
      </w:r>
      <w:r>
        <w:t>Statutory Liquidity Ratio – তরল সম্পদের ন্যূনতম পরিমাণ যা ব্যাংককে বজায় রাখতে হয়</w:t>
      </w:r>
    </w:p>
    <w:p>
      <w:pPr>
        <w:pStyle w:val="ListBullet"/>
      </w:pPr>
      <w:r>
        <w:rPr>
          <w:b/>
        </w:rPr>
        <w:t xml:space="preserve">Receiver – </w:t>
      </w:r>
      <w:r>
        <w:t>দেউলিয়া মামলায় আদালত নিযুক্ত ব্যক্তি যিনি দেনাদারের সম্পত্তি নিয়ন্ত্রণ করেন ও বিক্রি করেন</w:t>
      </w:r>
    </w:p>
    <w:p>
      <w:pPr>
        <w:pStyle w:val="ListBullet"/>
      </w:pPr>
      <w:r>
        <w:rPr>
          <w:b/>
        </w:rPr>
        <w:t xml:space="preserve">ডিক্রি (Decree) – </w:t>
      </w:r>
      <w:r>
        <w:t>আদালতের চূড়ান্ত নির্দেশনা যা পাওনাদার বা দেনাদারকে বাধ্য করে</w:t>
      </w:r>
    </w:p>
    <w:p>
      <w:pPr>
        <w:pStyle w:val="ListBullet"/>
      </w:pPr>
      <w:r>
        <w:rPr>
          <w:b/>
        </w:rPr>
        <w:t xml:space="preserve">Coordination Council – </w:t>
      </w:r>
      <w:r>
        <w:t>বাংলাদেশ ব্যাংক আদেশের অধীনে গঠিত সমন্বয় পরিষদ যা নীতিনির্ধারণে সহায়তা করে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বাংলাদেশ ব্যাংকের কাজ – </w:t>
      </w:r>
      <w:r>
        <w:t>Functions of Bangladesh Bank (issue of currency, banker to government, controller of credit, custodian of reserves, clearing house)</w:t>
      </w:r>
    </w:p>
    <w:p>
      <w:pPr>
        <w:pStyle w:val="ListBullet"/>
      </w:pPr>
      <w:r>
        <w:rPr>
          <w:b/>
        </w:rPr>
        <w:t xml:space="preserve">Reserve Fund – </w:t>
      </w:r>
      <w:r>
        <w:t>Bank Company Act Section 24 – banks must create reserve fund out of net profits</w:t>
      </w:r>
    </w:p>
    <w:p>
      <w:pPr>
        <w:pStyle w:val="ListBullet"/>
      </w:pPr>
      <w:r>
        <w:rPr>
          <w:b/>
        </w:rPr>
        <w:t xml:space="preserve">Cash Reserve – </w:t>
      </w:r>
      <w:r>
        <w:t>Bank Company Act Section 25 – banks must maintain cash reserve with Bangladesh Bank</w:t>
      </w:r>
    </w:p>
    <w:p>
      <w:pPr>
        <w:pStyle w:val="ListBullet"/>
      </w:pPr>
      <w:r>
        <w:rPr>
          <w:b/>
        </w:rPr>
        <w:t xml:space="preserve">Branch License – </w:t>
      </w:r>
      <w:r>
        <w:t>Bank Company Act Section 31 – banks need licence from BB to open branches</w:t>
      </w:r>
    </w:p>
    <w:p>
      <w:pPr>
        <w:pStyle w:val="ListBullet"/>
      </w:pPr>
      <w:r>
        <w:rPr>
          <w:b/>
        </w:rPr>
        <w:t xml:space="preserve">Loan Recovery Steps – </w:t>
      </w:r>
      <w:r>
        <w:t>Procedures before filing suit under Artho Rin Adalat (notice, restructure, persuasion)</w:t>
      </w:r>
    </w:p>
    <w:p>
      <w:r>
        <w:br w:type="page"/>
      </w:r>
    </w:p>
    <w:p>
      <w:pPr>
        <w:pStyle w:val="Heading1"/>
      </w:pPr>
      <w:r>
        <w:t>Module B – Financial Instrument Related Laws</w:t>
      </w:r>
    </w:p>
    <w:p>
      <w:r>
        <w:t>Covers Negotiable Instruments Act 1881 and banking operations with financial instruments.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বাজারযোগ্য লিখন (Negotiable Instruments) – সংজ্ঞা ও প্রকারভেদ – </w:t>
      </w:r>
      <w:r>
        <w:t>Definition and types of negotiable instruments: promissory note, bill of exchange, cheque (Sections 4–6)</w:t>
      </w:r>
    </w:p>
    <w:p>
      <w:pPr>
        <w:pStyle w:val="ListBullet"/>
      </w:pPr>
      <w:r>
        <w:rPr>
          <w:b/>
        </w:rPr>
        <w:t xml:space="preserve">এন্ডোর্সমেন্ট ও ক্রসিং – নিয়ম ও প্রভাব – </w:t>
      </w:r>
      <w:r>
        <w:t>Endorsement and crossing of cheques: rules and effects (Sections 15, 16, 123–131)</w:t>
      </w:r>
    </w:p>
    <w:p>
      <w:pPr>
        <w:pStyle w:val="ListBullet"/>
      </w:pPr>
      <w:r>
        <w:rPr>
          <w:b/>
        </w:rPr>
        <w:t xml:space="preserve">ইনস্ট্রুমেন্টের বৈধতা ও অবৈধতা – বৈধ প্রত্যর্পণ ও মূল্য গ্রহণ – </w:t>
      </w:r>
      <w:r>
        <w:t>Validity and invalidity of instruments; payment in due course (Section 10) and material alteration (Section 87)</w:t>
      </w:r>
    </w:p>
    <w:p>
      <w:pPr>
        <w:pStyle w:val="ListBullet"/>
      </w:pPr>
      <w:r>
        <w:rPr>
          <w:b/>
        </w:rPr>
        <w:t xml:space="preserve">ড্রয়ার, ড্রই, হোল্ডার, হোল্ডার ইন ডিউ কোর্সের অধিকার ও দায় – </w:t>
      </w:r>
      <w:r>
        <w:t>Rights and liabilities of drawer, drawee, holder and holder in due course (Sections 7, 8, 53, 35, 36)</w:t>
      </w:r>
    </w:p>
    <w:p>
      <w:pPr>
        <w:pStyle w:val="ListBullet"/>
      </w:pPr>
      <w:r>
        <w:rPr>
          <w:b/>
        </w:rPr>
        <w:t xml:space="preserve">ব্যাংকার হিসেবে অর্থ প্রদানে ব্যর্থতা ও তার পরিণতি – </w:t>
      </w:r>
      <w:r>
        <w:t>Liability of paying and collecting bankers; consequences of wrongful dishonour (Sections 31, 82)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চেকের তারিখ, মেয়াদোত্তীর্ণতা ও স্থগিতকরণ – </w:t>
      </w:r>
      <w:r>
        <w:t>Numerical problems involving date of cheque, stale cheques and post‑dated cheques</w:t>
      </w:r>
    </w:p>
    <w:p>
      <w:pPr>
        <w:pStyle w:val="ListBullet"/>
      </w:pPr>
      <w:r>
        <w:rPr>
          <w:b/>
        </w:rPr>
        <w:t xml:space="preserve">উপযুক্ত সুদের হিসাব – </w:t>
      </w:r>
      <w:r>
        <w:t>Calculations of interest on bills and promissory notes</w:t>
      </w:r>
    </w:p>
    <w:p>
      <w:pPr>
        <w:pStyle w:val="ListBullet"/>
      </w:pPr>
      <w:r>
        <w:rPr>
          <w:b/>
        </w:rPr>
        <w:t xml:space="preserve">ব্যাংক খোলার কমিশন ও চেক বইয়ের খরচ গণনা – </w:t>
      </w:r>
      <w:r>
        <w:t>Computation of commission on bank drafts and cheque book charges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নকল স্বাক্ষর বা নকল এন্ডোর্সমেন্ট কেস – </w:t>
      </w:r>
      <w:r>
        <w:t>Case of forged signature or endorsement – banker’s liability and customer protection</w:t>
      </w:r>
    </w:p>
    <w:p>
      <w:pPr>
        <w:pStyle w:val="ListBullet"/>
      </w:pPr>
      <w:r>
        <w:rPr>
          <w:b/>
        </w:rPr>
        <w:t xml:space="preserve">ক্রসড চেক সংগ্রহের ক্ষেত্রে ব্যাংকের দায় – </w:t>
      </w:r>
      <w:r>
        <w:t>Collecting banker’s duty while collecting crossed cheque and consequences of negligence</w:t>
      </w:r>
    </w:p>
    <w:p>
      <w:pPr>
        <w:pStyle w:val="ListBullet"/>
      </w:pPr>
      <w:r>
        <w:rPr>
          <w:b/>
        </w:rPr>
        <w:t xml:space="preserve">ডিসঅনার হওয়া চেকের মামলা – </w:t>
      </w:r>
      <w:r>
        <w:t>Dishonour of cheque cases under NI Act Section 138 (criminal liability)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Promissory Note – </w:t>
      </w:r>
      <w:r>
        <w:t>A written promise to pay a certain sum to a certain person or bearer (Sec 4)</w:t>
      </w:r>
    </w:p>
    <w:p>
      <w:pPr>
        <w:pStyle w:val="ListBullet"/>
      </w:pPr>
      <w:r>
        <w:rPr>
          <w:b/>
        </w:rPr>
        <w:t xml:space="preserve">Bill of Exchange – </w:t>
      </w:r>
      <w:r>
        <w:t>An order to pay, drawn by one person on another (Sec 5)</w:t>
      </w:r>
    </w:p>
    <w:p>
      <w:pPr>
        <w:pStyle w:val="ListBullet"/>
      </w:pPr>
      <w:r>
        <w:rPr>
          <w:b/>
        </w:rPr>
        <w:t xml:space="preserve">Cheque – </w:t>
      </w:r>
      <w:r>
        <w:t>A bill of exchange drawn on a banker payable on demand (Sec 6)</w:t>
      </w:r>
    </w:p>
    <w:p>
      <w:pPr>
        <w:pStyle w:val="ListBullet"/>
      </w:pPr>
      <w:r>
        <w:rPr>
          <w:b/>
        </w:rPr>
        <w:t xml:space="preserve">Endorsement – </w:t>
      </w:r>
      <w:r>
        <w:t>Signing on the instrument for negotiation (Sec 15)</w:t>
      </w:r>
    </w:p>
    <w:p>
      <w:pPr>
        <w:pStyle w:val="ListBullet"/>
      </w:pPr>
      <w:r>
        <w:rPr>
          <w:b/>
        </w:rPr>
        <w:t xml:space="preserve">Crossing – </w:t>
      </w:r>
      <w:r>
        <w:t>Two parallel lines on a cheque instructing banker how to pay (Sec 123)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Post‑dated Cheque – </w:t>
      </w:r>
      <w:r>
        <w:t>Cheque dated for future – payable only on or after date</w:t>
      </w:r>
    </w:p>
    <w:p>
      <w:pPr>
        <w:pStyle w:val="ListBullet"/>
      </w:pPr>
      <w:r>
        <w:rPr>
          <w:b/>
        </w:rPr>
        <w:t xml:space="preserve">Stale Cheque – </w:t>
      </w:r>
      <w:r>
        <w:t>Cheque older than six months – bankers may refuse to pay</w:t>
      </w:r>
    </w:p>
    <w:p>
      <w:pPr>
        <w:pStyle w:val="ListBullet"/>
      </w:pPr>
      <w:r>
        <w:rPr>
          <w:b/>
        </w:rPr>
        <w:t xml:space="preserve">Material Alteration – </w:t>
      </w:r>
      <w:r>
        <w:t>Any change altering the instrument’s character – makes it void unless consented (Sec 87)</w:t>
      </w:r>
    </w:p>
    <w:p>
      <w:pPr>
        <w:pStyle w:val="ListBullet"/>
      </w:pPr>
      <w:r>
        <w:rPr>
          <w:b/>
        </w:rPr>
        <w:t xml:space="preserve">Drawer, Drawee, Payee – </w:t>
      </w:r>
      <w:r>
        <w:t>Parties to a negotiable instrument</w:t>
      </w:r>
    </w:p>
    <w:p>
      <w:pPr>
        <w:pStyle w:val="ListBullet"/>
      </w:pPr>
      <w:r>
        <w:rPr>
          <w:b/>
        </w:rPr>
        <w:t xml:space="preserve">Holder in Due Course – </w:t>
      </w:r>
      <w:r>
        <w:t>Person who obtains instrument for value and in good faith (Sec 9)</w:t>
      </w:r>
    </w:p>
    <w:p>
      <w:r>
        <w:br w:type="page"/>
      </w:r>
    </w:p>
    <w:p>
      <w:pPr>
        <w:pStyle w:val="Heading1"/>
      </w:pPr>
      <w:r>
        <w:t>Module C – Financial Activities Related Laws</w:t>
      </w:r>
    </w:p>
    <w:p>
      <w:r>
        <w:t>Focuses on laws related to money laundering, foreign exchange and financing of terrorism.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মানি লন্ডারিং প্রতিরোধ আইন ২০১২ – উদ্দেশ্য ও অপরাধের সংজ্ঞা – </w:t>
      </w:r>
      <w:r>
        <w:t>Money Laundering Prevention Act 2012 – objectives and definition of money laundering</w:t>
      </w:r>
    </w:p>
    <w:p>
      <w:pPr>
        <w:pStyle w:val="ListBullet"/>
      </w:pPr>
      <w:r>
        <w:rPr>
          <w:b/>
        </w:rPr>
        <w:t xml:space="preserve">Anti‑Terrorism Act 2009 – financing of terrorism – </w:t>
      </w:r>
      <w:r>
        <w:t>Key provisions on preventing financing of terrorism and penalties</w:t>
      </w:r>
    </w:p>
    <w:p>
      <w:pPr>
        <w:pStyle w:val="ListBullet"/>
      </w:pPr>
      <w:r>
        <w:rPr>
          <w:b/>
        </w:rPr>
        <w:t xml:space="preserve">বিদেশি মুদ্রা নিয়ন্ত্রণ আইন (FERA/কেন্দ্রীয় ব্যাংক বিধান) ও বৈদেশিক লেনদেন – </w:t>
      </w:r>
      <w:r>
        <w:t>Foreign exchange regulations and authorised dealer responsibilities</w:t>
      </w:r>
    </w:p>
    <w:p>
      <w:pPr>
        <w:pStyle w:val="ListBullet"/>
      </w:pPr>
      <w:r>
        <w:rPr>
          <w:b/>
        </w:rPr>
        <w:t xml:space="preserve">Suspicious Transaction Report (STR) ও Cash Transaction Report (CTR) – </w:t>
      </w:r>
      <w:r>
        <w:t>Definitions of STR and CTR, thresholds and reporting obligations</w:t>
      </w:r>
    </w:p>
    <w:p>
      <w:pPr>
        <w:pStyle w:val="ListBullet"/>
      </w:pPr>
      <w:r>
        <w:rPr>
          <w:b/>
        </w:rPr>
        <w:t xml:space="preserve">BFIU ও এএমএল/সিএফটি রিপোর্টিং পদ্ধতি – </w:t>
      </w:r>
      <w:r>
        <w:t>Role of Bangladesh Financial Intelligence Unit and AML/CFT reporting process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লেনদেনের সীমা ও ট্রান্সফার রিপোর্টিং দায় – </w:t>
      </w:r>
      <w:r>
        <w:t>Calculation of threshold for CTR and reporting timelines</w:t>
      </w:r>
    </w:p>
    <w:p>
      <w:pPr>
        <w:pStyle w:val="ListBullet"/>
      </w:pPr>
      <w:r>
        <w:rPr>
          <w:b/>
        </w:rPr>
        <w:t xml:space="preserve">বৈদেশিক মুদ্রা বিনিময় হার গণনা – </w:t>
      </w:r>
      <w:r>
        <w:t>Currency conversion calculations in authorised dealer operations</w:t>
      </w:r>
    </w:p>
    <w:p>
      <w:pPr>
        <w:pStyle w:val="ListBullet"/>
      </w:pPr>
      <w:r>
        <w:rPr>
          <w:b/>
        </w:rPr>
        <w:t xml:space="preserve">মানি লন্ডারিং আইনের জরিমানা ও শাস্তি – </w:t>
      </w:r>
      <w:r>
        <w:t>Penalty computation under MLPA 2012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Suspicious transaction case study – </w:t>
      </w:r>
      <w:r>
        <w:t>Identify red flags, report to BFIU and protect customer confidentiality</w:t>
      </w:r>
    </w:p>
    <w:p>
      <w:pPr>
        <w:pStyle w:val="ListBullet"/>
      </w:pPr>
      <w:r>
        <w:rPr>
          <w:b/>
        </w:rPr>
        <w:t xml:space="preserve">Unauthorized foreign exchange transaction case – </w:t>
      </w:r>
      <w:r>
        <w:t>Dealing with customer attempting illegal remittance</w:t>
      </w:r>
    </w:p>
    <w:p>
      <w:pPr>
        <w:pStyle w:val="ListBullet"/>
      </w:pPr>
      <w:r>
        <w:rPr>
          <w:b/>
        </w:rPr>
        <w:t xml:space="preserve">Anti‑terror financing investigation – </w:t>
      </w:r>
      <w:r>
        <w:t>Steps for reporting and freezing accounts suspected of terror financing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STR – </w:t>
      </w:r>
      <w:r>
        <w:t>Suspicious Transaction Report – report on unusual or suspicious transactions</w:t>
      </w:r>
    </w:p>
    <w:p>
      <w:pPr>
        <w:pStyle w:val="ListBullet"/>
      </w:pPr>
      <w:r>
        <w:rPr>
          <w:b/>
        </w:rPr>
        <w:t xml:space="preserve">CTR – </w:t>
      </w:r>
      <w:r>
        <w:t>Cash Transaction Report – report on cash transactions above threshold</w:t>
      </w:r>
    </w:p>
    <w:p>
      <w:pPr>
        <w:pStyle w:val="ListBullet"/>
      </w:pPr>
      <w:r>
        <w:rPr>
          <w:b/>
        </w:rPr>
        <w:t xml:space="preserve">Placement, Layering, Integration – </w:t>
      </w:r>
      <w:r>
        <w:t>Stages of money laundering process</w:t>
      </w:r>
    </w:p>
    <w:p>
      <w:pPr>
        <w:pStyle w:val="ListBullet"/>
      </w:pPr>
      <w:r>
        <w:rPr>
          <w:b/>
        </w:rPr>
        <w:t xml:space="preserve">Authorized Dealer – </w:t>
      </w:r>
      <w:r>
        <w:t>Bank authorised to deal in foreign exchange</w:t>
      </w:r>
    </w:p>
    <w:p>
      <w:pPr>
        <w:pStyle w:val="ListBullet"/>
      </w:pPr>
      <w:r>
        <w:rPr>
          <w:b/>
        </w:rPr>
        <w:t xml:space="preserve">PEP (Politically Exposed Person) – </w:t>
      </w:r>
      <w:r>
        <w:t>High‑risk individuals requiring enhanced due diligence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Money Laundering Definition – </w:t>
      </w:r>
      <w:r>
        <w:t>Process of concealing origin of illicit funds</w:t>
      </w:r>
    </w:p>
    <w:p>
      <w:pPr>
        <w:pStyle w:val="ListBullet"/>
      </w:pPr>
      <w:r>
        <w:rPr>
          <w:b/>
        </w:rPr>
        <w:t xml:space="preserve">CTR Threshold – </w:t>
      </w:r>
      <w:r>
        <w:t>Amount of cash transaction requiring report (e.g., Tk. 1 million)</w:t>
      </w:r>
    </w:p>
    <w:p>
      <w:pPr>
        <w:pStyle w:val="ListBullet"/>
      </w:pPr>
      <w:r>
        <w:rPr>
          <w:b/>
        </w:rPr>
        <w:t xml:space="preserve">BFIU Role – </w:t>
      </w:r>
      <w:r>
        <w:t>Central agency for AML/CFT monitoring</w:t>
      </w:r>
    </w:p>
    <w:p>
      <w:pPr>
        <w:pStyle w:val="ListBullet"/>
      </w:pPr>
      <w:r>
        <w:rPr>
          <w:b/>
        </w:rPr>
        <w:t xml:space="preserve">FERA – </w:t>
      </w:r>
      <w:r>
        <w:t>Foreign Exchange Regulation Act – controls foreign currency deals</w:t>
      </w:r>
    </w:p>
    <w:p>
      <w:pPr>
        <w:pStyle w:val="ListBullet"/>
      </w:pPr>
      <w:r>
        <w:rPr>
          <w:b/>
        </w:rPr>
        <w:t xml:space="preserve">Terror Financing – </w:t>
      </w:r>
      <w:r>
        <w:t>Provision of funds to support terrorist activities</w:t>
      </w:r>
    </w:p>
    <w:p>
      <w:r>
        <w:br w:type="page"/>
      </w:r>
    </w:p>
    <w:p>
      <w:pPr>
        <w:pStyle w:val="Heading1"/>
      </w:pPr>
      <w:r>
        <w:t>Module D – Business Related Laws</w:t>
      </w:r>
    </w:p>
    <w:p>
      <w:r>
        <w:t>Addresses business laws relevant to banking: Contract Act 1872, Partnership Act 1932, Guarantee, Pledge, Transfer of Property Act 1882 and Registration laws.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চুক্তি আইন ১৮৭২ – চুক্তির বৈধতা ও অকার্যকরতা – </w:t>
      </w:r>
      <w:r>
        <w:t>Contract Act 1872 – essentials of valid contract, void and voidable agreements</w:t>
      </w:r>
    </w:p>
    <w:p>
      <w:pPr>
        <w:pStyle w:val="ListBullet"/>
      </w:pPr>
      <w:r>
        <w:rPr>
          <w:b/>
        </w:rPr>
        <w:t xml:space="preserve">গ্যারান্টি ও ইন্ডেমনিটি – সংজ্ঞা ও পার্থক্য – </w:t>
      </w:r>
      <w:r>
        <w:t>Guarantee and indemnity: definitions, distinctions and rights of surety (Sec 124–147)</w:t>
      </w:r>
    </w:p>
    <w:p>
      <w:pPr>
        <w:pStyle w:val="ListBullet"/>
      </w:pPr>
      <w:r>
        <w:rPr>
          <w:b/>
        </w:rPr>
        <w:t xml:space="preserve">অংশীদারি আইন ১৯৩২ – অংশীদারিত্বের সংজ্ঞা ও দায়বদ্ধতা – </w:t>
      </w:r>
      <w:r>
        <w:t>Partnership Act 1932 – definition of partnership, mutual agency and liabilities</w:t>
      </w:r>
    </w:p>
    <w:p>
      <w:pPr>
        <w:pStyle w:val="ListBullet"/>
      </w:pPr>
      <w:r>
        <w:rPr>
          <w:b/>
        </w:rPr>
        <w:t xml:space="preserve">প্রতিজ্ঞা (Pledge) ও বন্ধক (Mortgage) – অধিকার ও দায়িত্ব – </w:t>
      </w:r>
      <w:r>
        <w:t>Pledge and mortgage under Contract and Transfer of Property Act – rights and duties</w:t>
      </w:r>
    </w:p>
    <w:p>
      <w:pPr>
        <w:pStyle w:val="ListBullet"/>
      </w:pPr>
      <w:r>
        <w:rPr>
          <w:b/>
        </w:rPr>
        <w:t xml:space="preserve">ট্রান্সফার অব প্রোপার্টি অ্যাক্ট ১৮৮২ – হস্তান্তরযোগ্য সম্পত্তি ও নিবন্ধন – </w:t>
      </w:r>
      <w:r>
        <w:t>Transfer of Property Act 1882 – types of transfers, sale, exchange, gift and registration requirements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মজুদ/বন্ধকের স্বার্থ গণনা – </w:t>
      </w:r>
      <w:r>
        <w:t>Computing interest on pledged goods and mortgage securities</w:t>
      </w:r>
    </w:p>
    <w:p>
      <w:pPr>
        <w:pStyle w:val="ListBullet"/>
      </w:pPr>
      <w:r>
        <w:rPr>
          <w:b/>
        </w:rPr>
        <w:t xml:space="preserve">ব্যবসায়িক অংশীদারিত্বে লাভ ও ক্ষতির বণ্টন – </w:t>
      </w:r>
      <w:r>
        <w:t>Calculations of profit/loss sharing among partners</w:t>
      </w:r>
    </w:p>
    <w:p>
      <w:pPr>
        <w:pStyle w:val="ListBullet"/>
      </w:pPr>
      <w:r>
        <w:rPr>
          <w:b/>
        </w:rPr>
        <w:t xml:space="preserve">ফিডিউশিয়ারি দায় ও জামানতের মান নির্ণয় – </w:t>
      </w:r>
      <w:r>
        <w:t>Determining value of collateral and fiduciary responsibility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বৈধ চুক্তি না থাকলে ঋণগ্রহীতার সাথে ব্যাংকের ক্রেডিট চুক্তি বিতর্ক – </w:t>
      </w:r>
      <w:r>
        <w:t>Case of loan without proper contract – enforceability and remedies</w:t>
      </w:r>
    </w:p>
    <w:p>
      <w:pPr>
        <w:pStyle w:val="ListBullet"/>
      </w:pPr>
      <w:r>
        <w:rPr>
          <w:b/>
        </w:rPr>
        <w:t xml:space="preserve">গ্যারান্টির অধিকার সীমাবদ্ধতা কেস – </w:t>
      </w:r>
      <w:r>
        <w:t>Case where surety seeks discharge – circumstances relieving surety</w:t>
      </w:r>
    </w:p>
    <w:p>
      <w:pPr>
        <w:pStyle w:val="ListBullet"/>
      </w:pPr>
      <w:r>
        <w:rPr>
          <w:b/>
        </w:rPr>
        <w:t xml:space="preserve">অংশীদারি দায়বদ্ধতার মামলায় ব্যাংকের নিরাপত্তা – </w:t>
      </w:r>
      <w:r>
        <w:t>Bank’s protection when partners are jointly and severally liable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Contract – </w:t>
      </w:r>
      <w:r>
        <w:t>আইনসম্মত চুক্তি – offer, acceptance, consideration, free consent</w:t>
      </w:r>
    </w:p>
    <w:p>
      <w:pPr>
        <w:pStyle w:val="ListBullet"/>
      </w:pPr>
      <w:r>
        <w:rPr>
          <w:b/>
        </w:rPr>
        <w:t xml:space="preserve">Indemnity – </w:t>
      </w:r>
      <w:r>
        <w:t>এক ব্যক্তি অন্যের ক্ষতি পূরণ করবে এমন চুক্তি (Sec 124)</w:t>
      </w:r>
    </w:p>
    <w:p>
      <w:pPr>
        <w:pStyle w:val="ListBullet"/>
      </w:pPr>
      <w:r>
        <w:rPr>
          <w:b/>
        </w:rPr>
        <w:t xml:space="preserve">Guarantee – </w:t>
      </w:r>
      <w:r>
        <w:t>তৃতীয় পক্ষের ঋণভোগীর জন্য দায় নিশ্চিত করা (Sec 126)</w:t>
      </w:r>
    </w:p>
    <w:p>
      <w:pPr>
        <w:pStyle w:val="ListBullet"/>
      </w:pPr>
      <w:r>
        <w:rPr>
          <w:b/>
        </w:rPr>
        <w:t xml:space="preserve">Pledge – </w:t>
      </w:r>
      <w:r>
        <w:t>পণ দিয়ে ঋণ নেওয়া যেখানে পণ ব্যাংকের দখলে থাকে</w:t>
      </w:r>
    </w:p>
    <w:p>
      <w:pPr>
        <w:pStyle w:val="ListBullet"/>
      </w:pPr>
      <w:r>
        <w:rPr>
          <w:b/>
        </w:rPr>
        <w:t xml:space="preserve">Partnership – </w:t>
      </w:r>
      <w:r>
        <w:t>দুই বা ততোধিক ব্যক্তির ব্যবসা চালানোর চুক্তি ও পারস্পরিক প্রতিনিধিত্ব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Valid Contract – </w:t>
      </w:r>
      <w:r>
        <w:t>Essential elements: offer, acceptance, consideration, capacity, free consent</w:t>
      </w:r>
    </w:p>
    <w:p>
      <w:pPr>
        <w:pStyle w:val="ListBullet"/>
      </w:pPr>
      <w:r>
        <w:rPr>
          <w:b/>
        </w:rPr>
        <w:t xml:space="preserve">Void Agreement – </w:t>
      </w:r>
      <w:r>
        <w:t>Agreements not enforceable by law (e.g., minor’s contract)</w:t>
      </w:r>
    </w:p>
    <w:p>
      <w:pPr>
        <w:pStyle w:val="ListBullet"/>
      </w:pPr>
      <w:r>
        <w:rPr>
          <w:b/>
        </w:rPr>
        <w:t xml:space="preserve">Pawnee – </w:t>
      </w:r>
      <w:r>
        <w:t>Person who takes pledge and has right to sell on default</w:t>
      </w:r>
    </w:p>
    <w:p>
      <w:pPr>
        <w:pStyle w:val="ListBullet"/>
      </w:pPr>
      <w:r>
        <w:rPr>
          <w:b/>
        </w:rPr>
        <w:t xml:space="preserve">Memorandum of Association – </w:t>
      </w:r>
      <w:r>
        <w:t>Company’s constitution defining objectives</w:t>
      </w:r>
    </w:p>
    <w:p>
      <w:pPr>
        <w:pStyle w:val="ListBullet"/>
      </w:pPr>
      <w:r>
        <w:rPr>
          <w:b/>
        </w:rPr>
        <w:t xml:space="preserve">Articles of Association – </w:t>
      </w:r>
      <w:r>
        <w:t>Internal rules governing company management</w:t>
      </w:r>
    </w:p>
    <w:p>
      <w:r>
        <w:br w:type="page"/>
      </w:r>
    </w:p>
    <w:p>
      <w:pPr>
        <w:pStyle w:val="Heading1"/>
      </w:pPr>
      <w:r>
        <w:t>Module E – Information and Data Related Laws</w:t>
      </w:r>
    </w:p>
    <w:p>
      <w:r>
        <w:t>Deals with ICT Act 2006, Electronic Transactions and Evidence, Bankers Book Evidence Act and Right to Information Act.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আইসিটি আইন ২০০৬ – ইলেকট্রনিক দলিল ও অপরাধ – </w:t>
      </w:r>
      <w:r>
        <w:t>Information and Communication Technology Act 2006 – electronic records, digital signatures and cyber crimes</w:t>
      </w:r>
    </w:p>
    <w:p>
      <w:pPr>
        <w:pStyle w:val="ListBullet"/>
      </w:pPr>
      <w:r>
        <w:rPr>
          <w:b/>
        </w:rPr>
        <w:t xml:space="preserve">Bankers’ Book Evidence Act, 1891 – প্রামাণ্য দলিল – </w:t>
      </w:r>
      <w:r>
        <w:t>Bankers’ Book Evidence Act 1891 – admissibility of bank records as evidence</w:t>
      </w:r>
    </w:p>
    <w:p>
      <w:pPr>
        <w:pStyle w:val="ListBullet"/>
      </w:pPr>
      <w:r>
        <w:rPr>
          <w:b/>
        </w:rPr>
        <w:t xml:space="preserve">দলিল নিবন্ধনের আইন – ই-রেকর্ড ও বৈধতা – </w:t>
      </w:r>
      <w:r>
        <w:t>Registration of documents: legal validity of electronic records</w:t>
      </w:r>
    </w:p>
    <w:p>
      <w:pPr>
        <w:pStyle w:val="ListBullet"/>
      </w:pPr>
      <w:r>
        <w:rPr>
          <w:b/>
        </w:rPr>
        <w:t xml:space="preserve">গোপনীয়তা ও তথ্য অধিকার আইন ২০০৯ – </w:t>
      </w:r>
      <w:r>
        <w:t>Right to Information Act 2009 and confidentiality obligations</w:t>
      </w:r>
    </w:p>
    <w:p>
      <w:pPr>
        <w:pStyle w:val="ListBullet"/>
      </w:pPr>
      <w:r>
        <w:rPr>
          <w:b/>
        </w:rPr>
        <w:t xml:space="preserve">সাইবার ট্রাইব্যুনাল ও অপরাধের বিচার – </w:t>
      </w:r>
      <w:r>
        <w:t>Cyber tribunal and adjudication of cyber offences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ডিজিটাল সই যাচাইকরণ সময়নিরূপণ – </w:t>
      </w:r>
      <w:r>
        <w:t>Time‑stamping and verification of digital signatures</w:t>
      </w:r>
    </w:p>
    <w:p>
      <w:pPr>
        <w:pStyle w:val="ListBullet"/>
      </w:pPr>
      <w:r>
        <w:rPr>
          <w:b/>
        </w:rPr>
        <w:t xml:space="preserve">ইলেকট্রনিক ট্রানজেকশন ফি গণনা – </w:t>
      </w:r>
      <w:r>
        <w:t>Calculations involving electronic transaction fees</w:t>
      </w:r>
    </w:p>
    <w:p>
      <w:pPr>
        <w:pStyle w:val="ListBullet"/>
      </w:pPr>
      <w:r>
        <w:rPr>
          <w:b/>
        </w:rPr>
        <w:t xml:space="preserve">সাইবার অপরাধে দণ্ডের পরিমাণ – </w:t>
      </w:r>
      <w:r>
        <w:t>Computation of penalties under ICT Act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Bank statement evidence case – </w:t>
      </w:r>
      <w:r>
        <w:t>Using bank records as evidence in court; certification requirements</w:t>
      </w:r>
    </w:p>
    <w:p>
      <w:pPr>
        <w:pStyle w:val="ListBullet"/>
      </w:pPr>
      <w:r>
        <w:rPr>
          <w:b/>
        </w:rPr>
        <w:t xml:space="preserve">Digital fraud incident – </w:t>
      </w:r>
      <w:r>
        <w:t>Handling a customer’s report of online fraud and legal recourse</w:t>
      </w:r>
    </w:p>
    <w:p>
      <w:pPr>
        <w:pStyle w:val="ListBullet"/>
      </w:pPr>
      <w:r>
        <w:rPr>
          <w:b/>
        </w:rPr>
        <w:t xml:space="preserve">RTI application for bank information – </w:t>
      </w:r>
      <w:r>
        <w:t>Responding to a request under the Right to Information Act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Digital Signature – </w:t>
      </w:r>
      <w:r>
        <w:t>Electronic signature ensuring authenticity</w:t>
      </w:r>
    </w:p>
    <w:p>
      <w:pPr>
        <w:pStyle w:val="ListBullet"/>
      </w:pPr>
      <w:r>
        <w:rPr>
          <w:b/>
        </w:rPr>
        <w:t xml:space="preserve">Electronic Record – </w:t>
      </w:r>
      <w:r>
        <w:t>Data generated, sent, received or stored by electronic means</w:t>
      </w:r>
    </w:p>
    <w:p>
      <w:pPr>
        <w:pStyle w:val="ListBullet"/>
      </w:pPr>
      <w:r>
        <w:rPr>
          <w:b/>
        </w:rPr>
        <w:t xml:space="preserve">Cyber Tribunal – </w:t>
      </w:r>
      <w:r>
        <w:t>Court to try offences under ICT Act</w:t>
      </w:r>
    </w:p>
    <w:p>
      <w:pPr>
        <w:pStyle w:val="ListBullet"/>
      </w:pPr>
      <w:r>
        <w:rPr>
          <w:b/>
        </w:rPr>
        <w:t xml:space="preserve">Banker’s Book – </w:t>
      </w:r>
      <w:r>
        <w:t>Official records of banks, admissible as evidence</w:t>
      </w:r>
    </w:p>
    <w:p>
      <w:pPr>
        <w:pStyle w:val="ListBullet"/>
      </w:pPr>
      <w:r>
        <w:rPr>
          <w:b/>
        </w:rPr>
        <w:t xml:space="preserve">RTI – </w:t>
      </w:r>
      <w:r>
        <w:t>Right to Information – right of citizens to access information held by public authorities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Digital Signature Definition – </w:t>
      </w:r>
      <w:r>
        <w:t>As per ICT Act – authentication of electronic record</w:t>
      </w:r>
    </w:p>
    <w:p>
      <w:pPr>
        <w:pStyle w:val="ListBullet"/>
      </w:pPr>
      <w:r>
        <w:rPr>
          <w:b/>
        </w:rPr>
        <w:t xml:space="preserve">Electronic Gazette – </w:t>
      </w:r>
      <w:r>
        <w:t>Official publication in electronic form</w:t>
      </w:r>
    </w:p>
    <w:p>
      <w:pPr>
        <w:pStyle w:val="ListBullet"/>
      </w:pPr>
      <w:r>
        <w:rPr>
          <w:b/>
        </w:rPr>
        <w:t xml:space="preserve">Record Retention – </w:t>
      </w:r>
      <w:r>
        <w:t>Banks must retain electronic records for specified period</w:t>
      </w:r>
    </w:p>
    <w:p>
      <w:pPr>
        <w:pStyle w:val="ListBullet"/>
      </w:pPr>
      <w:r>
        <w:rPr>
          <w:b/>
        </w:rPr>
        <w:t xml:space="preserve">Data Privacy – </w:t>
      </w:r>
      <w:r>
        <w:t>Obligation to protect customers’ personal information</w:t>
      </w:r>
    </w:p>
    <w:p>
      <w:pPr>
        <w:pStyle w:val="ListBullet"/>
      </w:pPr>
      <w:r>
        <w:rPr>
          <w:b/>
        </w:rPr>
        <w:t xml:space="preserve">Cyber Crime – </w:t>
      </w:r>
      <w:r>
        <w:t>Offences committed using computers or networks</w:t>
      </w:r>
    </w:p>
    <w:p>
      <w:r>
        <w:br w:type="page"/>
      </w:r>
    </w:p>
    <w:p>
      <w:pPr>
        <w:pStyle w:val="Heading1"/>
      </w:pPr>
      <w:r>
        <w:t>Module F – General Laws</w:t>
      </w:r>
    </w:p>
    <w:p>
      <w:r>
        <w:t>Includes Bank Deposit Insurance Act 2023, Power of Attorney Act and environmental compliance for banks.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Bank Deposit Insurance Act – বীমা সুরক্ষা – </w:t>
      </w:r>
      <w:r>
        <w:t>Purpose of Deposit Insurance – protecting depositors and procedure for payout</w:t>
      </w:r>
    </w:p>
    <w:p>
      <w:pPr>
        <w:pStyle w:val="ListBullet"/>
      </w:pPr>
      <w:r>
        <w:rPr>
          <w:b/>
        </w:rPr>
        <w:t xml:space="preserve">Power of Attorney – নিয়ম ও দায় – </w:t>
      </w:r>
      <w:r>
        <w:t>Power of Attorney: creation, types (general/special) and liabilities</w:t>
      </w:r>
    </w:p>
    <w:p>
      <w:pPr>
        <w:pStyle w:val="ListBullet"/>
      </w:pPr>
      <w:r>
        <w:rPr>
          <w:b/>
        </w:rPr>
        <w:t xml:space="preserve">Green Banking Guidelines – </w:t>
      </w:r>
      <w:r>
        <w:t>Environmental compliance for banks and sustainability reporting</w:t>
      </w:r>
    </w:p>
    <w:p>
      <w:pPr>
        <w:pStyle w:val="ListBullet"/>
      </w:pPr>
      <w:r>
        <w:rPr>
          <w:b/>
        </w:rPr>
        <w:t xml:space="preserve">Environmental Protection Act provisions relevant to banks – </w:t>
      </w:r>
      <w:r>
        <w:t>Laws requiring banks to consider environmental impact in lending</w:t>
      </w:r>
    </w:p>
    <w:p>
      <w:pPr>
        <w:pStyle w:val="ListBullet"/>
      </w:pPr>
      <w:r>
        <w:rPr>
          <w:b/>
        </w:rPr>
        <w:t xml:space="preserve">ইচ্ছাপত্র (Will) ও ট্রাস্ট – </w:t>
      </w:r>
      <w:r>
        <w:t>Basics of will and trust instruments used in estate planning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ডিপোজিট বীমা প্রিমিয়াম গণনা – </w:t>
      </w:r>
      <w:r>
        <w:t>Computation of deposit insurance premium based on deposit size</w:t>
      </w:r>
    </w:p>
    <w:p>
      <w:pPr>
        <w:pStyle w:val="ListBullet"/>
      </w:pPr>
      <w:r>
        <w:rPr>
          <w:b/>
        </w:rPr>
        <w:t xml:space="preserve">অ্যাটর্নি ফি ও স্ট্যাম্প ডিউটি – </w:t>
      </w:r>
      <w:r>
        <w:t>Calculations of stamp duty on power of attorney</w:t>
      </w:r>
    </w:p>
    <w:p>
      <w:pPr>
        <w:pStyle w:val="ListBullet"/>
      </w:pPr>
      <w:r>
        <w:rPr>
          <w:b/>
        </w:rPr>
        <w:t xml:space="preserve">গ্রীন ফাইন্যান্সিং ঋণের সুদ হার – </w:t>
      </w:r>
      <w:r>
        <w:t>Interest calculation for green financing products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Deposit Insurance payout case – </w:t>
      </w:r>
      <w:r>
        <w:t>Claim process when a bank fails and role of deposit insurer</w:t>
      </w:r>
    </w:p>
    <w:p>
      <w:pPr>
        <w:pStyle w:val="ListBullet"/>
      </w:pPr>
      <w:r>
        <w:rPr>
          <w:b/>
        </w:rPr>
        <w:t xml:space="preserve">Abuse of Power of Attorney – </w:t>
      </w:r>
      <w:r>
        <w:t>Case where attorney misuses authority – remedies and bank’s duty</w:t>
      </w:r>
    </w:p>
    <w:p>
      <w:pPr>
        <w:pStyle w:val="ListBullet"/>
      </w:pPr>
      <w:r>
        <w:rPr>
          <w:b/>
        </w:rPr>
        <w:t xml:space="preserve">Environmental violation by borrower – </w:t>
      </w:r>
      <w:r>
        <w:t>Bank’s duty if borrower violates environmental laws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Deposit Insurance – </w:t>
      </w:r>
      <w:r>
        <w:t>Scheme to protect depositor’s funds up to a limit</w:t>
      </w:r>
    </w:p>
    <w:p>
      <w:pPr>
        <w:pStyle w:val="ListBullet"/>
      </w:pPr>
      <w:r>
        <w:rPr>
          <w:b/>
        </w:rPr>
        <w:t xml:space="preserve">Power of Attorney – </w:t>
      </w:r>
      <w:r>
        <w:t>Instrument authorising one person to act on behalf of another</w:t>
      </w:r>
    </w:p>
    <w:p>
      <w:pPr>
        <w:pStyle w:val="ListBullet"/>
      </w:pPr>
      <w:r>
        <w:rPr>
          <w:b/>
        </w:rPr>
        <w:t xml:space="preserve">Green Banking – </w:t>
      </w:r>
      <w:r>
        <w:t>Banking practices that support environmental sustainability</w:t>
      </w:r>
    </w:p>
    <w:p>
      <w:pPr>
        <w:pStyle w:val="ListBullet"/>
      </w:pPr>
      <w:r>
        <w:rPr>
          <w:b/>
        </w:rPr>
        <w:t xml:space="preserve">Will – </w:t>
      </w:r>
      <w:r>
        <w:t>Legal declaration of distribution of property after death</w:t>
      </w:r>
    </w:p>
    <w:p>
      <w:pPr>
        <w:pStyle w:val="ListBullet"/>
      </w:pPr>
      <w:r>
        <w:rPr>
          <w:b/>
        </w:rPr>
        <w:t xml:space="preserve">Trust – </w:t>
      </w:r>
      <w:r>
        <w:t>Fiduciary arrangement allowing a third party to hold assets on behalf of beneficiaries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Why deposit insurance? – </w:t>
      </w:r>
      <w:r>
        <w:t>Protects small depositors and maintains public confidence</w:t>
      </w:r>
    </w:p>
    <w:p>
      <w:pPr>
        <w:pStyle w:val="ListBullet"/>
      </w:pPr>
      <w:r>
        <w:rPr>
          <w:b/>
        </w:rPr>
        <w:t xml:space="preserve">Power of Attorney types – </w:t>
      </w:r>
      <w:r>
        <w:t>General vs special power of attorney</w:t>
      </w:r>
    </w:p>
    <w:p>
      <w:pPr>
        <w:pStyle w:val="ListBullet"/>
      </w:pPr>
      <w:r>
        <w:rPr>
          <w:b/>
        </w:rPr>
        <w:t xml:space="preserve">Environmental risk assessment – </w:t>
      </w:r>
      <w:r>
        <w:t>Banks must assess environmental risks before lending</w:t>
      </w:r>
    </w:p>
    <w:p>
      <w:pPr>
        <w:pStyle w:val="ListBullet"/>
      </w:pPr>
      <w:r>
        <w:rPr>
          <w:b/>
        </w:rPr>
        <w:t xml:space="preserve">Who is a principal? – </w:t>
      </w:r>
      <w:r>
        <w:t>Person who grants authority under power of attorney</w:t>
      </w:r>
    </w:p>
    <w:p>
      <w:pPr>
        <w:pStyle w:val="ListBullet"/>
      </w:pPr>
      <w:r>
        <w:rPr>
          <w:b/>
        </w:rPr>
        <w:t xml:space="preserve">What is a trust deed? – </w:t>
      </w:r>
      <w:r>
        <w:t>Document creating a trust and outlining terms</w:t>
      </w:r>
    </w:p>
    <w:p>
      <w:r>
        <w:br w:type="page"/>
      </w:r>
    </w:p>
    <w:p>
      <w:pPr>
        <w:pStyle w:val="Heading1"/>
      </w:pPr>
      <w:r>
        <w:t>Module G – Overview of Banking Practice</w:t>
      </w:r>
    </w:p>
    <w:p>
      <w:r>
        <w:t>Summarises banker-customer relationship, rights and duties, lien, set-off and secrecy of account.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ব্যাংকার–গ্রাহক সম্পর্কের ধরন – </w:t>
      </w:r>
      <w:r>
        <w:t>Nature of banker–customer relationship: debtor–creditor, trustee–beneficiary, agent–principal</w:t>
      </w:r>
    </w:p>
    <w:p>
      <w:pPr>
        <w:pStyle w:val="ListBullet"/>
      </w:pPr>
      <w:r>
        <w:rPr>
          <w:b/>
        </w:rPr>
        <w:t xml:space="preserve">ব্যাংকারের অধিকার ও দায়িত্ব – </w:t>
      </w:r>
      <w:r>
        <w:t>Rights and duties of bankers: honouring cheques, maintaining secrecy, exercising lien</w:t>
      </w:r>
    </w:p>
    <w:p>
      <w:pPr>
        <w:pStyle w:val="ListBullet"/>
      </w:pPr>
      <w:r>
        <w:rPr>
          <w:b/>
        </w:rPr>
        <w:t xml:space="preserve">লিয়েন ও সেট-অফ – </w:t>
      </w:r>
      <w:r>
        <w:t>General lien and right of set‑off – circumstances and procedure</w:t>
      </w:r>
    </w:p>
    <w:p>
      <w:pPr>
        <w:pStyle w:val="ListBullet"/>
      </w:pPr>
      <w:r>
        <w:rPr>
          <w:b/>
        </w:rPr>
        <w:t xml:space="preserve">গার্নিশি আদেশ – </w:t>
      </w:r>
      <w:r>
        <w:t>Garnishee order: court attachment of customer’s account and banker’s duty</w:t>
      </w:r>
    </w:p>
    <w:p>
      <w:pPr>
        <w:pStyle w:val="ListBullet"/>
      </w:pPr>
      <w:r>
        <w:rPr>
          <w:b/>
        </w:rPr>
        <w:t xml:space="preserve">ব্যাংকের কার্যাবলি – সেবা ও পণ্য – </w:t>
      </w:r>
      <w:r>
        <w:t>Functions of banks: accepting deposits, lending, remittance, safe custody</w:t>
      </w:r>
    </w:p>
    <w:p>
      <w:pPr>
        <w:pStyle w:val="Heading2"/>
      </w:pPr>
      <w:r>
        <w:t>Part B – Numericals/Reasoning</w:t>
      </w:r>
    </w:p>
    <w:p>
      <w:r>
        <w:t>No numerical focus for this module.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চেক প্রদান করতে ব্যর্থ হলে ক্ষতিপূরণের মামলা – </w:t>
      </w:r>
      <w:r>
        <w:t>Case of wrongful dishonour – damages for non‑payment of cheque</w:t>
      </w:r>
    </w:p>
    <w:p>
      <w:pPr>
        <w:pStyle w:val="ListBullet"/>
      </w:pPr>
      <w:r>
        <w:rPr>
          <w:b/>
        </w:rPr>
        <w:t xml:space="preserve">গ্রাহকের গোপনীয় তথ্য ফাঁস হওয়া – </w:t>
      </w:r>
      <w:r>
        <w:t>Banker’s liability for breaching secrecy</w:t>
      </w:r>
    </w:p>
    <w:p>
      <w:pPr>
        <w:pStyle w:val="ListBullet"/>
      </w:pPr>
      <w:r>
        <w:rPr>
          <w:b/>
        </w:rPr>
        <w:t xml:space="preserve">সাধারণ লিয়েন প্রয়োগের মামলা – </w:t>
      </w:r>
      <w:r>
        <w:t>Case where banker exercises lien on customer’s securities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Banker – </w:t>
      </w:r>
      <w:r>
        <w:t>Institution accepting deposits and providing banking services</w:t>
      </w:r>
    </w:p>
    <w:p>
      <w:pPr>
        <w:pStyle w:val="ListBullet"/>
      </w:pPr>
      <w:r>
        <w:rPr>
          <w:b/>
        </w:rPr>
        <w:t xml:space="preserve">Customer – </w:t>
      </w:r>
      <w:r>
        <w:t>Person having an account with a bank</w:t>
      </w:r>
    </w:p>
    <w:p>
      <w:pPr>
        <w:pStyle w:val="ListBullet"/>
      </w:pPr>
      <w:r>
        <w:rPr>
          <w:b/>
        </w:rPr>
        <w:t xml:space="preserve">Lien – </w:t>
      </w:r>
      <w:r>
        <w:t>Right to retain property until debt is paid</w:t>
      </w:r>
    </w:p>
    <w:p>
      <w:pPr>
        <w:pStyle w:val="ListBullet"/>
      </w:pPr>
      <w:r>
        <w:rPr>
          <w:b/>
        </w:rPr>
        <w:t xml:space="preserve">Set-off – </w:t>
      </w:r>
      <w:r>
        <w:t>Right to combine accounts and set liabilities against deposits</w:t>
      </w:r>
    </w:p>
    <w:p>
      <w:pPr>
        <w:pStyle w:val="ListBullet"/>
      </w:pPr>
      <w:r>
        <w:rPr>
          <w:b/>
        </w:rPr>
        <w:t xml:space="preserve">Garnishee Order – </w:t>
      </w:r>
      <w:r>
        <w:t>Court order attaching debtor’s bank account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Debtor–Creditor Relation – </w:t>
      </w:r>
      <w:r>
        <w:t>Primary relationship between banker and customer</w:t>
      </w:r>
    </w:p>
    <w:p>
      <w:pPr>
        <w:pStyle w:val="ListBullet"/>
      </w:pPr>
      <w:r>
        <w:rPr>
          <w:b/>
        </w:rPr>
        <w:t xml:space="preserve">Secrecy Obligation – </w:t>
      </w:r>
      <w:r>
        <w:t>Duty of banker not to disclose customer’s information</w:t>
      </w:r>
    </w:p>
    <w:p>
      <w:pPr>
        <w:pStyle w:val="ListBullet"/>
      </w:pPr>
      <w:r>
        <w:rPr>
          <w:b/>
        </w:rPr>
        <w:t xml:space="preserve">Obligation to honour cheques – </w:t>
      </w:r>
      <w:r>
        <w:t>Banker must honour properly drawn cheques</w:t>
      </w:r>
    </w:p>
    <w:p>
      <w:pPr>
        <w:pStyle w:val="ListBullet"/>
      </w:pPr>
      <w:r>
        <w:rPr>
          <w:b/>
        </w:rPr>
        <w:t xml:space="preserve">What is a garnishee order? – </w:t>
      </w:r>
      <w:r>
        <w:t>Legal order to attach funds in a debtor’s account</w:t>
      </w:r>
    </w:p>
    <w:p>
      <w:pPr>
        <w:pStyle w:val="ListBullet"/>
      </w:pPr>
      <w:r>
        <w:rPr>
          <w:b/>
        </w:rPr>
        <w:t xml:space="preserve">Lien vs Set‑off – </w:t>
      </w:r>
      <w:r>
        <w:t>Difference between retaining property and combining accounts</w:t>
      </w:r>
    </w:p>
    <w:p>
      <w:r>
        <w:br w:type="page"/>
      </w:r>
    </w:p>
    <w:p>
      <w:pPr>
        <w:pStyle w:val="Heading1"/>
      </w:pPr>
      <w:r>
        <w:t>Module H – Deposit Accounts and Operation</w:t>
      </w:r>
    </w:p>
    <w:p>
      <w:r>
        <w:t>Covers opening, operation and monitoring of deposit accounts including KYC, CDD and special accounts.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অ্যাকাউন্ট খোলার নিয়ম ও প্রয়োজনীয়তা – </w:t>
      </w:r>
      <w:r>
        <w:t>Procedures for opening accounts: forms, KYC documents, introducer</w:t>
      </w:r>
    </w:p>
    <w:p>
      <w:pPr>
        <w:pStyle w:val="ListBullet"/>
      </w:pPr>
      <w:r>
        <w:rPr>
          <w:b/>
        </w:rPr>
        <w:t xml:space="preserve">KYC, CDD ও EDD – </w:t>
      </w:r>
      <w:r>
        <w:t>Know Your Customer (KYC), Customer Due Diligence (CDD) and Enhanced Due Diligence (EDD) requirements</w:t>
      </w:r>
    </w:p>
    <w:p>
      <w:pPr>
        <w:pStyle w:val="ListBullet"/>
      </w:pPr>
      <w:r>
        <w:rPr>
          <w:b/>
        </w:rPr>
        <w:t xml:space="preserve">Minor Account, Joint Account ও Partnership Account খোলার নিয়ম – </w:t>
      </w:r>
      <w:r>
        <w:t>Opening of minor, joint and partnership accounts – specific documentation</w:t>
      </w:r>
    </w:p>
    <w:p>
      <w:pPr>
        <w:pStyle w:val="ListBullet"/>
      </w:pPr>
      <w:r>
        <w:rPr>
          <w:b/>
        </w:rPr>
        <w:t xml:space="preserve">PEP ও উচ্চ ঝুঁকির গ্রাহক – </w:t>
      </w:r>
      <w:r>
        <w:t>Handling Politically Exposed Persons and high risk customers</w:t>
      </w:r>
    </w:p>
    <w:p>
      <w:pPr>
        <w:pStyle w:val="ListBullet"/>
      </w:pPr>
      <w:r>
        <w:rPr>
          <w:b/>
        </w:rPr>
        <w:t xml:space="preserve">Nominee ও প্রতিনিধির নিয়োগ – </w:t>
      </w:r>
      <w:r>
        <w:t>Appointment of nominee and mandate holder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FDR মুনাফা গণনা – </w:t>
      </w:r>
      <w:r>
        <w:t>Calculations of interest on fixed deposit receipts</w:t>
      </w:r>
    </w:p>
    <w:p>
      <w:pPr>
        <w:pStyle w:val="ListBullet"/>
      </w:pPr>
      <w:r>
        <w:rPr>
          <w:b/>
        </w:rPr>
        <w:t xml:space="preserve">যৌথ অ্যাকাউন্ট লাভ/ক্ষতি বণ্টন – </w:t>
      </w:r>
      <w:r>
        <w:t>Computation of profit or loss sharing in joint accounts</w:t>
      </w:r>
    </w:p>
    <w:p>
      <w:pPr>
        <w:pStyle w:val="ListBullet"/>
      </w:pPr>
      <w:r>
        <w:rPr>
          <w:b/>
        </w:rPr>
        <w:t xml:space="preserve">KYC নিয়ন্ত্রণে সুদ ও কমিশন – </w:t>
      </w:r>
      <w:r>
        <w:t>Interest and commission adjustments due to compliance costs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PEP account case – </w:t>
      </w:r>
      <w:r>
        <w:t>Enhanced due diligence for PEP and monitoring unusual transactions</w:t>
      </w:r>
    </w:p>
    <w:p>
      <w:pPr>
        <w:pStyle w:val="ListBullet"/>
      </w:pPr>
      <w:r>
        <w:rPr>
          <w:b/>
        </w:rPr>
        <w:t xml:space="preserve">Partnership account dispute – </w:t>
      </w:r>
      <w:r>
        <w:t>Joint instructions conflict – how banker should act</w:t>
      </w:r>
    </w:p>
    <w:p>
      <w:pPr>
        <w:pStyle w:val="ListBullet"/>
      </w:pPr>
      <w:r>
        <w:rPr>
          <w:b/>
        </w:rPr>
        <w:t xml:space="preserve">Minor account withdrawal – </w:t>
      </w:r>
      <w:r>
        <w:t>Guardian’s authority and banker’s precautions for withdrawals from minor’s account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KYC – </w:t>
      </w:r>
      <w:r>
        <w:t>Know Your Customer – process to identify and verify customers</w:t>
      </w:r>
    </w:p>
    <w:p>
      <w:pPr>
        <w:pStyle w:val="ListBullet"/>
      </w:pPr>
      <w:r>
        <w:rPr>
          <w:b/>
        </w:rPr>
        <w:t xml:space="preserve">CDD – </w:t>
      </w:r>
      <w:r>
        <w:t>Customer Due Diligence – risk‑based verification</w:t>
      </w:r>
    </w:p>
    <w:p>
      <w:pPr>
        <w:pStyle w:val="ListBullet"/>
      </w:pPr>
      <w:r>
        <w:rPr>
          <w:b/>
        </w:rPr>
        <w:t xml:space="preserve">EDD – </w:t>
      </w:r>
      <w:r>
        <w:t>Enhanced Due Diligence – additional scrutiny for high risk customers</w:t>
      </w:r>
    </w:p>
    <w:p>
      <w:pPr>
        <w:pStyle w:val="ListBullet"/>
      </w:pPr>
      <w:r>
        <w:rPr>
          <w:b/>
        </w:rPr>
        <w:t xml:space="preserve">PEP – </w:t>
      </w:r>
      <w:r>
        <w:t>Politically Exposed Person – high risk individual</w:t>
      </w:r>
    </w:p>
    <w:p>
      <w:pPr>
        <w:pStyle w:val="ListBullet"/>
      </w:pPr>
      <w:r>
        <w:rPr>
          <w:b/>
        </w:rPr>
        <w:t xml:space="preserve">Nominee – </w:t>
      </w:r>
      <w:r>
        <w:t>Person authorised to receive deposit proceeds after account holder’s death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Sanction Screening – </w:t>
      </w:r>
      <w:r>
        <w:t>Checking customer names against sanction lists</w:t>
      </w:r>
    </w:p>
    <w:p>
      <w:pPr>
        <w:pStyle w:val="ListBullet"/>
      </w:pPr>
      <w:r>
        <w:rPr>
          <w:b/>
        </w:rPr>
        <w:t xml:space="preserve">Minor Account – </w:t>
      </w:r>
      <w:r>
        <w:t>Account for person below 18 – operated by guardian</w:t>
      </w:r>
    </w:p>
    <w:p>
      <w:pPr>
        <w:pStyle w:val="ListBullet"/>
      </w:pPr>
      <w:r>
        <w:rPr>
          <w:b/>
        </w:rPr>
        <w:t xml:space="preserve">Introducer – </w:t>
      </w:r>
      <w:r>
        <w:t>Existing customer who introduces a new account holder</w:t>
      </w:r>
    </w:p>
    <w:p>
      <w:pPr>
        <w:pStyle w:val="ListBullet"/>
      </w:pPr>
      <w:r>
        <w:rPr>
          <w:b/>
        </w:rPr>
        <w:t xml:space="preserve">e‑KYC – </w:t>
      </w:r>
      <w:r>
        <w:t>Electronic KYC process for remote account opening</w:t>
      </w:r>
    </w:p>
    <w:p>
      <w:pPr>
        <w:pStyle w:val="ListBullet"/>
      </w:pPr>
      <w:r>
        <w:rPr>
          <w:b/>
        </w:rPr>
        <w:t xml:space="preserve">UCIC – </w:t>
      </w:r>
      <w:r>
        <w:t>Unique Customer Identification Code assigned by banks</w:t>
      </w:r>
    </w:p>
    <w:p>
      <w:r>
        <w:br w:type="page"/>
      </w:r>
    </w:p>
    <w:p>
      <w:pPr>
        <w:pStyle w:val="Heading1"/>
      </w:pPr>
      <w:r>
        <w:t>Module I – Negotiable Instruments &amp; Payment Systems</w:t>
      </w:r>
    </w:p>
    <w:p>
      <w:r>
        <w:t>Examines practical aspects of cheques, drafts, BACH, BEFTN, NPSB and RTGS and other payment systems.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Cheque ও Draft এর বৈশিষ্ট্য ও ব্যবহারের নিয়ম – </w:t>
      </w:r>
      <w:r>
        <w:t>Features and use of cheque, demand draft and pay order</w:t>
      </w:r>
    </w:p>
    <w:p>
      <w:pPr>
        <w:pStyle w:val="ListBullet"/>
      </w:pPr>
      <w:r>
        <w:rPr>
          <w:b/>
        </w:rPr>
        <w:t xml:space="preserve">BACH, BEFTN, NPSB ও RTGS – প্রক্রিয়া ও সুবিধা – </w:t>
      </w:r>
      <w:r>
        <w:t>Bangladesh Automated Clearing House (BACH), Bangladesh Electronic Funds Transfer Network (BEFTN), National Payment Switch (NPSB) and Real Time Gross Settlement (RTGS) – processes and benefits</w:t>
      </w:r>
    </w:p>
    <w:p>
      <w:pPr>
        <w:pStyle w:val="ListBullet"/>
      </w:pPr>
      <w:r>
        <w:rPr>
          <w:b/>
        </w:rPr>
        <w:t xml:space="preserve">ডিম্যান্ড ড্রাফট ও পে অর্ডার ইস্যু প্রক্রিয়া – </w:t>
      </w:r>
      <w:r>
        <w:t>Issuance process of demand draft and pay order and banker’s liability</w:t>
      </w:r>
    </w:p>
    <w:p>
      <w:pPr>
        <w:pStyle w:val="ListBullet"/>
      </w:pPr>
      <w:r>
        <w:rPr>
          <w:b/>
        </w:rPr>
        <w:t xml:space="preserve">সাধারণ অসুবিধা ও সামাধান – </w:t>
      </w:r>
      <w:r>
        <w:t>Common problems in payment systems and remedies</w:t>
      </w:r>
    </w:p>
    <w:p>
      <w:pPr>
        <w:pStyle w:val="ListBullet"/>
      </w:pPr>
      <w:r>
        <w:rPr>
          <w:b/>
        </w:rPr>
        <w:t xml:space="preserve">গ্রাহক অভিযোগ নিষ্পত্তি পদ্ধতি – </w:t>
      </w:r>
      <w:r>
        <w:t>Customer complaint resolution in payment services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BACH ফি ও সময় গণনা – </w:t>
      </w:r>
      <w:r>
        <w:t>Calculation of clearing fees and settlement times</w:t>
      </w:r>
    </w:p>
    <w:p>
      <w:pPr>
        <w:pStyle w:val="ListBullet"/>
      </w:pPr>
      <w:r>
        <w:rPr>
          <w:b/>
        </w:rPr>
        <w:t xml:space="preserve">RTGS লেনদেন ফি – </w:t>
      </w:r>
      <w:r>
        <w:t>Computation of RTGS transaction charges</w:t>
      </w:r>
    </w:p>
    <w:p>
      <w:pPr>
        <w:pStyle w:val="ListBullet"/>
      </w:pPr>
      <w:r>
        <w:rPr>
          <w:b/>
        </w:rPr>
        <w:t xml:space="preserve">Draft commission ও stamp duty – </w:t>
      </w:r>
      <w:r>
        <w:t>Computing commission and stamp duty on drafts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ডিমান্ড ড্রাফট হারিয়ে গেলে করণীয় – </w:t>
      </w:r>
      <w:r>
        <w:t>Actions when a demand draft is lost – duplication and indemnity</w:t>
      </w:r>
    </w:p>
    <w:p>
      <w:pPr>
        <w:pStyle w:val="ListBullet"/>
      </w:pPr>
      <w:r>
        <w:rPr>
          <w:b/>
        </w:rPr>
        <w:t xml:space="preserve">Wrongful stop payment – </w:t>
      </w:r>
      <w:r>
        <w:t>Case of unjustified stop payment instruction and banker’s duty</w:t>
      </w:r>
    </w:p>
    <w:p>
      <w:pPr>
        <w:pStyle w:val="ListBullet"/>
      </w:pPr>
      <w:r>
        <w:rPr>
          <w:b/>
        </w:rPr>
        <w:t xml:space="preserve">ATM/Card transaction dispute – </w:t>
      </w:r>
      <w:r>
        <w:t>Handling disputes arising from electronic banking transactions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Demand Draft – </w:t>
      </w:r>
      <w:r>
        <w:t>Prepaid negotiable instrument payable on demand</w:t>
      </w:r>
    </w:p>
    <w:p>
      <w:pPr>
        <w:pStyle w:val="ListBullet"/>
      </w:pPr>
      <w:r>
        <w:rPr>
          <w:b/>
        </w:rPr>
        <w:t xml:space="preserve">Pay Order – </w:t>
      </w:r>
      <w:r>
        <w:t>Bank’s order to pay a certain sum to beneficiary</w:t>
      </w:r>
    </w:p>
    <w:p>
      <w:pPr>
        <w:pStyle w:val="ListBullet"/>
      </w:pPr>
      <w:r>
        <w:rPr>
          <w:b/>
        </w:rPr>
        <w:t xml:space="preserve">BACH – </w:t>
      </w:r>
      <w:r>
        <w:t>Automated clearing house for cheque settlement</w:t>
      </w:r>
    </w:p>
    <w:p>
      <w:pPr>
        <w:pStyle w:val="ListBullet"/>
      </w:pPr>
      <w:r>
        <w:rPr>
          <w:b/>
        </w:rPr>
        <w:t xml:space="preserve">BEFTN – </w:t>
      </w:r>
      <w:r>
        <w:t>Electronic fund transfer system for credit and debit transactions</w:t>
      </w:r>
    </w:p>
    <w:p>
      <w:pPr>
        <w:pStyle w:val="ListBullet"/>
      </w:pPr>
      <w:r>
        <w:rPr>
          <w:b/>
        </w:rPr>
        <w:t xml:space="preserve">RTGS – </w:t>
      </w:r>
      <w:r>
        <w:t>Real Time Gross Settlement – instant large-value transfers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NITA – </w:t>
      </w:r>
      <w:r>
        <w:t>Non-resident Investor’s Taka Account – account for foreign investors</w:t>
      </w:r>
    </w:p>
    <w:p>
      <w:pPr>
        <w:pStyle w:val="ListBullet"/>
      </w:pPr>
      <w:r>
        <w:rPr>
          <w:b/>
        </w:rPr>
        <w:t xml:space="preserve">NPSB – </w:t>
      </w:r>
      <w:r>
        <w:t>National Payment Switch Bangladesh – interbank electronic switch</w:t>
      </w:r>
    </w:p>
    <w:p>
      <w:pPr>
        <w:pStyle w:val="ListBullet"/>
      </w:pPr>
      <w:r>
        <w:rPr>
          <w:b/>
        </w:rPr>
        <w:t xml:space="preserve">BACH – </w:t>
      </w:r>
      <w:r>
        <w:t>Bangladesh Automated Clearing House – clearing cheques electronically</w:t>
      </w:r>
    </w:p>
    <w:p>
      <w:pPr>
        <w:pStyle w:val="ListBullet"/>
      </w:pPr>
      <w:r>
        <w:rPr>
          <w:b/>
        </w:rPr>
        <w:t xml:space="preserve">Stop Payment – </w:t>
      </w:r>
      <w:r>
        <w:t>Instruction to banker not to honour a specific cheque</w:t>
      </w:r>
    </w:p>
    <w:p>
      <w:pPr>
        <w:pStyle w:val="ListBullet"/>
      </w:pPr>
      <w:r>
        <w:rPr>
          <w:b/>
        </w:rPr>
        <w:t xml:space="preserve">Duplicate Draft – </w:t>
      </w:r>
      <w:r>
        <w:t>Issue of duplicate draft if original is lost</w:t>
      </w:r>
    </w:p>
    <w:p>
      <w:r>
        <w:br w:type="page"/>
      </w:r>
    </w:p>
    <w:p>
      <w:pPr>
        <w:pStyle w:val="Heading1"/>
      </w:pPr>
      <w:r>
        <w:t>Module J – Cash Management</w:t>
      </w:r>
    </w:p>
    <w:p>
      <w:r>
        <w:t>Focuses on vault operations, cash handling, currency management and safe custody.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Vault cash ও ATM cash পরিচালনা – </w:t>
      </w:r>
      <w:r>
        <w:t>Management of vault cash and ATM cash – reconciliation and limits</w:t>
      </w:r>
    </w:p>
    <w:p>
      <w:pPr>
        <w:pStyle w:val="ListBullet"/>
      </w:pPr>
      <w:r>
        <w:rPr>
          <w:b/>
        </w:rPr>
        <w:t xml:space="preserve">মুদ্রানোট নষ্ট, বিকৃত ও জাল নোটের শনাক্তকরণ – </w:t>
      </w:r>
      <w:r>
        <w:t>Identification and handling of mutilated, soiled and counterfeit notes</w:t>
      </w:r>
    </w:p>
    <w:p>
      <w:pPr>
        <w:pStyle w:val="ListBullet"/>
      </w:pPr>
      <w:r>
        <w:rPr>
          <w:b/>
        </w:rPr>
        <w:t xml:space="preserve">Locker service ও custody arrangements – </w:t>
      </w:r>
      <w:r>
        <w:t>Locker facility rules, hiring process and customer agreements</w:t>
      </w:r>
    </w:p>
    <w:p>
      <w:pPr>
        <w:pStyle w:val="ListBullet"/>
      </w:pPr>
      <w:r>
        <w:rPr>
          <w:b/>
        </w:rPr>
        <w:t xml:space="preserve">Inward &amp; outward bills for collection – </w:t>
      </w:r>
      <w:r>
        <w:t>Processes for bills received for collection and sent for collection</w:t>
      </w:r>
    </w:p>
    <w:p>
      <w:pPr>
        <w:pStyle w:val="ListBullet"/>
      </w:pPr>
      <w:r>
        <w:rPr>
          <w:b/>
        </w:rPr>
        <w:t xml:space="preserve">Remittance payment ও cash delivery – </w:t>
      </w:r>
      <w:r>
        <w:t>Payment of remittances and handling cash deliveries securely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Vault limit ব্যালেন্সিং – </w:t>
      </w:r>
      <w:r>
        <w:t>Calculation of vault limit based on average transactions</w:t>
      </w:r>
    </w:p>
    <w:p>
      <w:pPr>
        <w:pStyle w:val="ListBullet"/>
      </w:pPr>
      <w:r>
        <w:rPr>
          <w:b/>
        </w:rPr>
        <w:t xml:space="preserve">CRR/SLR গণনা – </w:t>
      </w:r>
      <w:r>
        <w:t>Numerical practice on CRR and SLR requirements</w:t>
      </w:r>
    </w:p>
    <w:p>
      <w:pPr>
        <w:pStyle w:val="ListBullet"/>
      </w:pPr>
      <w:r>
        <w:rPr>
          <w:b/>
        </w:rPr>
        <w:t xml:space="preserve">Cash shortage ও excess হিসাব – </w:t>
      </w:r>
      <w:r>
        <w:t>Accounting for cash shortage or excess in daily balancing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জাল নোট সনাক্ত কেস – </w:t>
      </w:r>
      <w:r>
        <w:t>Case of detecting counterfeit note and procedure of confiscation</w:t>
      </w:r>
    </w:p>
    <w:p>
      <w:pPr>
        <w:pStyle w:val="ListBullet"/>
      </w:pPr>
      <w:r>
        <w:rPr>
          <w:b/>
        </w:rPr>
        <w:t xml:space="preserve">ATM ত্রুটি ও গ্রাহকের অভিযোগ – </w:t>
      </w:r>
      <w:r>
        <w:t>Handling ATM malfunction and customer complaint</w:t>
      </w:r>
    </w:p>
    <w:p>
      <w:pPr>
        <w:pStyle w:val="ListBullet"/>
      </w:pPr>
      <w:r>
        <w:rPr>
          <w:b/>
        </w:rPr>
        <w:t xml:space="preserve">Locker dispute case – </w:t>
      </w:r>
      <w:r>
        <w:t>Dispute over locker contents – bank’s liability and evidence</w:t>
      </w:r>
    </w:p>
    <w:p>
      <w:pPr>
        <w:pStyle w:val="ListBullet"/>
      </w:pPr>
      <w:r>
        <w:rPr>
          <w:b/>
        </w:rPr>
        <w:t xml:space="preserve">হস্তান্তর সময়ে নোট পরিবর্তনে প্রণালি – </w:t>
      </w:r>
      <w:r>
        <w:t>Procedure of exchanging damaged notes for fresh ones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Vault Cash – </w:t>
      </w:r>
      <w:r>
        <w:t>Cash stored in bank vault for daily operations</w:t>
      </w:r>
    </w:p>
    <w:p>
      <w:pPr>
        <w:pStyle w:val="ListBullet"/>
      </w:pPr>
      <w:r>
        <w:rPr>
          <w:b/>
        </w:rPr>
        <w:t xml:space="preserve">Mutilated Note – </w:t>
      </w:r>
      <w:r>
        <w:t>Note damaged but genuine – exchangeable</w:t>
      </w:r>
    </w:p>
    <w:p>
      <w:pPr>
        <w:pStyle w:val="ListBullet"/>
      </w:pPr>
      <w:r>
        <w:rPr>
          <w:b/>
        </w:rPr>
        <w:t xml:space="preserve">Fake Note – </w:t>
      </w:r>
      <w:r>
        <w:t>Counterfeit note – must be confiscated and reported</w:t>
      </w:r>
    </w:p>
    <w:p>
      <w:pPr>
        <w:pStyle w:val="ListBullet"/>
      </w:pPr>
      <w:r>
        <w:rPr>
          <w:b/>
        </w:rPr>
        <w:t xml:space="preserve">Locker – </w:t>
      </w:r>
      <w:r>
        <w:t>Safe deposit facility for customers valuables</w:t>
      </w:r>
    </w:p>
    <w:p>
      <w:pPr>
        <w:pStyle w:val="ListBullet"/>
      </w:pPr>
      <w:r>
        <w:rPr>
          <w:b/>
        </w:rPr>
        <w:t xml:space="preserve">Bill for Collection – </w:t>
      </w:r>
      <w:r>
        <w:t>Instrument entrusted to bank for collection of funds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Soiled Note – </w:t>
      </w:r>
      <w:r>
        <w:t>Dirty but undamaged note – exchangeable</w:t>
      </w:r>
    </w:p>
    <w:p>
      <w:pPr>
        <w:pStyle w:val="ListBullet"/>
      </w:pPr>
      <w:r>
        <w:rPr>
          <w:b/>
        </w:rPr>
        <w:t xml:space="preserve">Charred Note – </w:t>
      </w:r>
      <w:r>
        <w:t>Partially burnt note – treatment under note refund rules</w:t>
      </w:r>
    </w:p>
    <w:p>
      <w:pPr>
        <w:pStyle w:val="ListBullet"/>
      </w:pPr>
      <w:r>
        <w:rPr>
          <w:b/>
        </w:rPr>
        <w:t xml:space="preserve">Vault Limit – </w:t>
      </w:r>
      <w:r>
        <w:t>Maximum cash allowed to be held in a branch vault</w:t>
      </w:r>
    </w:p>
    <w:p>
      <w:pPr>
        <w:pStyle w:val="ListBullet"/>
      </w:pPr>
      <w:r>
        <w:rPr>
          <w:b/>
        </w:rPr>
        <w:t xml:space="preserve">Locker Hirer – </w:t>
      </w:r>
      <w:r>
        <w:t>Person who hires locker from bank</w:t>
      </w:r>
    </w:p>
    <w:p>
      <w:pPr>
        <w:pStyle w:val="ListBullet"/>
      </w:pPr>
      <w:r>
        <w:rPr>
          <w:b/>
        </w:rPr>
        <w:t xml:space="preserve">ATM settlement – </w:t>
      </w:r>
      <w:r>
        <w:t>Reconciliation of ATM cash dispensing and system balance</w:t>
      </w:r>
    </w:p>
    <w:p>
      <w:r>
        <w:br w:type="page"/>
      </w:r>
    </w:p>
    <w:p>
      <w:pPr>
        <w:pStyle w:val="Heading1"/>
      </w:pPr>
      <w:r>
        <w:t>Module L – Other General Banking</w:t>
      </w:r>
    </w:p>
    <w:p>
      <w:r>
        <w:t>Covers reconciliation, daily controls, records management and business continuity planning.</w:t>
      </w:r>
    </w:p>
    <w:p>
      <w:pPr>
        <w:pStyle w:val="Heading2"/>
      </w:pPr>
      <w:r>
        <w:t>Part A – Broad Questions</w:t>
      </w:r>
    </w:p>
    <w:p>
      <w:pPr>
        <w:pStyle w:val="ListBullet"/>
      </w:pPr>
      <w:r>
        <w:rPr>
          <w:b/>
        </w:rPr>
        <w:t xml:space="preserve">Reconciliation process ও গুরুত্ব – </w:t>
      </w:r>
      <w:r>
        <w:t>Bank reconciliation procedures and importance of balancing accounts</w:t>
      </w:r>
    </w:p>
    <w:p>
      <w:pPr>
        <w:pStyle w:val="ListBullet"/>
      </w:pPr>
      <w:r>
        <w:rPr>
          <w:b/>
        </w:rPr>
        <w:t xml:space="preserve">DCFCL এবং ওয়েভার – </w:t>
      </w:r>
      <w:r>
        <w:t>Debit Credit Forwarding and Clearing List (DCFCL) and waiver procedures</w:t>
      </w:r>
    </w:p>
    <w:p>
      <w:pPr>
        <w:pStyle w:val="ListBullet"/>
      </w:pPr>
      <w:r>
        <w:rPr>
          <w:b/>
        </w:rPr>
        <w:t xml:space="preserve">Daily activity report ও GL balancing – </w:t>
      </w:r>
      <w:r>
        <w:t>Daily transaction reports and general ledger balancing</w:t>
      </w:r>
    </w:p>
    <w:p>
      <w:pPr>
        <w:pStyle w:val="ListBullet"/>
      </w:pPr>
      <w:r>
        <w:rPr>
          <w:b/>
        </w:rPr>
        <w:t xml:space="preserve">Record preservation rules – </w:t>
      </w:r>
      <w:r>
        <w:t>Retention of records – period and format as per Bangladesh Bank and ICT laws</w:t>
      </w:r>
    </w:p>
    <w:p>
      <w:pPr>
        <w:pStyle w:val="ListBullet"/>
      </w:pPr>
      <w:r>
        <w:rPr>
          <w:b/>
        </w:rPr>
        <w:t xml:space="preserve">Business Continuity Plan (BCP) – </w:t>
      </w:r>
      <w:r>
        <w:t>Planning and testing to ensure operations during disruptions</w:t>
      </w:r>
    </w:p>
    <w:p>
      <w:pPr>
        <w:pStyle w:val="Heading2"/>
      </w:pPr>
      <w:r>
        <w:t>Part B – Numericals/Reasoning</w:t>
      </w:r>
    </w:p>
    <w:p>
      <w:pPr>
        <w:pStyle w:val="ListBullet"/>
      </w:pPr>
      <w:r>
        <w:rPr>
          <w:b/>
        </w:rPr>
        <w:t xml:space="preserve">ব্যালান্সিং লজিক – </w:t>
      </w:r>
      <w:r>
        <w:t>Basic numerical checks for daily balancing</w:t>
      </w:r>
    </w:p>
    <w:p>
      <w:pPr>
        <w:pStyle w:val="ListBullet"/>
      </w:pPr>
      <w:r>
        <w:rPr>
          <w:b/>
        </w:rPr>
        <w:t xml:space="preserve">অডিট এডজাস্টমেন্ট গণনা – </w:t>
      </w:r>
      <w:r>
        <w:t>Computing audit adjustments and error corrections</w:t>
      </w:r>
    </w:p>
    <w:p>
      <w:pPr>
        <w:pStyle w:val="ListBullet"/>
      </w:pPr>
      <w:r>
        <w:rPr>
          <w:b/>
        </w:rPr>
        <w:t xml:space="preserve">ডকুমেন্ট রিটেনশন সময় গণনা – </w:t>
      </w:r>
      <w:r>
        <w:t>Calculating record retention periods for different documents</w:t>
      </w:r>
    </w:p>
    <w:p>
      <w:pPr>
        <w:pStyle w:val="Heading2"/>
      </w:pPr>
      <w:r>
        <w:t>Part C – Case Studies</w:t>
      </w:r>
    </w:p>
    <w:p>
      <w:pPr>
        <w:pStyle w:val="ListBullet"/>
      </w:pPr>
      <w:r>
        <w:rPr>
          <w:b/>
        </w:rPr>
        <w:t xml:space="preserve">Unreconciled item case – </w:t>
      </w:r>
      <w:r>
        <w:t>Case of mismatch in books and bank statement – investigation steps</w:t>
      </w:r>
    </w:p>
    <w:p>
      <w:pPr>
        <w:pStyle w:val="ListBullet"/>
      </w:pPr>
      <w:r>
        <w:rPr>
          <w:b/>
        </w:rPr>
        <w:t xml:space="preserve">Statement mismatch dispute – </w:t>
      </w:r>
      <w:r>
        <w:t>Resolving differences between customer and bank records</w:t>
      </w:r>
    </w:p>
    <w:p>
      <w:pPr>
        <w:pStyle w:val="ListBullet"/>
      </w:pPr>
      <w:r>
        <w:rPr>
          <w:b/>
        </w:rPr>
        <w:t xml:space="preserve">Control weakness case – </w:t>
      </w:r>
      <w:r>
        <w:t>Identifying and rectifying control weaknesses in branch operations</w:t>
      </w:r>
    </w:p>
    <w:p>
      <w:pPr>
        <w:pStyle w:val="Heading2"/>
      </w:pPr>
      <w:r>
        <w:t>Part D – Definitions/Terms</w:t>
      </w:r>
    </w:p>
    <w:p>
      <w:pPr>
        <w:pStyle w:val="ListBullet"/>
      </w:pPr>
      <w:r>
        <w:rPr>
          <w:b/>
        </w:rPr>
        <w:t xml:space="preserve">Reconciliation – </w:t>
      </w:r>
      <w:r>
        <w:t>Process of matching bank records with books</w:t>
      </w:r>
    </w:p>
    <w:p>
      <w:pPr>
        <w:pStyle w:val="ListBullet"/>
      </w:pPr>
      <w:r>
        <w:rPr>
          <w:b/>
        </w:rPr>
        <w:t xml:space="preserve">DCFCL – </w:t>
      </w:r>
      <w:r>
        <w:t>List used to forward debit/credit instruments during clearing</w:t>
      </w:r>
    </w:p>
    <w:p>
      <w:pPr>
        <w:pStyle w:val="ListBullet"/>
      </w:pPr>
      <w:r>
        <w:rPr>
          <w:b/>
        </w:rPr>
        <w:t xml:space="preserve">Voucher – </w:t>
      </w:r>
      <w:r>
        <w:t>Document recording a transaction</w:t>
      </w:r>
    </w:p>
    <w:p>
      <w:pPr>
        <w:pStyle w:val="ListBullet"/>
      </w:pPr>
      <w:r>
        <w:rPr>
          <w:b/>
        </w:rPr>
        <w:t xml:space="preserve">General Ledger (GL) – </w:t>
      </w:r>
      <w:r>
        <w:t>Primary accounting record summarising all transactions</w:t>
      </w:r>
    </w:p>
    <w:p>
      <w:pPr>
        <w:pStyle w:val="ListBullet"/>
      </w:pPr>
      <w:r>
        <w:rPr>
          <w:b/>
        </w:rPr>
        <w:t xml:space="preserve">BCP – </w:t>
      </w:r>
      <w:r>
        <w:t>Business Continuity Plan to ensure uninterrupted service</w:t>
      </w:r>
    </w:p>
    <w:p>
      <w:pPr>
        <w:pStyle w:val="Heading2"/>
      </w:pPr>
      <w:r>
        <w:t>Part E – Short Notes</w:t>
      </w:r>
    </w:p>
    <w:p>
      <w:pPr>
        <w:pStyle w:val="ListBullet"/>
      </w:pPr>
      <w:r>
        <w:rPr>
          <w:b/>
        </w:rPr>
        <w:t xml:space="preserve">Why daily checking? – </w:t>
      </w:r>
      <w:r>
        <w:t>Daily control prevents fraud and errors</w:t>
      </w:r>
    </w:p>
    <w:p>
      <w:pPr>
        <w:pStyle w:val="ListBullet"/>
      </w:pPr>
      <w:r>
        <w:rPr>
          <w:b/>
        </w:rPr>
        <w:t xml:space="preserve">What is GL? – </w:t>
      </w:r>
      <w:r>
        <w:t>General Ledger – ledger summarising financial transactions</w:t>
      </w:r>
    </w:p>
    <w:p>
      <w:pPr>
        <w:pStyle w:val="ListBullet"/>
      </w:pPr>
      <w:r>
        <w:rPr>
          <w:b/>
        </w:rPr>
        <w:t xml:space="preserve">Record preservation period – </w:t>
      </w:r>
      <w:r>
        <w:t>Period for which banks must retain records (e.g., 5–10 years)</w:t>
      </w:r>
    </w:p>
    <w:p>
      <w:pPr>
        <w:pStyle w:val="ListBullet"/>
      </w:pPr>
      <w:r>
        <w:rPr>
          <w:b/>
        </w:rPr>
        <w:t xml:space="preserve">Purpose of DCFCL – </w:t>
      </w:r>
      <w:r>
        <w:t>To organise debit and credit vouchers for clearing</w:t>
      </w:r>
    </w:p>
    <w:p>
      <w:pPr>
        <w:pStyle w:val="ListBullet"/>
      </w:pPr>
      <w:r>
        <w:rPr>
          <w:b/>
        </w:rPr>
        <w:t xml:space="preserve">Voucher classification – </w:t>
      </w:r>
      <w:r>
        <w:t>Types of vouchers: debit, credit, transfer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