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৬ষ্ঠ ব্যাচ – ব্যাংকিং পেশাগত পরীক্ষা</w:t>
        <w:br/>
        <w:t>6th Banking Professional Examination – Complete Bilingual Guide</w:t>
      </w:r>
    </w:p>
    <w:p>
      <w:pPr>
        <w:pStyle w:val="Heading2"/>
      </w:pPr>
      <w:r>
        <w:t>Part A (উত্তর যেকোনো ২টি প্রশ্ন) / Part A (Answer any two questions)</w:t>
      </w:r>
    </w:p>
    <w:p>
      <w:pPr>
        <w:pStyle w:val="Heading2"/>
      </w:pPr>
      <w:r>
        <w:t>প্রশ্ন ১: দেউলিয়া আইন / Q1: Bankruptcy Act 1997</w:t>
      </w:r>
    </w:p>
    <w:p>
      <w:pPr>
        <w:pStyle w:val="ListBullet"/>
      </w:pPr>
      <w:r>
        <w:rPr>
          <w:b/>
        </w:rPr>
        <w:t>ঋণগ্রহীতার ঋণের পরিমাণ অন্তত ৫ লক্ষ টাকা এবং গত এক বছরের মধ্যে ঋণখেলাপির কোনও দেউলিয়াপনা কার্য ঘটলে, পাওনাদার আদালতে দেওয়ালিয়া মামলা করতে পারেন</w:t>
      </w:r>
      <w:r>
        <w:t xml:space="preserve"> → </w:t>
      </w:r>
      <w:r>
        <w:t>A creditor may file a bankruptcy suit when the debtor owes at least BDT 500,000 and has committed an act of bankruptcy within the last year, such as transferring property to defraud or benefit certain creditors</w:t>
      </w:r>
    </w:p>
    <w:p>
      <w:pPr>
        <w:pStyle w:val="ListBullet"/>
      </w:pPr>
      <w:r>
        <w:rPr>
          <w:b/>
        </w:rPr>
        <w:t>মামলায় ঋণের বিবরণ ও দেউলিয়াপনা ঘটনার বর্ণনা দিতে হয়; আদালত নোটিশ দিয়ে দেনাদারকে হাজির হতে বলে</w:t>
      </w:r>
      <w:r>
        <w:t xml:space="preserve"> → </w:t>
      </w:r>
      <w:r>
        <w:t>The petition must detail the debt and act of bankruptcy; the court issues a notice summoning the debtor</w:t>
      </w:r>
    </w:p>
    <w:p>
      <w:pPr>
        <w:pStyle w:val="ListBullet"/>
      </w:pPr>
      <w:r>
        <w:rPr>
          <w:b/>
        </w:rPr>
        <w:t>দেনাদার সম্পদ গোপন বা প্রতারণামূলকভাবে হস্তান্তর করলে আদালত সেই লেনদেন বাতিল করে সম্পত্তি বাজেয়াপ্ত করতে পারে এবং রিসিভার নিয়োগ করে</w:t>
      </w:r>
      <w:r>
        <w:t xml:space="preserve"> → </w:t>
      </w:r>
      <w:r>
        <w:t>If the debtor conceals or fraudulently transfers property, the court may declare such transactions void, seize the property and appoint a receiver to manage it</w:t>
      </w:r>
    </w:p>
    <w:p>
      <w:pPr>
        <w:pStyle w:val="ListBullet"/>
      </w:pPr>
      <w:r>
        <w:rPr>
          <w:b/>
        </w:rPr>
        <w:t>দেওলিয়া আদেশের পর সমস্ত সম্পত্তি (কিছু ব্যতিক্রম ছাড়া) আদালতের অধীনে যায়; পাওনাদারদের মধ্যে বণ্টন করা হয় এবং দেনাদার আর মামলা ও গ্রেপ্তারের হাত থেকে রেহাই পান</w:t>
      </w:r>
      <w:r>
        <w:t xml:space="preserve"> → </w:t>
      </w:r>
      <w:r>
        <w:t>After a bankruptcy order, all property (except exempt items) vests in the court/trustee, is sold to pay creditors and the debtor is protected from further suits or arrest</w:t>
      </w:r>
    </w:p>
    <w:p>
      <w:pPr>
        <w:pStyle w:val="ListBullet"/>
      </w:pPr>
      <w:r>
        <w:rPr>
          <w:b/>
        </w:rPr>
        <w:t>একজন দেনাদার নিজের দেউলিয়া মামলা করতে পারেন যদি তার ঋণের পরিমাণ কমপক্ষে ২০,০০০ টাকা হয়, তিনি দেনা পরিশোধে অক্ষম হন বা গ্রেপ্তার/সম্পত্তি জব্দ অবস্থায় থাকেন</w:t>
      </w:r>
      <w:r>
        <w:t xml:space="preserve"> → </w:t>
      </w:r>
      <w:r>
        <w:t>A debtor may voluntarily file for bankruptcy if his debts are at least BDT 20,000, he is unable to pay his debts or is under arrest or his property is attached</w:t>
      </w:r>
    </w:p>
    <w:p>
      <w:pPr>
        <w:pStyle w:val="ListBullet"/>
      </w:pPr>
      <w:r>
        <w:rPr>
          <w:b/>
        </w:rPr>
        <w:t>দেওলিয়া আদেশের ফলে তার ব্যবসার অধিকার সীমিত হয়, ব্যাংক হিসাব ও নতুন ঋণ অনুমতির অধীন থাকে এবং মূলধন ছাড়া গৃহস্থালী সামগ্রী, পেশার যন্ত্র ও নির্দিষ্ট সীমার বাড়ি ব্যতীত সব সম্পত্তি বিক্রি হয়</w:t>
      </w:r>
      <w:r>
        <w:t xml:space="preserve"> → </w:t>
      </w:r>
      <w:r>
        <w:t>The order restricts the bankrupt’s business activities, he cannot open bank accounts or take loans without permission, and all property except tools of trade, clothing and a small dwelling house is sold to satisfy creditors</w:t>
      </w:r>
    </w:p>
    <w:p>
      <w:pPr>
        <w:pStyle w:val="Heading2"/>
      </w:pPr>
      <w:r>
        <w:t>প্রশ্ন ২: মানি লন্ডারিং, CTR ও STR / Q2: Money Laundering, CTR &amp; STR</w:t>
      </w:r>
    </w:p>
    <w:p>
      <w:pPr>
        <w:pStyle w:val="ListBullet"/>
      </w:pPr>
      <w:r>
        <w:rPr>
          <w:b/>
        </w:rPr>
        <w:t>অর্থপাচার বলতে অপরাধমূলক উৎসের সম্পত্তি বা অর্থ অন্যত্র স্থানান্তর, রূপান্তর বা পাচার করে তার অবৈধ উৎস গোপন করা, বিদেশে পাঠানো বা অপরাধীদের সহযোগিতা করাকে বোঝায়</w:t>
      </w:r>
      <w:r>
        <w:t xml:space="preserve"> → </w:t>
      </w:r>
      <w:r>
        <w:t>Money laundering means moving, converting or transferring proceeds of crime to conceal their illegal origin, smuggling funds abroad or helping criminals evade the law</w:t>
      </w:r>
    </w:p>
    <w:p>
      <w:pPr>
        <w:pStyle w:val="ListBullet"/>
      </w:pPr>
      <w:r>
        <w:rPr>
          <w:b/>
        </w:rPr>
        <w:t>অবৈধ অর্থের উৎস বা গ্রাহকের পরিচয় সম্পর্কে মিথ্যা তথ্য দিলে সর্বোচ্চ তিন বছর কারাদণ্ড বা পঞ্চাশ হাজার টাকার জরিমানা বা উভয় শাস্তি হতে পারে</w:t>
      </w:r>
      <w:r>
        <w:t xml:space="preserve"> → </w:t>
      </w:r>
      <w:r>
        <w:t>Providing false information about the source of funds or customer identity may lead to up to 3 years’ imprisonment or a fine of up to BDT 50,000 or both</w:t>
      </w:r>
    </w:p>
    <w:p>
      <w:pPr>
        <w:pStyle w:val="ListBullet"/>
      </w:pPr>
      <w:r>
        <w:rPr>
          <w:b/>
        </w:rPr>
        <w:t>ক্যাশ ট্রানজেকশন রিপোর্ট (CTR) হলো ১০ লাখ টাকা বা তার বেশি নগদ লেনদেনের মাসিক প্রতিবেদন যা শাখাগুলো goAML সফটওয়্যারের মাধ্যমে বিএফআইইউ‑তে প্রেরণ করে এবং ৫ বছর সংরক্ষণ করে</w:t>
      </w:r>
      <w:r>
        <w:t xml:space="preserve"> → </w:t>
      </w:r>
      <w:r>
        <w:t>A Cash Transaction Report (CTR) is a monthly report of cash transactions of BDT 1 million or more; branches submit CTRs to the BFIU through goAML and keep records for five years</w:t>
      </w:r>
    </w:p>
    <w:p>
      <w:pPr>
        <w:pStyle w:val="ListBullet"/>
      </w:pPr>
      <w:r>
        <w:rPr>
          <w:b/>
        </w:rPr>
        <w:t>সাসপিশাস ট্রানজেকশন রিপোর্ট (STR) হলো অস্বাভাবিক বা সন্দেহজনক লেনদেনের রিপোর্ট; গ্রাহকের আর্থিক অবস্থার সাথে অসঙ্গতি, জাল কাগজপত্র, তথ্য দিতে অনীহা, ঘন ঘন বড় নগদ লেনদেন, স্তরায়ন, উচ্চ ঝুঁকিপূর্ণ দেশ বা সন্ত্রাসী সংশ্লিষ্টতা ইত্যাদি লাল পতাকা হিসাবে চিহ্নিত</w:t>
      </w:r>
      <w:r>
        <w:t xml:space="preserve"> → </w:t>
      </w:r>
      <w:r>
        <w:t>A Suspicious Transaction Report (STR) relates to unusual or suspicious transactions; red flags include transactions inconsistent with the customer’s financial status, fake documents, reluctance to provide information, frequent large cash transactions, structuring, dealing with high‑risk countries or links to terrorism</w:t>
      </w:r>
    </w:p>
    <w:p>
      <w:pPr>
        <w:pStyle w:val="ListBullet"/>
      </w:pPr>
      <w:r>
        <w:rPr>
          <w:b/>
        </w:rPr>
        <w:t>শাখা সন্দেহজনক লেনদেন শনাক্ত করে অভ্যন্তরীণ কমপ্লায়েন্স ইউনিটে জানায়; যাচাইয়ের পর আনুষ্ঠানিক STR বিএফআইইউ‑তে পাঠানো হয় এবং এ বিষয়ে গোপনীয়তা বজায় রাখা হয়</w:t>
      </w:r>
      <w:r>
        <w:t xml:space="preserve"> → </w:t>
      </w:r>
      <w:r>
        <w:t>Branches identify suspicious transactions and inform the compliance unit, which analyses them and, if warranted, files an official STR with the BFIU while maintaining confidentiality</w:t>
      </w:r>
    </w:p>
    <w:p>
      <w:pPr>
        <w:pStyle w:val="Heading2"/>
      </w:pPr>
      <w:r>
        <w:t>প্রশ্ন ৩: নিবন্ধন ও উপহার / Q3: Registration &amp; Gift</w:t>
      </w:r>
    </w:p>
    <w:p>
      <w:pPr>
        <w:pStyle w:val="ListBullet"/>
      </w:pPr>
      <w:r>
        <w:rPr>
          <w:b/>
        </w:rPr>
        <w:t>নিবন্ধন হল গুরুত্বপূর্ণ দলিলগুলি রেজিস্ট্রি অফিসে নথিভুক্ত করার প্রক্রিয়া, যা জনসমক্ষে জানিয়ে দেয় যে দলিল বৈধ</w:t>
      </w:r>
      <w:r>
        <w:t xml:space="preserve"> → </w:t>
      </w:r>
      <w:r>
        <w:t>Registration is the process of recording important documents in the registrar’s office, giving public notice of their authenticity</w:t>
      </w:r>
    </w:p>
    <w:p>
      <w:pPr>
        <w:pStyle w:val="ListBullet"/>
      </w:pPr>
      <w:r>
        <w:rPr>
          <w:b/>
        </w:rPr>
        <w:t>যে দলিলের নিবন্ধন বাধ্যতামূলক (যেমন স্থাবর সম্পত্তির বিক্রয়/দান) কিন্তু নিবন্ধন না করলে সেটি স্থাবর সম্পত্তিতে কোনো অধিকার সৃষ্টি বা হস্তান্তর করতে পারে না এবং প্রমাণ হিসাবে গ্রহণযোগ্য হয় না</w:t>
      </w:r>
      <w:r>
        <w:t xml:space="preserve"> → </w:t>
      </w:r>
      <w:r>
        <w:t>If a document that must be registered (such as for sale or gift of immovable property) is not registered, it cannot create or transfer rights in the property and is not admissible as evidence for that purpose</w:t>
      </w:r>
    </w:p>
    <w:p>
      <w:pPr>
        <w:pStyle w:val="ListBullet"/>
      </w:pPr>
      <w:r>
        <w:rPr>
          <w:b/>
        </w:rPr>
        <w:t>উপহার (Gift) হল বিদ্যমান সম্পত্তি স্বেচ্ছায় ও বিনা প্রতিদানে দাতা থেকে গ্রহীতার নামে হস্তান্তর; গ্রহীতা বা তার প্রতিনিধির গ্রহণ আবশ্যক</w:t>
      </w:r>
      <w:r>
        <w:t xml:space="preserve"> → </w:t>
      </w:r>
      <w:r>
        <w:t>A gift is the voluntary and gratuitous transfer of existing property from donor to donee; the donee or their agent must accept it</w:t>
      </w:r>
    </w:p>
    <w:p>
      <w:pPr>
        <w:pStyle w:val="ListBullet"/>
      </w:pPr>
      <w:r>
        <w:rPr>
          <w:b/>
        </w:rPr>
        <w:t>সঠিক উপহারের জন্য দাতার ঘোষণা, গ্রহণ, মালিকানার হস্তান্তর ও সম্পত্তির অস্তিত্ব থাকতে হবে; অস্থাবর সম্পত্তির জন্য হস্তান্তর ও গ্রহণ যথেষ্ট হলেও স্থাবর সম্পত্তির জন্য নিবন্ধন অপরিহার্য</w:t>
      </w:r>
      <w:r>
        <w:t xml:space="preserve"> → </w:t>
      </w:r>
      <w:r>
        <w:t>Essential elements include the donor’s declaration, the donee’s acceptance and transfer of ownership of existing property; delivery and acceptance suffice for movable property but registration is mandatory for immovable property</w:t>
      </w:r>
    </w:p>
    <w:p>
      <w:pPr>
        <w:pStyle w:val="Heading2"/>
      </w:pPr>
      <w:r>
        <w:t>প্রশ্ন ৪: ডরম্যান্ট হিসাব, PPI ও ছাত্র/নাবালক হিসাব / Q4: Dormant Account, PPI &amp; Student/Minor Accounts</w:t>
      </w:r>
    </w:p>
    <w:p>
      <w:pPr>
        <w:pStyle w:val="ListBullet"/>
      </w:pPr>
      <w:r>
        <w:rPr>
          <w:b/>
        </w:rPr>
        <w:t>ডরম্যান্ট বা নিষ্ক্রিয় হিসাব হল এমন হিসাব যেখানে ৬ মাস ধরে কোনো লেনদেন হয়নি; সঞ্চয়ী হিসাবে ১৮ মাস ও চলতি/এসএনডি হিসাবে ৬ মাস লেনদেন না হলে ব্যাংক এক মাস আগে নোটিশ দিয়ে ডরম্যান্ট হিসেবে শ্রেণিবিন্যাস করে</w:t>
      </w:r>
      <w:r>
        <w:t xml:space="preserve"> → </w:t>
      </w:r>
      <w:r>
        <w:t>A dormant or inactive account is one in which there have been no transactions for six months; savings accounts become dormant after 18 months of inactivity and current/SND accounts after six months, and banks must notify customers one month before classifying them</w:t>
      </w:r>
    </w:p>
    <w:p>
      <w:pPr>
        <w:pStyle w:val="ListBullet"/>
      </w:pPr>
      <w:r>
        <w:rPr>
          <w:b/>
        </w:rPr>
        <w:t>হিসাব নিষ্ক্রিয় হলে উত্তোলন সীমিত, স্বাক্ষর পুরনো হয়ে যেতে পারে, জালিয়াতির ঝুঁকি বাড়ে; ব্যাংক সুদ ও মুনাফা প্রদান অব্যাহত রাখে এবং পুনরায় সক্রিয় করতে কেওয়াইসি হালনাগাদ ও গ্রাহকের আবেদন গ্রহণ করে</w:t>
      </w:r>
      <w:r>
        <w:t xml:space="preserve"> → </w:t>
      </w:r>
      <w:r>
        <w:t>When an account becomes dormant withdrawals are restricted and outdated signatures may increase fraud risk; the bank continues to pay interest and reactivates the account after updating KYC and receiving the customer’s request</w:t>
      </w:r>
    </w:p>
    <w:p>
      <w:pPr>
        <w:pStyle w:val="ListBullet"/>
      </w:pPr>
      <w:r>
        <w:rPr>
          <w:b/>
        </w:rPr>
        <w:t>পজিটিভ পে ইনস্ট্রাকশন (PPI) হলো উচ্চ মূল্যের চেক পরিষ্কারের আগে গ্রাহক কর্তৃক ব্যাংকে প্রেরিত চেকের বিবরণ; করপোরেট/এসএমই হিসাবের ক্ষেত্রে ১ লক্ষ টাকা ও ব্যক্তিগত/যৌথ হিসাবে ৫ লক্ষ টাকার বেশি চেকে বাধ্যতামূলক</w:t>
      </w:r>
      <w:r>
        <w:t xml:space="preserve"> → </w:t>
      </w:r>
      <w:r>
        <w:t>Positive Pay Instruction (PPI) is a pre‑confirmation of cheque details by the drawer before clearing high‑value cheques; it is mandatory for cheques above BDT 1 lakh for corporate/SME accounts and BDT 5 lakh for individual or joint accounts</w:t>
      </w:r>
    </w:p>
    <w:p>
      <w:pPr>
        <w:pStyle w:val="ListBullet"/>
      </w:pPr>
      <w:r>
        <w:rPr>
          <w:b/>
        </w:rPr>
        <w:t>PPI‑তে হিসাব নম্বর, চেক নম্বর, তারিখ, অর্থের পরিমাণ ও প্রাপকের নাম উল্লেখ থাকে; এর ফলে চেকে কারসাজির ঝুঁকি কমে এবং PPI না থাকলে ব্যাংক চেক ফিরিয়ে দিতে পারে</w:t>
      </w:r>
      <w:r>
        <w:t xml:space="preserve"> → </w:t>
      </w:r>
      <w:r>
        <w:t>PPI includes account number, cheque number, date, amount and payee name; it reduces cheque fraud and the bank may return a cheque if PPI is not provided</w:t>
      </w:r>
    </w:p>
    <w:p>
      <w:pPr>
        <w:pStyle w:val="ListBullet"/>
      </w:pPr>
      <w:r>
        <w:rPr>
          <w:b/>
        </w:rPr>
        <w:t>স্কুল ব্যাংকিং বা ছাত্র হিসাব খুলতে ১১–১৮ বছর বয়সী শিক্ষার্থীর জন্ম সনদ বা শিক্ষার্থী পরিচয়পত্র, অভিভাবকের জাতীয় পরিচয়পত্র, ছবি ও পরিচিতি দরকার; হিসাব অভিভাবক যৌথভাবে পরিচালনা করেন এবং ক্ষুদ্র জমা ও উত্তোলন সীমা নির্ধারিত থাকে</w:t>
      </w:r>
      <w:r>
        <w:t xml:space="preserve"> → </w:t>
      </w:r>
      <w:r>
        <w:t>For a student account (school banking) aged 11–18, the bank collects the student’s birth certificate or student ID, the guardian’s national ID and photographs; the account is operated jointly with the guardian with small deposit and withdrawal limits</w:t>
      </w:r>
    </w:p>
    <w:p>
      <w:pPr>
        <w:pStyle w:val="ListBullet"/>
      </w:pPr>
      <w:r>
        <w:rPr>
          <w:b/>
        </w:rPr>
        <w:t>অবিভাবকবিহীন নাবালক নিজের নামে হিসাব খুলতে পারে না; নাবালক হিসাব খোলার সময় অভিভাবককে যৌথ আবেদন করতে হয়, জন্ম সনদ ও অভিভাবকের সঠিক পরিচয় লাগবে; ওভারড্রাফট বা ঋণ সুবিধা দেওয়া হয় না</w:t>
      </w:r>
      <w:r>
        <w:t xml:space="preserve"> → </w:t>
      </w:r>
      <w:r>
        <w:t>A minor cannot open an account alone; a guardian must open the account jointly, providing the minor’s birth certificate and the guardian’s identification; overdraft or loan facilities are not permitted</w:t>
      </w:r>
    </w:p>
    <w:p>
      <w:pPr>
        <w:pStyle w:val="Heading2"/>
      </w:pPr>
      <w:r>
        <w:t>Part B (গাণিতিক প্রশ্ন) / Part B (Mathematical Problems)</w:t>
      </w:r>
    </w:p>
    <w:p>
      <w:pPr>
        <w:pStyle w:val="Heading3"/>
      </w:pPr>
      <w:r>
        <w:t>প্রশ্ন ৫: FDR সুদের হিসাব / Q5: FDR Interest Calculation</w:t>
      </w:r>
    </w:p>
    <w:p>
      <w:r>
        <w:rPr>
          <w:b/>
        </w:rPr>
        <w:t>মূলধন: ৳10,00,000; সুদের হার: ১০% বার্ষিক; মেয়াদ: ৬ মাস (১০ বছরের অর্ধেক)।</w:t>
        <w:br/>
      </w:r>
    </w:p>
    <w:p>
      <w:pPr>
        <w:pStyle w:val="ListBullet"/>
      </w:pPr>
      <w:r>
        <w:rPr>
          <w:b w:val="0"/>
        </w:rPr>
        <w:t>সুদের সূত্র: Principal × Rate × Time</w:t>
        <w:br/>
      </w:r>
    </w:p>
    <w:p>
      <w:pPr>
        <w:pStyle w:val="ListBullet"/>
      </w:pPr>
      <w:r>
        <w:rPr>
          <w:b w:val="0"/>
        </w:rPr>
        <w:t>সুদের পরিমাণ = ১০,০০,০০০ × ১০% × ৬/১২ = ৫০,০০০ টাকা → Interest = 1,000,000 × 10% × 6/12 = BDT 50,000</w:t>
      </w:r>
    </w:p>
    <w:p>
      <w:pPr>
        <w:pStyle w:val="ListBullet"/>
      </w:pPr>
      <w:r>
        <w:rPr>
          <w:b w:val="0"/>
        </w:rPr>
        <w:t>মেয়াদ শেষে মোট অর্থ = মূলধন + সুদ = ১০,০০,০০০ + ৫০,০০০ = ১০,৫০,০০০ টাকা → Maturity amount = Principal + Interest = 1,000,000 + 50,000 = BDT 1,050,000</w:t>
      </w:r>
    </w:p>
    <w:p>
      <w:pPr>
        <w:pStyle w:val="Heading3"/>
      </w:pPr>
      <w:r>
        <w:t>প্রশ্ন ৬: CAR গণনা / Q6: Capital Adequacy Ratio (CAR)</w:t>
      </w:r>
    </w:p>
    <w:p>
      <w:r>
        <w:rPr>
          <w:b/>
        </w:rPr>
        <w:t>Tier‑1 capital = ১,৫০,০০০ লাখ (BDT 1500 crore), Tier‑2 capital = ৫০০ কোটি, Deductions = ২০০ কোটি; Risk Weighted Assets (RWA) = ১৮,০০০ কোটি।</w:t>
        <w:br/>
      </w:r>
    </w:p>
    <w:p>
      <w:pPr>
        <w:pStyle w:val="ListBullet"/>
      </w:pPr>
      <w:r>
        <w:rPr>
          <w:b w:val="0"/>
        </w:rPr>
        <w:t>মোট মূলধন = Tier‑1 + Tier‑2 − Deductions = 1500 + 500 − 200 = 1,800 কোটি → Total capital = Tier‑1 + Tier‑2 − Deductions = 1500 + 500 − 200 = 1,800 crore</w:t>
      </w:r>
    </w:p>
    <w:p>
      <w:pPr>
        <w:pStyle w:val="ListBullet"/>
      </w:pPr>
      <w:r>
        <w:rPr>
          <w:b w:val="0"/>
        </w:rPr>
        <w:t>CAR = মোট মূলধন ÷ RWA × 100 = 1,800 ÷ 18,000 × 100 = ১০% → CAR = Total capital ÷ RWA × 100 = 1,800 ÷ 18,000 × 100 = 10%</w:t>
      </w:r>
    </w:p>
    <w:p>
      <w:pPr>
        <w:pStyle w:val="ListBullet"/>
      </w:pPr>
      <w:r>
        <w:rPr>
          <w:b w:val="0"/>
        </w:rPr>
        <w:t>বাংলাদেশ ব্যাংকের নির্দেশিকা অনুযায়ী ব্যাংকের সর্বনিম্ন CRAR ১২.৫% (১০% ন্যূনতম ও ২.৫% ক্যাপিটাল কনজারভেশন বাফার); তাই ১০% CAR অপর্যাপ্ত</w:t>
      </w:r>
      <w:r>
        <w:rPr>
          <w:b w:val="0"/>
        </w:rPr>
        <w:t xml:space="preserve"> → According to Bangladesh Bank regulations banks must maintain at least 12.5% CRAR (10% minimum plus 2.5% capital conservation buffer); thus a 10% CAR does not meet the requirement.</w:t>
      </w:r>
    </w:p>
    <w:p>
      <w:pPr>
        <w:pStyle w:val="Heading2"/>
      </w:pPr>
      <w:r>
        <w:t>Part C (কেস স্টাডি) / Part C (Case Studies)</w:t>
      </w:r>
    </w:p>
    <w:p>
      <w:pPr>
        <w:pStyle w:val="Heading2"/>
      </w:pPr>
      <w:r>
        <w:t>কেস ১: ধারা ১৩৮ এর মামলা / Case 1: Section 138 Cheque Dishonour</w:t>
      </w:r>
    </w:p>
    <w:p>
      <w:pPr>
        <w:pStyle w:val="ListBullet"/>
      </w:pPr>
      <w:r>
        <w:rPr>
          <w:b/>
        </w:rPr>
        <w:t>ধার্য ধার্য্য আদায়ের জন্য প্রদত্ত চেক অবৈধ সাদা দেনা মওকুফ নয়; তাই ধারা ১৩৮ তখনই প্রযোজ্য যখন চেক প্রকৃত ঋণ বা দায় মেটাতে ইস্যু করা হয়</w:t>
      </w:r>
      <w:r>
        <w:t xml:space="preserve"> → </w:t>
      </w:r>
      <w:r>
        <w:t>Section 138 applies only when the cheque is issued to discharge a legally enforceable debt or liability</w:t>
      </w:r>
    </w:p>
    <w:p>
      <w:pPr>
        <w:pStyle w:val="ListBullet"/>
      </w:pPr>
      <w:r>
        <w:rPr>
          <w:b/>
        </w:rPr>
        <w:t>চেকটি মেয়াদোত্তীর্ণের আগে (৬ মাসের মধ্যে) উপস্থাপন করতে হবে; প্রত্যাখ্যাত হলে ব্যাংক সার্টিফিকেট পাওয়ার তারিখ থেকে ৩০ দিনের মধ্যে আইনি নোটিশ পাঠাতে হবে</w:t>
      </w:r>
      <w:r>
        <w:t xml:space="preserve"> → </w:t>
      </w:r>
      <w:r>
        <w:t>The cheque must be presented within its validity (six months); if dishonoured, the payee must send a legal notice within thirty days of receiving the bank’s memo</w:t>
      </w:r>
    </w:p>
    <w:p>
      <w:pPr>
        <w:pStyle w:val="ListBullet"/>
      </w:pPr>
      <w:r>
        <w:rPr>
          <w:b/>
        </w:rPr>
        <w:t>দেনাদার নোটিশ পাওয়ার ১৫ দিনের মধ্যে টাকা পরিশোধ না করলে এবং পাওনাদার ১৫ দিনের পরে ৩০ দিনের মধ্যে মামলা করলে ফৌজদারি অপরাধ সম্পন্ন হয়</w:t>
      </w:r>
      <w:r>
        <w:t xml:space="preserve"> → </w:t>
      </w:r>
      <w:r>
        <w:t>If the drawer fails to pay within 15 days of notice and the complaint is filed within 30 days thereafter, a criminal offence under section 138 is made out</w:t>
      </w:r>
    </w:p>
    <w:p>
      <w:pPr>
        <w:pStyle w:val="ListBullet"/>
      </w:pPr>
      <w:r>
        <w:rPr>
          <w:b/>
        </w:rPr>
        <w:t>কেস অনুসারে চেক ১০ জানুয়ারি ২০২৪ তারিখে ইস্যু, ১১ জানুয়ারি উপস্থাপনা এবং ১৩ জানুয়ারি অনাদায়; ১৭ জানুয়ারি নোটিশ পাঠানো ও ৫ ফেব্রুয়ারি মামলা; সুতরাং সমস্ত শর্ত পূরণ হয়েছে</w:t>
      </w:r>
      <w:r>
        <w:t xml:space="preserve"> → </w:t>
      </w:r>
      <w:r>
        <w:t>In the case, the cheque was issued on 10 Jan 2024, presented on 11 Jan and returned on 13 Jan; notice sent on 17 Jan and complaint filed on 5 Feb; thus all statutory conditions are satisfied</w:t>
      </w:r>
    </w:p>
    <w:p>
      <w:pPr>
        <w:pStyle w:val="ListBullet"/>
      </w:pPr>
      <w:r>
        <w:rPr>
          <w:b/>
        </w:rPr>
        <w:t>দোষী প্রমাণ হলে ম্যাজিস্ট্রেট সর্বোচ্চ এক বছরের কারাদণ্ড বা চেকের তিনগুণ অর্থপরিমাণ পর্যন্ত জরিমানা বা উভয় দণ্ড দিতে পারেন</w:t>
      </w:r>
      <w:r>
        <w:t xml:space="preserve"> → </w:t>
      </w:r>
      <w:r>
        <w:t>Upon conviction the court may impose up to one year’s imprisonment or a fine up to three times the cheque amount or both</w:t>
      </w:r>
    </w:p>
    <w:p>
      <w:pPr>
        <w:pStyle w:val="ListBullet"/>
      </w:pPr>
      <w:r>
        <w:rPr>
          <w:b/>
        </w:rPr>
        <w:t>রক্ষাকবচ হিসেবে অভিযুক্ত ব্যক্তি প্রমাণ করতে পারেন যে কোনো আইনগত দায় ছিল না, চেকটি নিরাপত্তা হিসেবে ছিল, সময়োত্তীর্ণ ঋণ ছিল, নোটিশ প্রাপ্যতা বা উপস্থাপনা যথাযথ হয়নি অথবা প্রাপকের ভুলে টাকা জমা হয়েছে</w:t>
      </w:r>
      <w:r>
        <w:t xml:space="preserve"> → </w:t>
      </w:r>
      <w:r>
        <w:t>Defences include showing there was no legally enforceable debt (cheque given as security), the debt was time‑barred, the notice was not properly served, the cheque was not presented within its validity, or payment was already made</w:t>
      </w:r>
    </w:p>
    <w:p>
      <w:pPr>
        <w:pStyle w:val="ListBullet"/>
      </w:pPr>
      <w:r>
        <w:rPr>
          <w:b/>
        </w:rPr>
        <w:t>ফৌজদারি মামলা ব্যর্থ হলে পাওনাদার আর্থিক দাবির জন্য দেওয়ানি মামলা, আর্থিক প্রতিষ্ঠান আদালতে মামলা বা বিকল্প বিরোধ নিষ্পত্তি পদ্ধতি ব্যবহার করতে পারেন</w:t>
      </w:r>
      <w:r>
        <w:t xml:space="preserve"> → </w:t>
      </w:r>
      <w:r>
        <w:t>If the criminal complaint fails, the payee may still recover through a civil suit, proceedings in the Artha Rin Adalat or alternative dispute resolution</w:t>
      </w:r>
    </w:p>
    <w:p>
      <w:pPr>
        <w:pStyle w:val="Heading2"/>
      </w:pPr>
      <w:r>
        <w:t>কেস ২: ইচ্ছাকৃত ঋণখেলাপি / Case 2: Willful Default</w:t>
      </w:r>
    </w:p>
    <w:p>
      <w:pPr>
        <w:pStyle w:val="ListBullet"/>
      </w:pPr>
      <w:r>
        <w:rPr>
          <w:b/>
        </w:rPr>
        <w:t>ইচ্ছাকৃত ঋণখেলাপি (willful defaulter) হল এমন ঋণগ্রহীতা বা গ্যারান্টর যারা সক্ষম হয়েও ঋণ পরিশোধ করে না, প্রতারণা বা জালিয়াতি করে ঋণ গ্রহণ করে, ঋণের অর্থ অন্য কাজে ব্যবহার করে বা জামানতকৃত সম্পত্তি অনুমতি ছাড়া হস্তান্তর করে</w:t>
      </w:r>
      <w:r>
        <w:t xml:space="preserve"> → </w:t>
      </w:r>
      <w:r>
        <w:t>A willful defaulter is a borrower or guarantor who, despite having the ability to repay, wilfully defaults, obtains the loan through fraud or forgery, diverts the funds for other purposes or disposes of the pledged assets without consent</w:t>
      </w:r>
    </w:p>
    <w:p>
      <w:pPr>
        <w:pStyle w:val="ListBullet"/>
      </w:pPr>
      <w:r>
        <w:rPr>
          <w:b/>
        </w:rPr>
        <w:t>কেসে স্কাইস্ক্রেপার লিমিটেড প্রকল্পের অর্থ অন্য ব্যবসায় খরচ করেছে, পরিচালকরা গ্রুপ কোম্পানিতে টাকা স্থানান্তর ও ব্যক্তিগত বিলাসে ব্যয় করেছেন; প্রকল্পে কাজ শুরু হয়নি</w:t>
      </w:r>
      <w:r>
        <w:t xml:space="preserve"> → </w:t>
      </w:r>
      <w:r>
        <w:t>In the case, Skyscraper Ltd diverted the project loan to unrelated businesses, the directors siphoned funds to group companies and personal luxury, and the project site remained undeveloped</w:t>
      </w:r>
    </w:p>
    <w:p>
      <w:pPr>
        <w:pStyle w:val="ListBullet"/>
      </w:pPr>
      <w:r>
        <w:rPr>
          <w:b/>
        </w:rPr>
        <w:t>এই কার্যকলাপগুলো ইচ্ছাকৃত ঋণখেলাপির মানদণ্ড পূরণ করে; তাই ব্যাংক তাদেরকে willful defaulter হিসেবে ঘোষণা করতে পারে</w:t>
      </w:r>
      <w:r>
        <w:t xml:space="preserve"> → </w:t>
      </w:r>
      <w:r>
        <w:t>These activities meet the criteria for willful default; hence the bank may classify them as willful defaulters</w:t>
      </w:r>
    </w:p>
    <w:p>
      <w:pPr>
        <w:pStyle w:val="ListBullet"/>
      </w:pPr>
      <w:r>
        <w:rPr>
          <w:b/>
        </w:rPr>
        <w:t>একবার ইচ্ছাকৃত ঋণখেলাপি হিসেবে চিহ্নিত হলে কোম্পানি ও পরিচালকগণ নতুন ঋণ পাবেন না; নাম কালো তালিকাভুক্ত হবে, ব্যাংক ও আর্থিক প্রতিষ্ঠানের পরিচালনা পর্ষদে থাকার যোগ্যতা হারাবে, বিদেশ যাত্রা ও সরকারি কাজে অংশগ্রহণে নিষেধাজ্ঞা আসতে পারে এবং জামানত বাজেয়াপ্ত হবে</w:t>
      </w:r>
      <w:r>
        <w:t xml:space="preserve"> → </w:t>
      </w:r>
      <w:r>
        <w:t>Once classified, the company and its directors will be barred from obtaining fresh credit, their names may be published, they will lose eligibility to serve on boards of banks and financial institutions, may face travel and government contract restrictions and their security may be seized</w:t>
      </w:r>
    </w:p>
    <w:p>
      <w:pPr>
        <w:pStyle w:val="ListBullet"/>
      </w:pPr>
      <w:r>
        <w:rPr>
          <w:b/>
        </w:rPr>
        <w:t>যদি পরিচালকরা ঋণের অর্থের অপব্যবহার বা প্রতারণায় জড়িত থাকেন তবে তাদের ব্যক্তিগত সম্পদ ও গ্যারান্টি ঝুঁকিতে পড়বে; তবে যারা অসংশ্লিষ্ট তাদের বিরুদ্ধে বৈধ প্রক্রিয়া ছাড়া ব্যবস্থা নেওয়া উচিত নয়</w:t>
      </w:r>
      <w:r>
        <w:t xml:space="preserve"> → </w:t>
      </w:r>
      <w:r>
        <w:t>If the directors were involved in misuse or fraud, their personal assets and guarantees may be called upon; however directors not involved should not be punished without due process</w:t>
      </w:r>
    </w:p>
    <w:p>
      <w:pPr>
        <w:pStyle w:val="Heading2"/>
      </w:pPr>
      <w:r>
        <w:t>Part D (যেকোনো পাঁচটির পার্থক্য লিখুন) / Part D (Distinguish any five)</w:t>
      </w:r>
    </w:p>
    <w:p>
      <w:pPr>
        <w:pStyle w:val="Heading2"/>
      </w:pPr>
      <w:r>
        <w:t>ইমপ্রেসড স্ট্যাম্প বনাম এমবসড স্ট্যাম্প / Impressed vs Embossed Stamp</w:t>
      </w:r>
    </w:p>
    <w:p>
      <w:pPr>
        <w:pStyle w:val="ListBullet"/>
      </w:pPr>
      <w:r>
        <w:rPr>
          <w:b/>
        </w:rPr>
        <w:t>ইমপ্রেসড স্ট্যাম্প হল নথিতে সরাসরি ছাপা বা চাপা revenue/পোস্টেজ স্ট্যাম্প</w:t>
      </w:r>
      <w:r>
        <w:t xml:space="preserve"> → </w:t>
      </w:r>
      <w:r>
        <w:t>An impressed stamp is a revenue or postage stamp printed directly on a document or cover</w:t>
      </w:r>
    </w:p>
    <w:p>
      <w:pPr>
        <w:pStyle w:val="ListBullet"/>
      </w:pPr>
      <w:r>
        <w:rPr>
          <w:b/>
        </w:rPr>
        <w:t>এটি কাগজে মসৃণ থাকে; মুছে ফেলা সম্ভব নয়</w:t>
      </w:r>
      <w:r>
        <w:t xml:space="preserve"> → </w:t>
      </w:r>
      <w:r>
        <w:t>It is flat on the paper and cannot be removed</w:t>
      </w:r>
    </w:p>
    <w:p>
      <w:pPr>
        <w:pStyle w:val="ListBullet"/>
      </w:pPr>
      <w:r>
        <w:rPr>
          <w:b/>
        </w:rPr>
        <w:t>এম্বোসড স্ট্যাম্প হল উঁচু লেখা ও নকশা সহ স্ট্যাম্প; এটি কাগজের উপর উঁচু হয়ে থাকে</w:t>
      </w:r>
      <w:r>
        <w:t xml:space="preserve"> → </w:t>
      </w:r>
      <w:r>
        <w:t>An embossed stamp is an imprinted stamp with raised lettering and design</w:t>
      </w:r>
    </w:p>
    <w:p>
      <w:pPr>
        <w:pStyle w:val="ListBullet"/>
      </w:pPr>
      <w:r>
        <w:rPr>
          <w:b/>
        </w:rPr>
        <w:t>এমবসড স্ট্যাম্প সাধারণত নোটারি পাবলিক বা আইনি দলিলে ব্যবহৃত হয়</w:t>
      </w:r>
      <w:r>
        <w:t xml:space="preserve"> → </w:t>
      </w:r>
      <w:r>
        <w:t>Embossed stamps are commonly used by notaries and on legal documents</w:t>
      </w:r>
    </w:p>
    <w:p>
      <w:pPr>
        <w:pStyle w:val="Heading2"/>
      </w:pPr>
      <w:r>
        <w:t>গ্যারান্টি বনাম ইন্ডেমনিটি / Guarantee vs Indemnity</w:t>
      </w:r>
    </w:p>
    <w:p>
      <w:pPr>
        <w:pStyle w:val="ListBullet"/>
      </w:pPr>
      <w:r>
        <w:rPr>
          <w:b/>
        </w:rPr>
        <w:t>গ্যারান্টি হল তৃতীয় পক্ষের ঋণ বা দায় পরিশোধের দ্বিতীয়িক প্রতিশ্রুতি; মূল দেনাদার দায়বদ্ধ না হলে গ্যারান্টরও দায়মুক্ত</w:t>
      </w:r>
      <w:r>
        <w:t xml:space="preserve"> → </w:t>
      </w:r>
      <w:r>
        <w:t>A guarantee is a secondary promise to meet another person’s obligation; the guarantor is liable only if the principal debtor defaults</w:t>
      </w:r>
    </w:p>
    <w:p>
      <w:pPr>
        <w:pStyle w:val="ListBullet"/>
      </w:pPr>
      <w:r>
        <w:rPr>
          <w:b/>
        </w:rPr>
        <w:t>গ্যারান্টির তিন পক্ষ: ঋণদাতা, ঋণগ্রহীতা ও গ্যারান্টর</w:t>
      </w:r>
      <w:r>
        <w:t xml:space="preserve"> → </w:t>
      </w:r>
      <w:r>
        <w:t>A guarantee involves three parties – creditor, principal debtor and guarantor</w:t>
      </w:r>
    </w:p>
    <w:p>
      <w:pPr>
        <w:pStyle w:val="ListBullet"/>
      </w:pPr>
      <w:r>
        <w:rPr>
          <w:b/>
        </w:rPr>
        <w:t>ইন্ডেমনিটি হল ক্ষতি হলে ক্ষতিপূরণ দেওয়ার প্রাথমিক দায়; এতে দুটি পক্ষ থাকে – প্রতিশ্রুতিকারী ও ক্ষতিগ্রস্ত</w:t>
      </w:r>
      <w:r>
        <w:t xml:space="preserve"> → </w:t>
      </w:r>
      <w:r>
        <w:t>An indemnity is a primary obligation to reimburse for loss; it generally involves two parties – indemnifier and indemnified</w:t>
      </w:r>
    </w:p>
    <w:p>
      <w:pPr>
        <w:pStyle w:val="ListBullet"/>
      </w:pPr>
      <w:r>
        <w:rPr>
          <w:b/>
        </w:rPr>
        <w:t>ইন্ডেমনিটিতে ক্ষতি হওয়ার সঙ্গে সঙ্গে দায় সঞ্চালিত হয় এবং প্রধান ঋণগ্রহীতার দায়িত্ব প্রাসঙ্গিক নয়</w:t>
      </w:r>
      <w:r>
        <w:t xml:space="preserve"> → </w:t>
      </w:r>
      <w:r>
        <w:t>Under indemnity the liability arises immediately upon loss, regardless of the principal debtor’s liability</w:t>
      </w:r>
    </w:p>
    <w:p>
      <w:pPr>
        <w:pStyle w:val="Heading2"/>
      </w:pPr>
      <w:r>
        <w:t>নস্ট্রো বনাম ভসট্রো হিসাব / Nostro vs Vostro Account</w:t>
      </w:r>
    </w:p>
    <w:p>
      <w:pPr>
        <w:pStyle w:val="ListBullet"/>
      </w:pPr>
      <w:r>
        <w:rPr>
          <w:b/>
        </w:rPr>
        <w:t>নস্ট্রো হিসাব হল নিজের ব্যাংক অন্য দেশে অন্য মুদ্রায় যে হিসাব রাখে; যেমন বাংলাদেশী ব্যাংক যুক্তরাষ্ট্রে ডলারে হিসাব খোলে</w:t>
      </w:r>
      <w:r>
        <w:t xml:space="preserve"> → </w:t>
      </w:r>
      <w:r>
        <w:t>A Nostro account is a domestic bank’s account held with a foreign bank in a foreign currency – for example, a Bangladeshi bank holding a USD account with a US bank</w:t>
      </w:r>
    </w:p>
    <w:p>
      <w:pPr>
        <w:pStyle w:val="ListBullet"/>
      </w:pPr>
      <w:r>
        <w:rPr>
          <w:b/>
        </w:rPr>
        <w:t>এই হিসাব আমাদের দৃষ্টিকোণ থেকে ‘আমাদের অর্থ তোমাদের কাছে’ অর্থ বহন করে</w:t>
      </w:r>
      <w:r>
        <w:t xml:space="preserve"> → </w:t>
      </w:r>
      <w:r>
        <w:t>From the domestic bank’s perspective, it means ‘our money with you’</w:t>
      </w:r>
    </w:p>
    <w:p>
      <w:pPr>
        <w:pStyle w:val="ListBullet"/>
      </w:pPr>
      <w:r>
        <w:rPr>
          <w:b/>
        </w:rPr>
        <w:t>ভসট্রো হিসাব হল কোনো বিদেশি ব্যাংকের পক্ষে স্থানীয় ব্যাংকে স্থানীয় মুদ্রায় রাখা হিসাব; যেমন যুক্তরাষ্ট্রের ব্যাংক বাংলাদেশের ব্যাংকে টাকা রাখে</w:t>
      </w:r>
      <w:r>
        <w:t xml:space="preserve"> → </w:t>
      </w:r>
      <w:r>
        <w:t>A Vostro account is the mirror image – a domestic currency account that a local bank holds on behalf of a foreign bank</w:t>
      </w:r>
    </w:p>
    <w:p>
      <w:pPr>
        <w:pStyle w:val="ListBullet"/>
      </w:pPr>
      <w:r>
        <w:rPr>
          <w:b/>
        </w:rPr>
        <w:t>ভসট্রো মানে ‘তোমাদের অর্থ আমাদের কাছে’; এই দুটো হিসাব আন্তর্জাতিক লেনদেন সহজ করে</w:t>
      </w:r>
      <w:r>
        <w:t xml:space="preserve"> → </w:t>
      </w:r>
      <w:r>
        <w:t>Vostro means ‘your money with us’; both accounts facilitate international settlements</w:t>
      </w:r>
    </w:p>
    <w:p>
      <w:pPr>
        <w:pStyle w:val="Heading2"/>
      </w:pPr>
      <w:r>
        <w:t>ফিক্সড চার্জ বনাম ফ্লোটিং চার্জ / Fixed Charge vs Floating Charge</w:t>
      </w:r>
    </w:p>
    <w:p>
      <w:pPr>
        <w:pStyle w:val="ListBullet"/>
      </w:pPr>
      <w:r>
        <w:rPr>
          <w:b/>
        </w:rPr>
        <w:t>ফিক্সড চার্জ নির্দিষ্ট সম্পদের উপর জামানত; ঋণগ্রহীতা ব্যাংকের অনুমতি ছাড়া সেই সম্পদ বিক্রি করতে পারে না</w:t>
      </w:r>
      <w:r>
        <w:t xml:space="preserve"> → </w:t>
      </w:r>
      <w:r>
        <w:t>A fixed charge is a security interest over specific, identifiable assets; the borrower cannot dispose of those assets without the lender’s consent</w:t>
      </w:r>
    </w:p>
    <w:p>
      <w:pPr>
        <w:pStyle w:val="ListBullet"/>
      </w:pPr>
      <w:r>
        <w:rPr>
          <w:b/>
        </w:rPr>
        <w:t>এটি স্থাবর সম্পত্তি, জমি বা যন্ত্রপাতির উপর আরোপিত হয়</w:t>
      </w:r>
      <w:r>
        <w:t xml:space="preserve"> → </w:t>
      </w:r>
      <w:r>
        <w:t>It is typically attached to immovable property, land or machinery</w:t>
      </w:r>
    </w:p>
    <w:p>
      <w:pPr>
        <w:pStyle w:val="ListBullet"/>
      </w:pPr>
      <w:r>
        <w:rPr>
          <w:b/>
        </w:rPr>
        <w:t>ফ্লোটিং চার্জ চলমান বা পরিবর্তনশীল সম্পদের উপর ধার দেওয়া হয় যেমন স্টক, ঋণগ্রহীতার মজুত; ঋণগ্রহীতা সেগুলি ব্যবসায়িক স্বার্থে বিক্রি করতে পারে</w:t>
      </w:r>
      <w:r>
        <w:t xml:space="preserve"> → </w:t>
      </w:r>
      <w:r>
        <w:t>A floating charge is created over circulating assets such as stock and receivables, allowing the borrower to deal with them in the ordinary course of business</w:t>
      </w:r>
    </w:p>
    <w:p>
      <w:pPr>
        <w:pStyle w:val="ListBullet"/>
      </w:pPr>
      <w:r>
        <w:rPr>
          <w:b/>
        </w:rPr>
        <w:t>ঋণদাতা নিয়মিত পর্যবেক্ষণ করে এবং খেলাপি/দেউলিয়া ঘটলে ফ্লোটিং চার্জ স্ফূর্ত হয়ে ফিক্সড চার্জে রূপান্তর হয়</w:t>
      </w:r>
      <w:r>
        <w:t xml:space="preserve"> → </w:t>
      </w:r>
      <w:r>
        <w:t>The lender monitors the assets, and upon default or insolvency the floating charge crystallises into a fixed charge over the assets</w:t>
      </w:r>
    </w:p>
    <w:p>
      <w:pPr>
        <w:pStyle w:val="Heading2"/>
      </w:pPr>
      <w:r>
        <w:t>প্লেজ বনাম হাইপোথেকেশন / Pledge vs Hypothecation</w:t>
      </w:r>
    </w:p>
    <w:p>
      <w:pPr>
        <w:pStyle w:val="ListBullet"/>
      </w:pPr>
      <w:r>
        <w:rPr>
          <w:b/>
        </w:rPr>
        <w:t>প্লেজে ঋণদাতা গচ্ছিত সম্পত্তির দখল পায়; ঋণগ্রহীতার মালিকানা থেকে যায় কিন্তু দখল থাকে না</w:t>
      </w:r>
      <w:r>
        <w:t xml:space="preserve"> → </w:t>
      </w:r>
      <w:r>
        <w:t>In a pledge, the lender takes possession of the pledged asset while the borrower retains ownership</w:t>
      </w:r>
    </w:p>
    <w:p>
      <w:pPr>
        <w:pStyle w:val="ListBullet"/>
      </w:pPr>
      <w:r>
        <w:rPr>
          <w:b/>
        </w:rPr>
        <w:t>প্লেজ সাধারণত স্বর্ণ, জমা শেয়ার বা চলতি সম্পত্তির বিপরীতে হয়; ঋণদাতা দখল রেখে ঋণ আদায় নিশ্চিত করেন</w:t>
      </w:r>
      <w:r>
        <w:t xml:space="preserve"> → </w:t>
      </w:r>
      <w:r>
        <w:t>Pledges usually involve gold, securities or movable goods; possession gives the lender control until the debt is repaid</w:t>
      </w:r>
    </w:p>
    <w:p>
      <w:pPr>
        <w:pStyle w:val="ListBullet"/>
      </w:pPr>
      <w:r>
        <w:rPr>
          <w:b/>
        </w:rPr>
        <w:t>হাইপোথেকেশনে চলমান সম্পত্তির উপর জামানত তৈরী হয় কিন্তু দখল ঋণগ্রহীতার কাছেই থাকে</w:t>
      </w:r>
      <w:r>
        <w:t xml:space="preserve"> → </w:t>
      </w:r>
      <w:r>
        <w:t>In hypothecation, a charge is created on movable assets but possession remains with the borrower</w:t>
      </w:r>
    </w:p>
    <w:p>
      <w:pPr>
        <w:pStyle w:val="ListBullet"/>
      </w:pPr>
      <w:r>
        <w:rPr>
          <w:b/>
        </w:rPr>
        <w:t>হাইপোথেকেশনে ঋণগ্রহীতা সম্পত্তি ব্যবহার ও বিক্রি করতে পারেন তবে ঋণদাতা লিখিত চুক্তি দ্বারা অধিকার সংরক্ষণ করেন</w:t>
      </w:r>
      <w:r>
        <w:t xml:space="preserve"> → </w:t>
      </w:r>
      <w:r>
        <w:t>The borrower can use or sell the hypothecated assets in the normal course of business while the lender retains a legal right via the hypothecation agreement</w:t>
      </w:r>
    </w:p>
    <w:p>
      <w:pPr>
        <w:pStyle w:val="Heading2"/>
      </w:pPr>
      <w:r>
        <w:t>ব্রড মানি বনাম ন্যারো মানি / Broad Money vs Narrow Money</w:t>
      </w:r>
    </w:p>
    <w:p>
      <w:pPr>
        <w:pStyle w:val="ListBullet"/>
      </w:pPr>
      <w:r>
        <w:rPr>
          <w:b/>
        </w:rPr>
        <w:t>ন্যারো মানি কেবল চলমান নগদ ও দাবী আমানত নিয়ে গঠিত, যা দৈনন্দিন লেনদেনে ব্যবহার হয়</w:t>
      </w:r>
      <w:r>
        <w:t xml:space="preserve"> → </w:t>
      </w:r>
      <w:r>
        <w:t>Narrow money consists of currency in circulation and demand deposits that are readily used for everyday transactions</w:t>
      </w:r>
    </w:p>
    <w:p>
      <w:pPr>
        <w:pStyle w:val="ListBullet"/>
      </w:pPr>
      <w:r>
        <w:rPr>
          <w:b/>
        </w:rPr>
        <w:t>ব্রড মানি নতুন অর্থ যোগ করে; এটি ন্যারো মানি ছাড়াও সঞ্চয় ও মেয়াদি আমানত, অন্যান্য তরল সম্পদ অন্তর্ভুক্ত করে</w:t>
      </w:r>
      <w:r>
        <w:t xml:space="preserve"> → </w:t>
      </w:r>
      <w:r>
        <w:t>Broad money includes narrow money plus savings deposits, time deposits and other liquid assets</w:t>
      </w:r>
    </w:p>
    <w:p>
      <w:pPr>
        <w:pStyle w:val="ListBullet"/>
      </w:pPr>
      <w:r>
        <w:rPr>
          <w:b/>
        </w:rPr>
        <w:t>ব্রড মানি অর্থ সরবরাহের বড় সূচক; ন্যারো মানি তাৎক্ষণিক লেনদেনের মুদ্রা</w:t>
      </w:r>
      <w:r>
        <w:t xml:space="preserve"> → </w:t>
      </w:r>
      <w:r>
        <w:t>Broad money is a wider measure of the money supply, while narrow money is the cash available for immediate transactions</w:t>
      </w:r>
    </w:p>
    <w:p>
      <w:pPr>
        <w:pStyle w:val="Heading2"/>
      </w:pPr>
      <w:r>
        <w:t>মেমোরেন্ডাম বনাম আর্টিকেলস / MOA vs AOA</w:t>
      </w:r>
    </w:p>
    <w:p>
      <w:pPr>
        <w:pStyle w:val="ListBullet"/>
      </w:pPr>
      <w:r>
        <w:rPr>
          <w:b/>
        </w:rPr>
        <w:t>মেমোরেন্ডাম অব অ্যাসোসিয়েশন (MOA) কোম্পানির সংবিধি; এতে নাম, উদ্দেশ্য, নিবন্ধিত কার্যালয়, মূলধন ও দায়বদ্ধতার সীমা উল্লেখ থাকে এবং এটি কোম্পানির ক্রিয়াকলাপের সীমা নির্ধারণ করে</w:t>
      </w:r>
      <w:r>
        <w:t xml:space="preserve"> → </w:t>
      </w:r>
      <w:r>
        <w:t>The Memorandum of Association (MOA) is the company’s charter; it states the company’s name, objectives, registered office, capital and liability clauses and sets the boundaries of its activities</w:t>
      </w:r>
    </w:p>
    <w:p>
      <w:pPr>
        <w:pStyle w:val="ListBullet"/>
      </w:pPr>
      <w:r>
        <w:rPr>
          <w:b/>
        </w:rPr>
        <w:t>MOA পরিবর্তন করা কঠিন; বিশেষ আদালতের অনুমতি প্রয়োজন এবং শেয়ারহোল্ডার ও নিয়ন্ত্রক সংস্থার অনুমোদন লাগে</w:t>
      </w:r>
      <w:r>
        <w:t xml:space="preserve"> → </w:t>
      </w:r>
      <w:r>
        <w:t>The MOA is difficult to alter; changes require special resolutions and approval from shareholders and regulators</w:t>
      </w:r>
    </w:p>
    <w:p>
      <w:pPr>
        <w:pStyle w:val="ListBullet"/>
      </w:pPr>
      <w:r>
        <w:rPr>
          <w:b/>
        </w:rPr>
        <w:t>আর্টিকেলস অব অ্যাসোসিয়েশন (AOA) কোম্পানির অভ্যন্তরীণ বিধি; এতে পরিচালক নিয়োগ, সভা পরিচালনা, ভোট ও শেয়ার স্থানান্তরের নিয়ম থাকে</w:t>
      </w:r>
      <w:r>
        <w:t xml:space="preserve"> → </w:t>
      </w:r>
      <w:r>
        <w:t>The Articles of Association (AOA) contain the internal regulations; they deal with the appointment of directors, conduct of meetings, voting rights and transfer of shares</w:t>
      </w:r>
    </w:p>
    <w:p>
      <w:pPr>
        <w:pStyle w:val="ListBullet"/>
      </w:pPr>
      <w:r>
        <w:rPr>
          <w:b/>
        </w:rPr>
        <w:t>AOA পরিবর্তন করা তুলনামূলক সহজ; সাধারণত বিশেষ সিদ্ধান্ত দ্বারা শেয়ারহোল্ডাররা পরিবর্তন করতে পারেন এবং এটি MOA-এর অধীন</w:t>
      </w:r>
      <w:r>
        <w:t xml:space="preserve"> → </w:t>
      </w:r>
      <w:r>
        <w:t>The AOA is subordinate to the MOA and can be amended more easily by passing special resolutions</w:t>
      </w:r>
    </w:p>
    <w:p>
      <w:pPr>
        <w:pStyle w:val="Heading2"/>
      </w:pPr>
      <w:r>
        <w:t>CRR বনাম SLR / CRR vs SLR</w:t>
      </w:r>
    </w:p>
    <w:p>
      <w:pPr>
        <w:pStyle w:val="ListBullet"/>
      </w:pPr>
      <w:r>
        <w:rPr>
          <w:b/>
        </w:rPr>
        <w:t>ক্যাশ রিজার্ভ রেশিও (CRR) হল ব্যাংকের মোট নেট দাবী ও মেয়াদি দায়বদ্ধতার একটি অংশ যা কেন্দ্রীয় ব্যাংকের কাছে নগদ হিসেবে জমা রাখতে হয়</w:t>
      </w:r>
      <w:r>
        <w:t xml:space="preserve"> → </w:t>
      </w:r>
      <w:r>
        <w:t>The Cash Reserve Ratio (CRR) is the percentage of a bank’s net demand and time liabilities that must be kept with the central bank as cash reserves</w:t>
      </w:r>
    </w:p>
    <w:p>
      <w:pPr>
        <w:pStyle w:val="ListBullet"/>
      </w:pPr>
      <w:r>
        <w:rPr>
          <w:b/>
        </w:rPr>
        <w:t>CRR‑এ ব্যাংক কোনো সুদ পায় না এবং মূল উদ্দেশ্য হল বাজারে তারল্য নিয়ন্ত্রণ করা</w:t>
      </w:r>
      <w:r>
        <w:t xml:space="preserve"> → </w:t>
      </w:r>
      <w:r>
        <w:t>Banks earn no interest on CRR balances; its main purpose is to control liquidity in the economy</w:t>
      </w:r>
    </w:p>
    <w:p>
      <w:pPr>
        <w:pStyle w:val="ListBullet"/>
      </w:pPr>
      <w:r>
        <w:rPr>
          <w:b/>
        </w:rPr>
        <w:t>স্ট্যাটুটরি লিকুইডিটি রেশিও (SLR) হল ব্যাংকের নেট দাবী ও মেয়াদি দায়বদ্ধতার একটি অংশ যা নগদ, স্বর্ণ বা সরকারি সিকিউরিটিজের মতো তরল সম্পদে রাখতে হয়</w:t>
      </w:r>
      <w:r>
        <w:t xml:space="preserve"> → </w:t>
      </w:r>
      <w:r>
        <w:t>The Statutory Liquidity Ratio (SLR) requires banks to maintain a portion of their net demand and time liabilities in liquid assets such as cash, gold or government securities</w:t>
      </w:r>
    </w:p>
    <w:p>
      <w:pPr>
        <w:pStyle w:val="ListBullet"/>
      </w:pPr>
      <w:r>
        <w:rPr>
          <w:b/>
        </w:rPr>
        <w:t>SLR‑এ ব্যাংক সরকারী সিকিউরিটিতে বিনিয়োগ করে সুদ অর্জন করতে পারে; এটি ব্যাংকের স্বচ্ছলতা নিশ্চিত করে</w:t>
      </w:r>
      <w:r>
        <w:t xml:space="preserve"> → </w:t>
      </w:r>
      <w:r>
        <w:t>Banks can earn interest on SLR investments in government securities; SLR ensures banks’ solvency</w:t>
      </w:r>
    </w:p>
    <w:p>
      <w:pPr>
        <w:pStyle w:val="Heading2"/>
      </w:pPr>
      <w:r>
        <w:t>Part E (সংক্ষিপ্ত প্রশ্ন) / Part E (Short Questions)</w:t>
      </w:r>
    </w:p>
    <w:p>
      <w:pPr>
        <w:pStyle w:val="ListBullet"/>
      </w:pPr>
      <w:r>
        <w:rPr>
          <w:b/>
        </w:rPr>
        <w:t>(ক) আর্থিক প্রতিষ্ঠান নিজস্ব মূলধন ও রিজার্ভের সর্বোচ্চ ২৫% মূল্য পর্যন্ত স্থাবর সম্পত্তি অধিগ্রহণ বা ধারণ করতে পারে; কর্মচারীর আবাসন ও ঋণ আদায়ের জন্য অর্জিত সম্পত্তি এর বাইরে</w:t>
      </w:r>
      <w:r>
        <w:t xml:space="preserve"> → </w:t>
      </w:r>
      <w:r>
        <w:t>(a) A financial institution may acquire or hold immovable property up to 25 % of its paid‑up capital and reserves; property for employee facilities or assets acquired for loan recovery is excluded</w:t>
      </w:r>
    </w:p>
    <w:p>
      <w:pPr>
        <w:pStyle w:val="ListBullet"/>
      </w:pPr>
      <w:r>
        <w:rPr>
          <w:b/>
        </w:rPr>
        <w:t>(খ) অর্থঋণ আদালতে মামলা করার ন্যূনতম দাবি মূল্য ৫০,০০০ টাকা বলে গাইডলাইনে উল্লেখ আছে; ক্ষুদ্র ঋণের জন্য সাধারণ দেওয়ানি আদালত প্রযোজ্য</w:t>
      </w:r>
      <w:r>
        <w:t xml:space="preserve"> → </w:t>
      </w:r>
      <w:r>
        <w:t>(b) The guidelines mention that the minimum monetary value for filing a suit in the Artha Rin Adalat is around BDT 50,000; smaller claims are filed in ordinary civil courts</w:t>
      </w:r>
    </w:p>
    <w:p>
      <w:pPr>
        <w:pStyle w:val="ListBullet"/>
      </w:pPr>
      <w:r>
        <w:rPr>
          <w:b/>
        </w:rPr>
        <w:t>(গ) ডিজিটাল স্বাক্ষর ব্যবস্থাকে তথ্য ও যোগাযোগ প্রযুক্তি আইন, ২০০৬ দ্বারা নিয়ন্ত্রিত হয়</w:t>
      </w:r>
      <w:r>
        <w:t xml:space="preserve"> → </w:t>
      </w:r>
      <w:r>
        <w:t>(c) Digital signatures in Bangladesh are governed by the Information and Communication Technology Act 2006</w:t>
      </w:r>
    </w:p>
    <w:p>
      <w:pPr>
        <w:pStyle w:val="ListBullet"/>
      </w:pPr>
      <w:r>
        <w:rPr>
          <w:b/>
        </w:rPr>
        <w:t>(ঘ) ইলেকট্রনিক নথি সংরক্ষণে আইসিটি আইনের ধারা ৯ অনুযায়ী রেকর্ডটি মূল রূপে এবং সময়, উৎস ও গন্তব্য ডেটা সহ প্রবেশযোগ্য ও অপরিবর্তিত থাকলে আইনগতভাবে বৈধ থাকে</w:t>
      </w:r>
      <w:r>
        <w:t xml:space="preserve"> → </w:t>
      </w:r>
      <w:r>
        <w:t>(d) Under Section 9 of the ICT Act, an electronic record satisfies the requirement of retention if it remains accessible in its original form along with information identifying the origin, destination and time of dispatch and receipt</w:t>
      </w:r>
    </w:p>
    <w:p>
      <w:pPr>
        <w:pStyle w:val="ListBullet"/>
      </w:pPr>
      <w:r>
        <w:rPr>
          <w:b/>
        </w:rPr>
        <w:t>(ঙ) আর্থিক প্রতিষ্ঠান আইন অনুযায়ী অননুমোদিত অর্থায়ন ব্যবসা পরিচালনার জন্য দোষী ব্যক্তি সর্বোচ্চ দুই বছর কারাদণ্ড অথবা পাঁচ লক্ষ টাকা জরিমানা বা উভয় শাস্তি পেতে পারেন</w:t>
      </w:r>
      <w:r>
        <w:t xml:space="preserve"> → </w:t>
      </w:r>
      <w:r>
        <w:t>(e) Operating a financing business without a licence is punishable by up to two years’ imprisonment or a fine of up to BDT 500,000 or both under the Financial Institutions Act</w:t>
      </w:r>
    </w:p>
    <w:p>
      <w:pPr>
        <w:pStyle w:val="ListBullet"/>
      </w:pPr>
      <w:r>
        <w:rPr>
          <w:b/>
        </w:rPr>
        <w:t>(চ) CPV (Contact Point Verification) হলো গ্রাহকের ঠিকানা, ফোন বা ই‑মেইল যাচাই করার প্রক্রিয়া যা আর্থিক প্রতিষ্ঠানে প্রতারণা রোধ ও নিয়ন্ত্রক সম্মতি নিশ্চিত করতে ব্যবহৃত হয়</w:t>
      </w:r>
      <w:r>
        <w:t xml:space="preserve"> → </w:t>
      </w:r>
      <w:r>
        <w:t>(f) CPV (Contact Point Verification) is the process of verifying a customer’s address, phone or email to prevent fraud and ensure regulatory compliance in financial institutions</w:t>
      </w:r>
    </w:p>
    <w:p>
      <w:pPr>
        <w:pStyle w:val="ListBullet"/>
      </w:pPr>
      <w:r>
        <w:rPr>
          <w:b/>
        </w:rPr>
        <w:t>(ছ) স্ট্যান্ডিং ইনস্ট্রাকশন গ্রাহকের স্থায়ী নির্দেশ যাতে ব্যাংক নির্দিষ্ট তারিখে নিয়মিত অর্থ প্রদান বা স্থানান্তর করে; এটি বিল পরিশোধ, ঋণের কিস্তি ও সঞ্চয় নির্ধারিত রাখতে সাহায্য করে</w:t>
      </w:r>
      <w:r>
        <w:t xml:space="preserve"> → </w:t>
      </w:r>
      <w:r>
        <w:t>(g) A standing instruction is a permanent order by which a bank automatically makes regular payments or transfers on scheduled dates; it helps pay bills, loan instalments and maintain savings on time</w:t>
      </w:r>
    </w:p>
    <w:p>
      <w:pPr>
        <w:pStyle w:val="ListBullet"/>
      </w:pPr>
      <w:r>
        <w:rPr>
          <w:b/>
        </w:rPr>
        <w:t>(জ) চেকের ক্রসিং দুটি সমান্তরাল দাগ দ্বারা চিহ্নিত যা নগদে পরিশোধ বন্ধ করে দেয়; ক্রসড চেক কেবল ব্যাংক হিসাবে জমা করা যায় তাই নিরাপত্তা বাড়ে</w:t>
      </w:r>
      <w:r>
        <w:t xml:space="preserve"> → </w:t>
      </w:r>
      <w:r>
        <w:t>(h) Crossing a cheque by drawing two parallel lines instructs the bank not to pay cash; the cheque can only be deposited into a bank account, enhancing security</w:t>
      </w:r>
    </w:p>
    <w:p>
      <w:pPr>
        <w:pStyle w:val="ListBullet"/>
      </w:pPr>
      <w:r>
        <w:rPr>
          <w:b/>
        </w:rPr>
        <w:t>(ঝ) চুক্তি ভঙ্গের মামলা সাধারণত সীমাবদ্ধতা আইনের আওতায় তিন বছর বা ছয় বছরের মধ্যে দায়ের করতে হয়; নির্দিষ্ট সীমা পেরিয়ে গেলে মামলা অগ্রাহ্য হয়</w:t>
      </w:r>
      <w:r>
        <w:t xml:space="preserve"> → </w:t>
      </w:r>
      <w:r>
        <w:t>(i) A suit for breach of contract must generally be filed within three to six years under the Limitation Act; after the prescribed period the claim will be barred</w:t>
      </w:r>
    </w:p>
    <w:p>
      <w:pPr>
        <w:pStyle w:val="ListBullet"/>
      </w:pPr>
      <w:r>
        <w:rPr>
          <w:b/>
        </w:rPr>
        <w:t>(ঞ) ডুপ্লিকেট FDR ইস্যুর জন্য আমানতকারীকে হারানো FDR-এর বিবৃতি, শপথপত্র ও ইন্ডেমনিটি বন্ড দিতে হয়; ব্যাংক সংবাদপত্রে বিজ্ঞপ্তি দিয়ে এবং যাচাই করে নতুন সঞ্চয়পত্র ইস্যু করে</w:t>
      </w:r>
      <w:r>
        <w:t xml:space="preserve"> → </w:t>
      </w:r>
      <w:r>
        <w:t>(j) To obtain a duplicate FDR the depositor must submit a statement of loss, an affidavit and an indemnity bond; the bank may advertise the loss and issue a new receipt after verification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