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00"/>
        <w:jc w:val="center"/>
      </w:pPr>
      <w:r>
        <w:rPr>
          <w:rFonts w:ascii="Arial" w:cs="Arial" w:eastAsia="Arial" w:hAnsi="Arial"/>
          <w:b/>
          <w:bCs/>
          <w:color w:val="C8860A"/>
          <w:sz w:val="28"/>
          <w:szCs w:val="28"/>
        </w:rPr>
        <w:t xml:space="preserve">JAIBB | LPGB</w:t>
      </w:r>
    </w:p>
    <w:p>
      <w:pPr>
        <w:spacing w:before="0" w:after="180"/>
        <w:jc w:val="center"/>
      </w:pPr>
      <w:r>
        <w:rPr>
          <w:rFonts w:ascii="Arial" w:cs="Arial" w:eastAsia="Arial" w:hAnsi="Arial"/>
          <w:b/>
          <w:bCs/>
          <w:color w:val="0D1B3E"/>
          <w:sz w:val="40"/>
          <w:szCs w:val="40"/>
        </w:rPr>
        <w:t xml:space="preserve">Laws and Practice of General Banking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860A" w:sz="1"/>
              <w:left w:val="single" w:color="C8860A" w:sz="1"/>
              <w:bottom w:val="single" w:color="C8860A" w:sz="1"/>
              <w:right w:val="single" w:color="C8860A" w:sz="1"/>
            </w:tcBorders>
            <w:shd w:fill="C8860A" w:val="clear"/>
            <w:tcMar>
              <w:top w:type="dxa" w:w="160"/>
              <w:left w:type="dxa" w:w="220"/>
              <w:bottom w:type="dxa" w:w="160"/>
              <w:right w:type="dxa" w:w="220"/>
            </w:tcMar>
          </w:tcPr>
          <w:p>
            <w:pPr>
              <w:spacing w:before="0" w:after="60"/>
              <w:jc w:val="center"/>
            </w:pPr>
            <w:r>
              <w:rPr>
                <w:rFonts w:ascii="Arial" w:cs="Arial" w:eastAsia="Arial" w:hAnsi="Arial"/>
                <w:b/>
                <w:bCs/>
                <w:color w:val="FFFFFF"/>
                <w:sz w:val="36"/>
                <w:szCs w:val="36"/>
              </w:rPr>
              <w:t xml:space="preserve">Part A — Broad Questions</w:t>
            </w:r>
          </w:p>
          <w:p>
            <w:pPr>
              <w:spacing w:before="0" w:after="0"/>
              <w:jc w:val="center"/>
            </w:pPr>
            <w:r>
              <w:rPr>
                <w:rFonts w:ascii="Arial" w:cs="Arial" w:eastAsia="Arial" w:hAnsi="Arial"/>
                <w:b/>
                <w:bCs/>
                <w:color w:val="FFFFFF"/>
                <w:sz w:val="28"/>
                <w:szCs w:val="28"/>
              </w:rPr>
              <w:t xml:space="preserve">পার্ট এ — বিস্তারিত প্রশ্নাবলি</w:t>
            </w:r>
          </w:p>
        </w:tc>
      </w:tr>
    </w:tbl>
    <w:p>
      <w:pPr>
        <w:spacing w:before="60" w:after="60" w:line="276"/>
        <w:jc w:val="left"/>
      </w:pPr>
      <w:r>
        <w:rPr>
          <w:rFonts w:ascii="Arial" w:cs="Arial" w:eastAsia="Arial" w:hAnsi="Arial"/>
          <w:b w:val="false"/>
          <w:bCs w:val="false"/>
          <w:i w:val="false"/>
          <w:iCs w:val="false"/>
          <w:color w:val="000000"/>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A6B" w:sz="1"/>
              <w:left w:val="single" w:color="1A3A6B" w:sz="1"/>
              <w:bottom w:val="single" w:color="1A3A6B" w:sz="1"/>
              <w:right w:val="single" w:color="1A3A6B" w:sz="1"/>
            </w:tcBorders>
            <w:shd w:fill="EEF2FF" w:val="clear"/>
            <w:tcMar>
              <w:top w:type="dxa" w:w="120"/>
              <w:left w:type="dxa" w:w="120"/>
              <w:bottom w:type="dxa" w:w="120"/>
              <w:right w:type="dxa" w:w="120"/>
            </w:tcMar>
          </w:tcPr>
          <w:p>
            <w:pPr>
              <w:spacing w:before="0" w:after="30"/>
              <w:jc w:val="center"/>
            </w:pPr>
            <w:r>
              <w:rPr>
                <w:rFonts w:ascii="Arial" w:cs="Arial" w:eastAsia="Arial" w:hAnsi="Arial"/>
                <w:b/>
                <w:bCs/>
                <w:color w:val="1A3A6B"/>
                <w:sz w:val="36"/>
                <w:szCs w:val="36"/>
              </w:rPr>
              <w:t xml:space="preserve">A–L</w:t>
            </w:r>
          </w:p>
          <w:p>
            <w:pPr>
              <w:spacing w:before="0" w:after="20"/>
              <w:jc w:val="center"/>
            </w:pPr>
            <w:r>
              <w:rPr>
                <w:rFonts w:ascii="Arial" w:cs="Arial" w:eastAsia="Arial" w:hAnsi="Arial"/>
                <w:b/>
                <w:bCs/>
                <w:color w:val="666666"/>
                <w:sz w:val="20"/>
                <w:szCs w:val="20"/>
              </w:rPr>
              <w:t xml:space="preserve">মডিউল</w:t>
            </w:r>
          </w:p>
          <w:p>
            <w:pPr>
              <w:spacing w:before="0" w:after="0"/>
              <w:jc w:val="center"/>
            </w:pPr>
            <w:r>
              <w:rPr>
                <w:rFonts w:ascii="Arial" w:cs="Arial" w:eastAsia="Arial" w:hAnsi="Arial"/>
                <w:i/>
                <w:iCs/>
                <w:color w:val="888888"/>
                <w:sz w:val="18"/>
                <w:szCs w:val="18"/>
              </w:rPr>
              <w:t xml:space="preserve">Modules</w:t>
            </w:r>
          </w:p>
        </w:tc>
        <w:tc>
          <w:tcPr>
            <w:tcW w:type="dxa" w:w="2340"/>
            <w:tcBorders>
              <w:top w:val="single" w:color="1A3A6B" w:sz="1"/>
              <w:left w:val="single" w:color="1A3A6B" w:sz="1"/>
              <w:bottom w:val="single" w:color="1A3A6B" w:sz="1"/>
              <w:right w:val="single" w:color="1A3A6B" w:sz="1"/>
            </w:tcBorders>
            <w:shd w:fill="FFF8E1" w:val="clear"/>
            <w:tcMar>
              <w:top w:type="dxa" w:w="120"/>
              <w:left w:type="dxa" w:w="120"/>
              <w:bottom w:type="dxa" w:w="120"/>
              <w:right w:type="dxa" w:w="120"/>
            </w:tcMar>
          </w:tcPr>
          <w:p>
            <w:pPr>
              <w:spacing w:before="0" w:after="30"/>
              <w:jc w:val="center"/>
            </w:pPr>
            <w:r>
              <w:rPr>
                <w:rFonts w:ascii="Arial" w:cs="Arial" w:eastAsia="Arial" w:hAnsi="Arial"/>
                <w:b/>
                <w:bCs/>
                <w:color w:val="1A3A6B"/>
                <w:sz w:val="36"/>
                <w:szCs w:val="36"/>
              </w:rPr>
              <w:t xml:space="preserve">50+</w:t>
            </w:r>
          </w:p>
          <w:p>
            <w:pPr>
              <w:spacing w:before="0" w:after="20"/>
              <w:jc w:val="center"/>
            </w:pPr>
            <w:r>
              <w:rPr>
                <w:rFonts w:ascii="Arial" w:cs="Arial" w:eastAsia="Arial" w:hAnsi="Arial"/>
                <w:b/>
                <w:bCs/>
                <w:color w:val="666666"/>
                <w:sz w:val="20"/>
                <w:szCs w:val="20"/>
              </w:rPr>
              <w:t xml:space="preserve">প্রশ্নসমূহ</w:t>
            </w:r>
          </w:p>
          <w:p>
            <w:pPr>
              <w:spacing w:before="0" w:after="0"/>
              <w:jc w:val="center"/>
            </w:pPr>
            <w:r>
              <w:rPr>
                <w:rFonts w:ascii="Arial" w:cs="Arial" w:eastAsia="Arial" w:hAnsi="Arial"/>
                <w:i/>
                <w:iCs/>
                <w:color w:val="888888"/>
                <w:sz w:val="18"/>
                <w:szCs w:val="18"/>
              </w:rPr>
              <w:t xml:space="preserve">Questions</w:t>
            </w:r>
          </w:p>
        </w:tc>
        <w:tc>
          <w:tcPr>
            <w:tcW w:type="dxa" w:w="2340"/>
            <w:tcBorders>
              <w:top w:val="single" w:color="1A3A6B" w:sz="1"/>
              <w:left w:val="single" w:color="1A3A6B" w:sz="1"/>
              <w:bottom w:val="single" w:color="1A3A6B" w:sz="1"/>
              <w:right w:val="single" w:color="1A3A6B" w:sz="1"/>
            </w:tcBorders>
            <w:shd w:fill="EEF2FF" w:val="clear"/>
            <w:tcMar>
              <w:top w:type="dxa" w:w="120"/>
              <w:left w:type="dxa" w:w="120"/>
              <w:bottom w:type="dxa" w:w="120"/>
              <w:right w:type="dxa" w:w="120"/>
            </w:tcMar>
          </w:tcPr>
          <w:p>
            <w:pPr>
              <w:spacing w:before="0" w:after="30"/>
              <w:jc w:val="center"/>
            </w:pPr>
            <w:r>
              <w:rPr>
                <w:rFonts w:ascii="Arial" w:cs="Arial" w:eastAsia="Arial" w:hAnsi="Arial"/>
                <w:b/>
                <w:bCs/>
                <w:color w:val="1A3A6B"/>
                <w:sz w:val="36"/>
                <w:szCs w:val="36"/>
              </w:rPr>
              <w:t xml:space="preserve">20×2=40</w:t>
            </w:r>
          </w:p>
          <w:p>
            <w:pPr>
              <w:spacing w:before="0" w:after="20"/>
              <w:jc w:val="center"/>
            </w:pPr>
            <w:r>
              <w:rPr>
                <w:rFonts w:ascii="Arial" w:cs="Arial" w:eastAsia="Arial" w:hAnsi="Arial"/>
                <w:b/>
                <w:bCs/>
                <w:color w:val="666666"/>
                <w:sz w:val="20"/>
                <w:szCs w:val="20"/>
              </w:rPr>
              <w:t xml:space="preserve">মার্কস</w:t>
            </w:r>
          </w:p>
          <w:p>
            <w:pPr>
              <w:spacing w:before="0" w:after="0"/>
              <w:jc w:val="center"/>
            </w:pPr>
            <w:r>
              <w:rPr>
                <w:rFonts w:ascii="Arial" w:cs="Arial" w:eastAsia="Arial" w:hAnsi="Arial"/>
                <w:i/>
                <w:iCs/>
                <w:color w:val="888888"/>
                <w:sz w:val="18"/>
                <w:szCs w:val="18"/>
              </w:rPr>
              <w:t xml:space="preserve">Marks</w:t>
            </w:r>
          </w:p>
        </w:tc>
        <w:tc>
          <w:tcPr>
            <w:tcW w:type="dxa" w:w="2340"/>
            <w:tcBorders>
              <w:top w:val="single" w:color="1A3A6B" w:sz="1"/>
              <w:left w:val="single" w:color="1A3A6B" w:sz="1"/>
              <w:bottom w:val="single" w:color="1A3A6B" w:sz="1"/>
              <w:right w:val="single" w:color="1A3A6B" w:sz="1"/>
            </w:tcBorders>
            <w:shd w:fill="FFF8E1" w:val="clear"/>
            <w:tcMar>
              <w:top w:type="dxa" w:w="120"/>
              <w:left w:type="dxa" w:w="120"/>
              <w:bottom w:type="dxa" w:w="120"/>
              <w:right w:type="dxa" w:w="120"/>
            </w:tcMar>
          </w:tcPr>
          <w:p>
            <w:pPr>
              <w:spacing w:before="0" w:after="30"/>
              <w:jc w:val="center"/>
            </w:pPr>
            <w:r>
              <w:rPr>
                <w:rFonts w:ascii="Arial" w:cs="Arial" w:eastAsia="Arial" w:hAnsi="Arial"/>
                <w:b/>
                <w:bCs/>
                <w:color w:val="1A3A6B"/>
                <w:sz w:val="36"/>
                <w:szCs w:val="36"/>
              </w:rPr>
              <w:t xml:space="preserve">7th JAIBB</w:t>
            </w:r>
          </w:p>
          <w:p>
            <w:pPr>
              <w:spacing w:before="0" w:after="20"/>
              <w:jc w:val="center"/>
            </w:pPr>
            <w:r>
              <w:rPr>
                <w:rFonts w:ascii="Arial" w:cs="Arial" w:eastAsia="Arial" w:hAnsi="Arial"/>
                <w:b/>
                <w:bCs/>
                <w:color w:val="666666"/>
                <w:sz w:val="20"/>
                <w:szCs w:val="20"/>
              </w:rPr>
              <w:t xml:space="preserve">পরীক্ষা</w:t>
            </w:r>
          </w:p>
          <w:p>
            <w:pPr>
              <w:spacing w:before="0" w:after="0"/>
              <w:jc w:val="center"/>
            </w:pPr>
            <w:r>
              <w:rPr>
                <w:rFonts w:ascii="Arial" w:cs="Arial" w:eastAsia="Arial" w:hAnsi="Arial"/>
                <w:i/>
                <w:iCs/>
                <w:color w:val="888888"/>
                <w:sz w:val="18"/>
                <w:szCs w:val="18"/>
              </w:rPr>
              <w:t xml:space="preserve">Exam</w:t>
            </w:r>
          </w:p>
        </w:tc>
      </w:tr>
    </w:tbl>
    <w:p>
      <w:pPr>
        <w:spacing w:before="60" w:after="60" w:line="276"/>
        <w:jc w:val="left"/>
      </w:pPr>
      <w:r>
        <w:rPr>
          <w:rFonts w:ascii="Arial" w:cs="Arial" w:eastAsia="Arial" w:hAnsi="Arial"/>
          <w:b w:val="false"/>
          <w:bCs w:val="false"/>
          <w:i w:val="false"/>
          <w:iCs w:val="false"/>
          <w:color w:val="000000"/>
          <w:sz w:val="24"/>
          <w:szCs w:val="24"/>
        </w:rPr>
        <w:t xml:space="preserve"> </w:t>
      </w:r>
    </w:p>
    <w:p>
      <w:pPr>
        <w:spacing w:before="200" w:after="100"/>
        <w:jc w:val="center"/>
      </w:pPr>
      <w:r>
        <w:rPr>
          <w:rFonts w:ascii="Arial" w:cs="Arial" w:eastAsia="Arial" w:hAnsi="Arial"/>
          <w:b/>
          <w:bCs/>
          <w:color w:val="1A3A6B"/>
          <w:sz w:val="22"/>
          <w:szCs w:val="22"/>
        </w:rPr>
        <w:t xml:space="preserve">Subject Code: 104  |  Full Marks: 100  |  Pass Marks: 45  |  Time: 3 Hours</w:t>
      </w:r>
    </w:p>
    <w:p>
      <w:pPr>
        <w:spacing w:before="0" w:after="400"/>
        <w:jc w:val="center"/>
      </w:pPr>
      <w:r>
        <w:rPr>
          <w:rFonts w:ascii="Arial" w:cs="Arial" w:eastAsia="Arial" w:hAnsi="Arial"/>
          <w:i/>
          <w:iCs/>
          <w:color w:val="666666"/>
          <w:sz w:val="22"/>
          <w:szCs w:val="22"/>
        </w:rPr>
        <w:t xml:space="preserve">Answer any TWO questions from Part A  |  প্রতিটি প্রশ্ন ২০ মার্কস</w:t>
      </w:r>
    </w:p>
    <w:p>
      <w:r>
        <w:br w:type="page"/>
      </w:r>
    </w:p>
    <w:p>
      <w:pPr>
        <w:spacing w:before="300" w:after="0"/>
      </w:pPr>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B3E" w:sz="1"/>
              <w:left w:val="single" w:color="0D1B3E" w:sz="1"/>
              <w:bottom w:val="single" w:color="0D1B3E" w:sz="1"/>
              <w:right w:val="single" w:color="0D1B3E" w:sz="1"/>
            </w:tcBorders>
            <w:shd w:fill="0D1B3E" w:val="clear"/>
            <w:tcMar>
              <w:top w:type="dxa" w:w="160"/>
              <w:left w:type="dxa" w:w="220"/>
              <w:bottom w:type="dxa" w:w="160"/>
              <w:right w:type="dxa" w:w="220"/>
            </w:tcMar>
          </w:tcPr>
          <w:p>
            <w:pPr>
              <w:spacing w:before="0" w:after="40"/>
            </w:pPr>
            <w:r>
              <w:rPr>
                <w:rFonts w:ascii="Arial" w:cs="Arial" w:eastAsia="Arial" w:hAnsi="Arial"/>
                <w:b/>
                <w:bCs/>
                <w:caps/>
                <w:color w:val="C8860A"/>
                <w:sz w:val="22"/>
                <w:szCs w:val="22"/>
              </w:rPr>
              <w:t xml:space="preserve">MODULE A</w:t>
            </w:r>
            <w:r>
              <w:rPr>
                <w:rFonts w:ascii="Arial" w:cs="Arial" w:eastAsia="Arial" w:hAnsi="Arial"/>
                <w:color w:val="AAAAAA"/>
                <w:sz w:val="22"/>
                <w:szCs w:val="22"/>
              </w:rPr>
              <w:t xml:space="preserve"> — </w:t>
            </w:r>
            <w:r>
              <w:rPr>
                <w:rFonts w:ascii="Arial" w:cs="Arial" w:eastAsia="Arial" w:hAnsi="Arial"/>
                <w:color w:val="CCCCCC"/>
                <w:sz w:val="22"/>
                <w:szCs w:val="22"/>
              </w:rPr>
              <w:t xml:space="preserve">Bangladesh Bank Order 1972 • BCA 1991 • FIA 1993 • Artho Rin Adalat 2003 • Willful Defaulter</w:t>
            </w:r>
          </w:p>
          <w:p>
            <w:pPr>
              <w:spacing w:before="0" w:after="0"/>
            </w:pPr>
            <w:r>
              <w:rPr>
                <w:rFonts w:ascii="Arial" w:cs="Arial" w:eastAsia="Arial" w:hAnsi="Arial"/>
                <w:b/>
                <w:bCs/>
                <w:color w:val="FFFFFF"/>
                <w:sz w:val="34"/>
                <w:szCs w:val="34"/>
              </w:rPr>
              <w:t xml:space="preserve">Financial Institutions Related Laws</w:t>
            </w:r>
          </w:p>
        </w:tc>
      </w:tr>
    </w:tbl>
    <w:p>
      <w:pPr>
        <w:spacing w:before="60" w:after="60" w:line="276"/>
        <w:jc w:val="left"/>
      </w:pPr>
      <w:r>
        <w:rPr>
          <w:rFonts w:ascii="Arial" w:cs="Arial" w:eastAsia="Arial" w:hAnsi="Arial"/>
          <w:b w:val="false"/>
          <w:bCs w:val="false"/>
          <w:i w:val="false"/>
          <w:iCs w:val="false"/>
          <w:color w:val="000000"/>
          <w:sz w:val="24"/>
          <w:szCs w:val="24"/>
        </w:rPr>
        <w:t xml:space="preserve"> </w:t>
      </w:r>
    </w:p>
    <w:p>
      <w:pPr>
        <w:spacing w:before="280" w:after="0"/>
      </w:pPr>
      <w:r>
        <w:rPr>
          <w:rFonts w:ascii="Arial" w:cs="Arial" w:eastAsia="Arial" w:hAnsi="Arial"/>
          <w:b/>
          <w:bCs/>
          <w:color w:val="8B1A1A"/>
          <w:sz w:val="28"/>
          <w:szCs w:val="28"/>
        </w:rPr>
        <w:t xml:space="preserve">প্রশ্ন A-1 | Question A-1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বাংলাদেশ ব্যাংক অর্ডার, ১৯৭২ অনুযায়ী কেন্দ্রীয় ব্যাংকের প্রধান কার্যাবলী বর্ণনা করুন। কেন্দ্রীয় ব্যাংককে 'শেষ অবলম্বনের ঋণদাতা' বলা হয় কেন?</w:t>
      </w:r>
    </w:p>
    <w:p>
      <w:pPr>
        <w:spacing w:before="0" w:after="100"/>
      </w:pPr>
      <w:r>
        <w:rPr>
          <w:rFonts w:ascii="Arial" w:cs="Arial" w:eastAsia="Arial" w:hAnsi="Arial"/>
          <w:i/>
          <w:iCs/>
          <w:color w:val="555555"/>
          <w:sz w:val="22"/>
          <w:szCs w:val="22"/>
        </w:rPr>
        <w:t xml:space="preserve">Describe main functions of Central Bank under BB Order 1972. Why is central bank called the 'Lender of Last Resort'?</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বাংলাদেশ ব্যাংকের প্রধান কার্যাবলী কী কী? [১০]</w:t>
      </w:r>
    </w:p>
    <w:p>
      <w:pPr>
        <w:spacing w:before="0" w:after="80"/>
      </w:pPr>
      <w:r>
        <w:rPr>
          <w:rFonts w:ascii="Arial" w:cs="Arial" w:eastAsia="Arial" w:hAnsi="Arial"/>
          <w:i/>
          <w:iCs/>
          <w:color w:val="555555"/>
          <w:sz w:val="21"/>
          <w:szCs w:val="21"/>
        </w:rPr>
        <w:t xml:space="preserve">What are the main functions of Bangladesh Bank?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Bangladesh Bank Order, 1972 — Chapter III; 6 Chapters, 84 Sections</w:t>
      </w:r>
    </w:p>
    <w:p>
      <w:pPr>
        <w:spacing w:before="60" w:after="30"/>
      </w:pPr>
      <w:r>
        <w:rPr>
          <w:rFonts w:ascii="Arial" w:cs="Arial" w:eastAsia="Arial" w:hAnsi="Arial"/>
          <w:b/>
          <w:bCs/>
          <w:color w:val="1A3A6B"/>
          <w:sz w:val="24"/>
          <w:szCs w:val="24"/>
        </w:rPr>
        <w:t xml:space="preserve">বাংলাদেশ ব্যাংক হলো বাংলাদেশের কেন্দ্রীয় ব্যাংক যা ৭ এপ্রিল ১৯৭২ সালে BB Order 1972 দ্বারা প্রতিষ্ঠিত। এটি দেশের মুদ্রা ও ঋণ ব্যবস্থা পরিচালনা করে।</w:t>
      </w:r>
    </w:p>
    <w:p>
      <w:pPr>
        <w:spacing w:before="0" w:after="80"/>
      </w:pPr>
      <w:r>
        <w:rPr>
          <w:rFonts w:ascii="Arial" w:cs="Arial" w:eastAsia="Arial" w:hAnsi="Arial"/>
          <w:i/>
          <w:iCs/>
          <w:color w:val="333333"/>
          <w:sz w:val="22"/>
          <w:szCs w:val="22"/>
        </w:rPr>
        <w:t xml:space="preserve">→ Bangladesh Bank is the central bank established on 7 April 1972 under BB Order 1972. It manages the monetary and credit system to stabilize domestic monetary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বাংলাদেশ ব্যাংকের কার্যাবলী (বাংলা)</w:t>
            </w:r>
          </w:p>
        </w:tc>
        <w:tc>
          <w:tcPr>
            <w:tcW w:type="dxa" w:w="468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BB Main Functions (English)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১. মুদ্রানীতি প্রণয়ন ও বাস্তবায়ন</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Formulate and implement monetary policy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২. বৈদেশিক মুদ্রা বাজারে হস্তক্ষেপ নীতি</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Formulate intervention policies in FX market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৩. সরকারকে মুদ্রানীতি বিষয়ে পরামর্শ</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Advise Government on monetary, fiscal &amp; exchange policy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৪. সরকারি বৈদেশিক মুদ্রা রিজার্ভ ধারণ ও ব্যবস্থাপনা</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Hold and manage official foreign exchange reserves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৫. নিরাপদ পেমেন্ট সিস্টেম নিশ্চিত করা ও নোট ইস্যু</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Promote secure payment system and issue bank notes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৬. ব্যাংকিং কোম্পানি ও আর্থিক প্রতিষ্ঠান নিয়ন্ত্রণ</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Regulate and supervise banking companies and FIs</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কেন্দ্রীয় ব্যাংককে 'শেষ অবলম্বনের ঋণদাতা' বলা হয় কেন? [১০]</w:t>
      </w:r>
    </w:p>
    <w:p>
      <w:pPr>
        <w:spacing w:before="0" w:after="80"/>
      </w:pPr>
      <w:r>
        <w:rPr>
          <w:rFonts w:ascii="Arial" w:cs="Arial" w:eastAsia="Arial" w:hAnsi="Arial"/>
          <w:i/>
          <w:iCs/>
          <w:color w:val="555555"/>
          <w:sz w:val="21"/>
          <w:szCs w:val="21"/>
        </w:rPr>
        <w:t xml:space="preserve">Why is central bank called 'Lender of Last Resort'?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30"/>
      </w:pPr>
      <w:r>
        <w:rPr>
          <w:rFonts w:ascii="Arial" w:cs="Arial" w:eastAsia="Arial" w:hAnsi="Arial"/>
          <w:b/>
          <w:bCs/>
          <w:color w:val="1A3A6B"/>
          <w:sz w:val="24"/>
          <w:szCs w:val="24"/>
        </w:rPr>
        <w:t xml:space="preserve">বাংলাদেশ ব্যাংককে 'Lender of Last Resort' বলা হয় কারণ যখন কোনো বাণিজ্যিক ব্যাংক আর্থিক সংকটে পড়ে এবং অন্য কোনো উৎস থেকে তরলতা পায় না, তখন কেন্দ্রীয় ব্যাংক সেই ব্যাংককে জরুরি ঋণ সুবিধা প্রদান করে।</w:t>
      </w:r>
    </w:p>
    <w:p>
      <w:pPr>
        <w:spacing w:before="0" w:after="80"/>
      </w:pPr>
      <w:r>
        <w:rPr>
          <w:rFonts w:ascii="Arial" w:cs="Arial" w:eastAsia="Arial" w:hAnsi="Arial"/>
          <w:i/>
          <w:iCs/>
          <w:color w:val="333333"/>
          <w:sz w:val="22"/>
          <w:szCs w:val="22"/>
        </w:rPr>
        <w:t xml:space="preserve">→ BB is the 'Lender of Last Resort' because when a commercial bank faces financial crisis and cannot obtain liquidity from any other source, the central bank provides emergency lending to prevent banking system collapse.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বাংলা কারণ</w:t>
            </w:r>
          </w:p>
        </w:tc>
        <w:tc>
          <w:tcPr>
            <w:tcW w:type="dxa" w:w="468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English Reason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ব্যাংকিং ব্যবস্থার স্থিতিশীলতা রক্ষা করে</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Protects stability of the entire banking system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আর্থিক সংকট ছড়িয়ে পড়া প্রতিরোধ করে</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Prevents financial crisis from spreading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আমানতকারীদের আস্থা বজায় রাখে</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Maintains depositors' confidence in banks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Bank Run (ব্যাংক রান) প্রতিরোধ করে</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Prevents panic bank runs by general public</w:t>
            </w:r>
          </w:p>
        </w:tc>
      </w:tr>
    </w:tbl>
    <w:p>
      <w:pPr>
        <w:pBdr>
          <w:bottom w:val="single" w:color="C8860A" w:sz="6" w:space="1"/>
        </w:pBdr>
        <w:spacing w:before="120" w:after="120"/>
      </w:pPr>
    </w:p>
    <w:p>
      <w:pPr>
        <w:spacing w:before="280" w:after="0"/>
      </w:pPr>
      <w:r>
        <w:rPr>
          <w:rFonts w:ascii="Arial" w:cs="Arial" w:eastAsia="Arial" w:hAnsi="Arial"/>
          <w:b/>
          <w:bCs/>
          <w:color w:val="8B1A1A"/>
          <w:sz w:val="28"/>
          <w:szCs w:val="28"/>
        </w:rPr>
        <w:t xml:space="preserve">প্রশ্ন A-2 | Question A-2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ব্যাংক কোম্পানি আইন, ১৯৯১ অনুযায়ী পরিচালকের পদ শূন্য হওয়ার পরিস্থিতি কী? ইচ্ছাকৃত খেলাপির সংজ্ঞা ও এর পরিণতি বর্ণনা করুন।</w:t>
      </w:r>
    </w:p>
    <w:p>
      <w:pPr>
        <w:spacing w:before="0" w:after="100"/>
      </w:pPr>
      <w:r>
        <w:rPr>
          <w:rFonts w:ascii="Arial" w:cs="Arial" w:eastAsia="Arial" w:hAnsi="Arial"/>
          <w:i/>
          <w:iCs/>
          <w:color w:val="555555"/>
          <w:sz w:val="22"/>
          <w:szCs w:val="22"/>
        </w:rPr>
        <w:t xml:space="preserve">When does a director's office fall vacant under BCA 1991? Define willful defaulter and describe its consequences.</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BCA 1991 অনুযায়ী পরিচালকের পদ শূন্য হওয়ার পরিস্থিতি ও অযোগ্যতা বর্ণনা করুন। [১০]</w:t>
      </w:r>
    </w:p>
    <w:p>
      <w:pPr>
        <w:spacing w:before="0" w:after="80"/>
      </w:pPr>
      <w:r>
        <w:rPr>
          <w:rFonts w:ascii="Arial" w:cs="Arial" w:eastAsia="Arial" w:hAnsi="Arial"/>
          <w:i/>
          <w:iCs/>
          <w:color w:val="555555"/>
          <w:sz w:val="21"/>
          <w:szCs w:val="21"/>
        </w:rPr>
        <w:t xml:space="preserve">Describe circumstances for director vacation and disqualification under BCA 1991.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BCA 1991 (Amendment 2023) — Section 94 (Disqualification), Section 108 (Vacation)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পদ শূন্যের কারণ (বাংলা)</w:t>
            </w:r>
          </w:p>
        </w:tc>
        <w:tc>
          <w:tcPr>
            <w:tcW w:type="dxa" w:w="468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Vacation of Office (English)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১. পদত্যাগপত্র জমা দিলে</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On submission of resignation letter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২. কোম্পানি সভায় টানা ৩টিতে অনুপস্থিত</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Absent from 3 consecutive company meetings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৩. শেয়ার হস্তান্তর বা যোগ্যতার শেয়ার না রাখলে</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Transfer of shares or ceasing qualification shares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৪. দেউলিয়া বা অপ্রকৃতস্থ ঘোষিত হলে</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Being adjudicated bankrupt or of unsound mind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৫. আদালতের নিষেধাজ্ঞা জারি হলে</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On court order restricting from directorship</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৬. ঋণখেলাপি হলে (BB নির্দেশনা অনুযায়ী)</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On becoming loan defaulter per BB guidelines</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ইচ্ছাকৃত খেলাপি কী? এর পরিণতি ও Prompt Corrective Action (PCA) বর্ণনা করুন। [১০]</w:t>
      </w:r>
    </w:p>
    <w:p>
      <w:pPr>
        <w:spacing w:before="0" w:after="80"/>
      </w:pPr>
      <w:r>
        <w:rPr>
          <w:rFonts w:ascii="Arial" w:cs="Arial" w:eastAsia="Arial" w:hAnsi="Arial"/>
          <w:i/>
          <w:iCs/>
          <w:color w:val="555555"/>
          <w:sz w:val="21"/>
          <w:szCs w:val="21"/>
        </w:rPr>
        <w:t xml:space="preserve">Define willful defaulter. Describe consequences and Prompt Corrective Action (PCA).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BCA 1991 (Amendment 2023); BB BRPD Circular on Willful Defaulter; Section 77Ka — PCA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1"/>
              <w:left w:val="single" w:color="8B1A1A" w:sz="1"/>
              <w:bottom w:val="single" w:color="8B1A1A" w:sz="1"/>
              <w:right w:val="single" w:color="8B1A1A" w:sz="1"/>
            </w:tcBorders>
            <w:shd w:fill="FFEBEE" w:val="clear"/>
            <w:tcMar>
              <w:top w:type="dxa" w:w="120"/>
              <w:left w:type="dxa" w:w="180"/>
              <w:bottom w:type="dxa" w:w="120"/>
              <w:right w:type="dxa" w:w="180"/>
            </w:tcMar>
          </w:tcPr>
          <w:p>
            <w:pPr>
              <w:spacing w:before="60" w:after="40"/>
            </w:pPr>
            <w:r>
              <w:rPr>
                <w:rFonts w:ascii="Arial" w:cs="Arial" w:eastAsia="Arial" w:hAnsi="Arial"/>
                <w:b/>
                <w:bCs/>
                <w:caps/>
                <w:color w:val="8B1A1A"/>
                <w:sz w:val="22"/>
                <w:szCs w:val="22"/>
              </w:rPr>
              <w:t xml:space="preserve">📖 ইচ্ছাকৃত খেলাপির সংজ্ঞা | Willful Defaulter Definition</w:t>
            </w:r>
          </w:p>
          <w:p>
            <w:pPr>
              <w:spacing w:before="0" w:after="40"/>
            </w:pPr>
            <w:r>
              <w:rPr>
                <w:rFonts w:ascii="Arial" w:cs="Arial" w:eastAsia="Arial" w:hAnsi="Arial"/>
                <w:color w:val="1A3A6B"/>
                <w:sz w:val="23"/>
                <w:szCs w:val="23"/>
              </w:rPr>
              <w:t xml:space="preserve">ইচ্ছাকৃত খেলাপি হলেন এমন ঋণগ্রহীতা যিনি আর্থিক সক্ষমতা থাকা সত্ত্বেও ইচ্ছাকৃতভাবে ঋণ পরিশোধ করেন না এবং/অথবা ঋণের অর্থ উদ্দিষ্ট উদ্দেশ্যে ব্যবহার না করে অন্যত্র সরিয়ে নেন।</w:t>
            </w:r>
          </w:p>
          <w:p>
            <w:pPr>
              <w:spacing w:before="0" w:after="60"/>
            </w:pPr>
            <w:r>
              <w:rPr>
                <w:rFonts w:ascii="Arial" w:cs="Arial" w:eastAsia="Arial" w:hAnsi="Arial"/>
                <w:i/>
                <w:iCs/>
                <w:color w:val="444444"/>
                <w:sz w:val="22"/>
                <w:szCs w:val="22"/>
              </w:rPr>
              <w:t xml:space="preserve">→ A willful defaulter deliberately refuses to repay despite financial capability AND/OR diverts loan funds from stated purpose.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পরিণতি (বাংলা)</w:t>
            </w:r>
          </w:p>
        </w:tc>
        <w:tc>
          <w:tcPr>
            <w:tcW w:type="dxa" w:w="38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Consequence (English)</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নতুন কোনো ব্যাংক থেকে ঋণ পাবে না</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Cannot get loan from any bank or FI</w:t>
            </w:r>
          </w:p>
        </w:tc>
      </w:tr>
      <w:tr>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CIB রিপোর্টে Willful Defaulter তালিকাভুক্তি</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Listed as willful defaulter in CIB report</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পরিচালকরা অন্য ব্যাংকের পরিচালক হতে পারবেন না</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Directors cannot be directors of other banks</w:t>
            </w:r>
          </w:p>
        </w:tc>
      </w:tr>
      <w:tr>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কোম্পানির নাম সরকারি গেজেটে প্রকাশ</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Company name published in official Gazette</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PCA: নতুন শাখা খোলা, লভ্যাংশ বন্ধ (Sec 77Ka)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PCA: New branch ban, dividend stop (Sec 77Ka)</w:t>
            </w:r>
          </w:p>
        </w:tc>
      </w:tr>
    </w:tbl>
    <w:p>
      <w:pPr>
        <w:pBdr>
          <w:bottom w:val="single" w:color="C8860A" w:sz="6" w:space="1"/>
        </w:pBdr>
        <w:spacing w:before="120" w:after="120"/>
      </w:pPr>
    </w:p>
    <w:p>
      <w:pPr>
        <w:spacing w:before="280" w:after="0"/>
      </w:pPr>
      <w:r>
        <w:rPr>
          <w:rFonts w:ascii="Arial" w:cs="Arial" w:eastAsia="Arial" w:hAnsi="Arial"/>
          <w:b/>
          <w:bCs/>
          <w:color w:val="8B1A1A"/>
          <w:sz w:val="28"/>
          <w:szCs w:val="28"/>
        </w:rPr>
        <w:t xml:space="preserve">প্রশ্ন A-3 | Question A-3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অর্থঋণ আদালত আইন, ২০০৩-এর প্রধান বিধানসমূহ বর্ণনা করুন। এই আইন ব্যাংকের ঋণ আদায়ে কীভাবে সহায়তা করে?</w:t>
      </w:r>
    </w:p>
    <w:p>
      <w:pPr>
        <w:spacing w:before="0" w:after="100"/>
      </w:pPr>
      <w:r>
        <w:rPr>
          <w:rFonts w:ascii="Arial" w:cs="Arial" w:eastAsia="Arial" w:hAnsi="Arial"/>
          <w:i/>
          <w:iCs/>
          <w:color w:val="555555"/>
          <w:sz w:val="22"/>
          <w:szCs w:val="22"/>
        </w:rPr>
        <w:t xml:space="preserve">Describe main provisions of Artha Rin Adalat Ain 2003. How does this Act help banks recover stuck-up loans?</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অর্থঋণ আদালতে মামলার পদ্ধতি ও সময়সীমা বর্ণনা করুন। [১০]</w:t>
      </w:r>
    </w:p>
    <w:p>
      <w:pPr>
        <w:spacing w:before="0" w:after="80"/>
      </w:pPr>
      <w:r>
        <w:rPr>
          <w:rFonts w:ascii="Arial" w:cs="Arial" w:eastAsia="Arial" w:hAnsi="Arial"/>
          <w:i/>
          <w:iCs/>
          <w:color w:val="555555"/>
          <w:sz w:val="21"/>
          <w:szCs w:val="21"/>
        </w:rPr>
        <w:t xml:space="preserve">Describe the procedure and time limits for suits in Artha Rin Adalat.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Artha Rin Adalat Ain, 2003 — Sections 4, 7, 10, 12, 17, 22, 28, 33, 41,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400"/>
        <w:gridCol w:w="3160"/>
      </w:tblGrid>
      <w:tr>
        <w:tc>
          <w:tcPr>
            <w:tcW w:type="dxa" w:w="2200"/>
            <w:tcBorders>
              <w:top w:val="single" w:color="1A3A6B" w:sz="1"/>
              <w:left w:val="single" w:color="1A3A6B" w:sz="1"/>
              <w:bottom w:val="single" w:color="1A3A6B" w:sz="1"/>
              <w:right w:val="single" w:color="1A3A6B" w:sz="1"/>
            </w:tcBorders>
            <w:shd w:fill="1A3A6B" w:val="clear"/>
            <w:tcMar>
              <w:top w:type="dxa" w:w="80"/>
              <w:left w:type="dxa" w:w="100"/>
              <w:bottom w:type="dxa" w:w="80"/>
              <w:right w:type="dxa" w:w="100"/>
            </w:tcMar>
          </w:tcPr>
          <w:p>
            <w:r>
              <w:rPr>
                <w:rFonts w:ascii="Arial" w:cs="Arial" w:eastAsia="Arial" w:hAnsi="Arial"/>
                <w:b/>
                <w:bCs/>
                <w:color w:val="FFFFFF"/>
                <w:sz w:val="20"/>
                <w:szCs w:val="20"/>
              </w:rPr>
              <w:t xml:space="preserve">ধাপ</w:t>
            </w:r>
          </w:p>
        </w:tc>
        <w:tc>
          <w:tcPr>
            <w:tcW w:type="dxa" w:w="2600"/>
            <w:tcBorders>
              <w:top w:val="single" w:color="1A3A6B" w:sz="1"/>
              <w:left w:val="single" w:color="1A3A6B" w:sz="1"/>
              <w:bottom w:val="single" w:color="1A3A6B" w:sz="1"/>
              <w:right w:val="single" w:color="1A3A6B" w:sz="1"/>
            </w:tcBorders>
            <w:shd w:fill="1A3A6B" w:val="clear"/>
            <w:tcMar>
              <w:top w:type="dxa" w:w="80"/>
              <w:left w:type="dxa" w:w="100"/>
              <w:bottom w:type="dxa" w:w="80"/>
              <w:right w:type="dxa" w:w="100"/>
            </w:tcMar>
          </w:tcPr>
          <w:p>
            <w:r>
              <w:rPr>
                <w:rFonts w:ascii="Arial" w:cs="Arial" w:eastAsia="Arial" w:hAnsi="Arial"/>
                <w:b/>
                <w:bCs/>
                <w:color w:val="FFFFFF"/>
                <w:sz w:val="20"/>
                <w:szCs w:val="20"/>
              </w:rPr>
              <w:t xml:space="preserve">বিধান</w:t>
            </w:r>
          </w:p>
        </w:tc>
        <w:tc>
          <w:tcPr>
            <w:tcW w:type="dxa" w:w="1400"/>
            <w:tcBorders>
              <w:top w:val="single" w:color="1A3A6B" w:sz="1"/>
              <w:left w:val="single" w:color="1A3A6B" w:sz="1"/>
              <w:bottom w:val="single" w:color="1A3A6B" w:sz="1"/>
              <w:right w:val="single" w:color="1A3A6B" w:sz="1"/>
            </w:tcBorders>
            <w:shd w:fill="1A3A6B" w:val="clear"/>
            <w:tcMar>
              <w:top w:type="dxa" w:w="80"/>
              <w:left w:type="dxa" w:w="100"/>
              <w:bottom w:type="dxa" w:w="80"/>
              <w:right w:type="dxa" w:w="100"/>
            </w:tcMar>
          </w:tcPr>
          <w:p>
            <w:r>
              <w:rPr>
                <w:rFonts w:ascii="Arial" w:cs="Arial" w:eastAsia="Arial" w:hAnsi="Arial"/>
                <w:b/>
                <w:bCs/>
                <w:color w:val="FFFFFF"/>
                <w:sz w:val="20"/>
                <w:szCs w:val="20"/>
              </w:rPr>
              <w:t xml:space="preserve">ধারা</w:t>
            </w:r>
          </w:p>
        </w:tc>
        <w:tc>
          <w:tcPr>
            <w:tcW w:type="dxa" w:w="3160"/>
            <w:tcBorders>
              <w:top w:val="single" w:color="1A3A6B" w:sz="1"/>
              <w:left w:val="single" w:color="1A3A6B" w:sz="1"/>
              <w:bottom w:val="single" w:color="1A3A6B" w:sz="1"/>
              <w:right w:val="single" w:color="1A3A6B" w:sz="1"/>
            </w:tcBorders>
            <w:shd w:fill="1A3A6B" w:val="clear"/>
            <w:tcMar>
              <w:top w:type="dxa" w:w="80"/>
              <w:left w:type="dxa" w:w="100"/>
              <w:bottom w:type="dxa" w:w="80"/>
              <w:right w:type="dxa" w:w="100"/>
            </w:tcMar>
          </w:tcPr>
          <w:p>
            <w:r>
              <w:rPr>
                <w:rFonts w:ascii="Arial" w:cs="Arial" w:eastAsia="Arial" w:hAnsi="Arial"/>
                <w:b/>
                <w:bCs/>
                <w:color w:val="FFFFFF"/>
                <w:sz w:val="20"/>
                <w:szCs w:val="20"/>
              </w:rPr>
              <w:t xml:space="preserve">English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মামলা দায়ের</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নূন্যতম ১ লক্ষ টাকা</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Sec 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Minimum Tk. 1,00,000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সমন সার্ভ</w:t>
            </w:r>
          </w:p>
        </w:tc>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১৫ দিনের মধ্যে</w:t>
            </w:r>
          </w:p>
        </w:tc>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Sec 7</w:t>
            </w:r>
          </w:p>
        </w:tc>
        <w:tc>
          <w:tcPr>
            <w:tcW w:type="dxa" w:w="31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Within 15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লিখিত জবাব</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৪০ দিন (+২০ দিন)</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Sec 10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40 days (extendable 20)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মামলা নিষ্পত্তি</w:t>
            </w:r>
          </w:p>
        </w:tc>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৯০ দিন (বিশেষজ্ঞে ৩০)</w:t>
            </w:r>
          </w:p>
        </w:tc>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Sec 17</w:t>
            </w:r>
          </w:p>
        </w:tc>
        <w:tc>
          <w:tcPr>
            <w:tcW w:type="dxa" w:w="31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90 days (30 if expert)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রায়</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শুনানির ১০ দিনে</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Sec 16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Within 10 days of hearing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নিষ্পত্তি মামলা</w:t>
            </w:r>
          </w:p>
        </w:tc>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৩৬০ দিনের মধ্যে</w:t>
            </w:r>
          </w:p>
        </w:tc>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Sec 28</w:t>
            </w:r>
          </w:p>
        </w:tc>
        <w:tc>
          <w:tcPr>
            <w:tcW w:type="dxa" w:w="31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Within 360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আপিল (জেলা জজ)</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৫০ লক্ষ পর্যন্ত, ৫০% জমা</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Sec 41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Up to Tk. 50 lac, 50% deposit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রিভিশন</w:t>
            </w:r>
          </w:p>
        </w:tc>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৭৫% ডিক্রি জমা</w:t>
            </w:r>
          </w:p>
        </w:tc>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Sec 42</w:t>
            </w:r>
          </w:p>
        </w:tc>
        <w:tc>
          <w:tcPr>
            <w:tcW w:type="dxa" w:w="31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75% decree amount deposit</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২০১০ সালের সংশোধনীর গুরুত্বপূর্ণ পরিবর্তন এবং সালিশির মাধ্যমে নিষ্পত্তি বর্ণনা করুন। [১০]</w:t>
      </w:r>
    </w:p>
    <w:p>
      <w:pPr>
        <w:spacing w:before="0" w:after="80"/>
      </w:pPr>
      <w:r>
        <w:rPr>
          <w:rFonts w:ascii="Arial" w:cs="Arial" w:eastAsia="Arial" w:hAnsi="Arial"/>
          <w:i/>
          <w:iCs/>
          <w:color w:val="555555"/>
          <w:sz w:val="21"/>
          <w:szCs w:val="21"/>
        </w:rPr>
        <w:t xml:space="preserve">Describe key 2010 amendments and settlement through arbitration. [10]</w:t>
      </w:r>
    </w:p>
    <w:p>
      <w:pPr>
        <w:shd w:fill="FFF8E1" w:val="clear"/>
        <w:spacing w:before="100" w:after="100"/>
        <w:jc w:val="center"/>
      </w:pPr>
      <w:r>
        <w:rPr>
          <w:rFonts w:ascii="Arial" w:cs="Arial" w:eastAsia="Arial" w:hAnsi="Arial"/>
          <w:b/>
          <w:bCs/>
          <w:color w:val="8B1A1A"/>
          <w:sz w:val="24"/>
          <w:szCs w:val="24"/>
        </w:rPr>
        <w:t xml:space="preserve">★ উত্তর ★ | ★ Answer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২০১০ সংশোধনী (বাংলা)</w:t>
            </w:r>
          </w:p>
        </w:tc>
        <w:tc>
          <w:tcPr>
            <w:tcW w:type="dxa" w:w="4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2010 Amendment (English)</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PoA ছাড়াই জামানত বিক্রি সম্ভব [Sec 12(3)]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Banks can sell collateral without Power of Attorney</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যেকোনো পর্যায়ে সালিশির মাধ্যমে নিষ্পত্তি [Sec 22]</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Settlement through arbitration at any stage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নিষ্পত্তি মামলা ১৮০→৩৬০ দিন [Sec 28]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Execution case time extended 180→360 days</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নিলামে আমানত: ১০ লক্ষে ২০%, ৫০ লক্ষে ১৫%, ৫০+ লক্ষে ১০%</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Auction deposit: 20%/15%/10% by slab</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সুদের হার: সাধারণ ১২%, আপিলে ১৬%, হাইকোর্টে ১৮%</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Interest: 12% normal, 16% appeal, 18% HC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E30" w:sz="1"/>
              <w:left w:val="single" w:color="1A5E30" w:sz="1"/>
              <w:bottom w:val="single" w:color="1A5E30" w:sz="1"/>
              <w:right w:val="single" w:color="1A5E30" w:sz="1"/>
            </w:tcBorders>
            <w:shd w:fill="E8F5E9" w:val="clear"/>
            <w:tcMar>
              <w:top w:type="dxa" w:w="120"/>
              <w:left w:type="dxa" w:w="180"/>
              <w:bottom w:type="dxa" w:w="120"/>
              <w:right w:type="dxa" w:w="180"/>
            </w:tcMar>
          </w:tcPr>
          <w:p>
            <w:r>
              <w:rPr>
                <w:rFonts w:ascii="Arial" w:cs="Arial" w:eastAsia="Arial" w:hAnsi="Arial"/>
                <w:b/>
                <w:bCs/>
                <w:color w:val="1A5E30"/>
                <w:sz w:val="23"/>
                <w:szCs w:val="23"/>
              </w:rPr>
              <w:t xml:space="preserve">✅ অর্থঋণ আদালত ব্যাংকের ঋণ আদায়ে সহায়তা করে: দ্রুত বিচার → সম্পদ নিলাম → সিভিল কারাবাস → সালিশি → ঋণ আদায় সম্পন্ন হয়।
→ Artha Rin Adalat helps: Fast trial → Auction sale → Civil imprisonment → Arbitration → Loan recovery completed.</w:t>
            </w:r>
          </w:p>
        </w:tc>
      </w:tr>
    </w:tbl>
    <w:p>
      <w:pPr>
        <w:pBdr>
          <w:bottom w:val="single" w:color="C8860A" w:sz="6" w:space="1"/>
        </w:pBdr>
        <w:spacing w:before="120" w:after="120"/>
      </w:pPr>
    </w:p>
    <w:p>
      <w:pPr>
        <w:spacing w:before="280" w:after="0"/>
      </w:pPr>
      <w:r>
        <w:rPr>
          <w:rFonts w:ascii="Arial" w:cs="Arial" w:eastAsia="Arial" w:hAnsi="Arial"/>
          <w:b/>
          <w:bCs/>
          <w:color w:val="8B1A1A"/>
          <w:sz w:val="28"/>
          <w:szCs w:val="28"/>
        </w:rPr>
        <w:t xml:space="preserve">প্রশ্ন A-4 | Question A-4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আর্থিক প্রতিষ্ঠান আইন, ১৯৯৩-এর উদ্দেশ্য ও প্রধান বিধানসমূহ বর্ণনা করুন। NBFIs ও ব্যাংকের মধ্যে মূল পার্থক্য কী?</w:t>
      </w:r>
    </w:p>
    <w:p>
      <w:pPr>
        <w:spacing w:before="0" w:after="100"/>
      </w:pPr>
      <w:r>
        <w:rPr>
          <w:rFonts w:ascii="Arial" w:cs="Arial" w:eastAsia="Arial" w:hAnsi="Arial"/>
          <w:i/>
          <w:iCs/>
          <w:color w:val="555555"/>
          <w:sz w:val="22"/>
          <w:szCs w:val="22"/>
        </w:rPr>
        <w:t xml:space="preserve">Describe objectives and main provisions of Financial Institutions Act 1993. What are main differences between NBFIs and banks?</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FIA 1993-এর উদ্দেশ্য ও লাইসেন্স ছাড়া ব্যবসার শাস্তি কী? [১০]</w:t>
      </w:r>
    </w:p>
    <w:p>
      <w:pPr>
        <w:spacing w:before="0" w:after="80"/>
      </w:pPr>
      <w:r>
        <w:rPr>
          <w:rFonts w:ascii="Arial" w:cs="Arial" w:eastAsia="Arial" w:hAnsi="Arial"/>
          <w:i/>
          <w:iCs/>
          <w:color w:val="555555"/>
          <w:sz w:val="21"/>
          <w:szCs w:val="21"/>
        </w:rPr>
        <w:t xml:space="preserve">What are objectives of FIA 1993 and punishment for conducting business without license?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Financial Institutions Act, 1993 — Chapter II (Licensing); Offences and Punishments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2D8B" w:sz="1"/>
              <w:left w:val="single" w:color="5A2D8B" w:sz="1"/>
              <w:bottom w:val="single" w:color="5A2D8B" w:sz="1"/>
              <w:right w:val="single" w:color="5A2D8B" w:sz="1"/>
            </w:tcBorders>
            <w:shd w:fill="F3E8FF" w:val="clear"/>
            <w:tcMar>
              <w:top w:type="dxa" w:w="120"/>
              <w:left w:type="dxa" w:w="180"/>
              <w:bottom w:type="dxa" w:w="120"/>
              <w:right w:type="dxa" w:w="180"/>
            </w:tcMar>
          </w:tcPr>
          <w:p>
            <w:pPr>
              <w:spacing w:before="60" w:after="40"/>
            </w:pPr>
            <w:r>
              <w:rPr>
                <w:rFonts w:ascii="Arial" w:cs="Arial" w:eastAsia="Arial" w:hAnsi="Arial"/>
                <w:b/>
                <w:bCs/>
                <w:caps/>
                <w:color w:val="5A2D8B"/>
                <w:sz w:val="22"/>
                <w:szCs w:val="22"/>
              </w:rPr>
              <w:t xml:space="preserve">📖 উদ্দেশ্য | Objective</w:t>
            </w:r>
          </w:p>
          <w:p>
            <w:pPr>
              <w:spacing w:before="0" w:after="40"/>
            </w:pPr>
            <w:r>
              <w:rPr>
                <w:rFonts w:ascii="Arial" w:cs="Arial" w:eastAsia="Arial" w:hAnsi="Arial"/>
                <w:color w:val="1A3A6B"/>
                <w:sz w:val="23"/>
                <w:szCs w:val="23"/>
              </w:rPr>
              <w:t xml:space="preserve">FIA 1993 ব্যাংক-বহির্ভূত আর্থিক প্রতিষ্ঠান (NBFIs) — লিজিং কোম্পানি, হাউজিং ফাইন্যান্স, মার্চেন্ট ব্যাংক — নিয়ন্ত্রণের জন্য প্রণীত।</w:t>
            </w:r>
          </w:p>
          <w:p>
            <w:pPr>
              <w:spacing w:before="0" w:after="60"/>
            </w:pPr>
            <w:r>
              <w:rPr>
                <w:rFonts w:ascii="Arial" w:cs="Arial" w:eastAsia="Arial" w:hAnsi="Arial"/>
                <w:i/>
                <w:iCs/>
                <w:color w:val="444444"/>
                <w:sz w:val="22"/>
                <w:szCs w:val="22"/>
              </w:rPr>
              <w:t xml:space="preserve">→ FIA 1993 regulates Non-Bank Financial Institutions (NBFIs) — leasing companies, housing finance, merchant banks.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লাইসেন্স ছাড়া ব্যবসার শাস্তি</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সর্বোচ্চ ৫ বছর কারাদণ্ড বা ৫ লক্ষ টাকা জরিমানা বা উভয়</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Punishment without license</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Max 5 years imprisonment OR fine Tk. 5 lakh OR both</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অস্থাবর সম্পদ ধারণ সীমা</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পেইড-আপ মূলধন ও সংরক্ষণের সর্বোচ্চ ২৫%</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Immovable property limit</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Max 25% of paid-up capital and reserves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আমানত সংগ্রহ</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NBFIs সাধারণ জনগণের কাছ থেকে ডিপোজিট নিতে পারে না</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Deposit collection</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NBFIs CANNOT collect deposits from general public like banks</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NBFIs ও ব্যাংকের মধ্যে পার্থক্য বর্ণনা করুন। [১০]</w:t>
      </w:r>
    </w:p>
    <w:p>
      <w:pPr>
        <w:spacing w:before="0" w:after="80"/>
      </w:pPr>
      <w:r>
        <w:rPr>
          <w:rFonts w:ascii="Arial" w:cs="Arial" w:eastAsia="Arial" w:hAnsi="Arial"/>
          <w:i/>
          <w:iCs/>
          <w:color w:val="555555"/>
          <w:sz w:val="21"/>
          <w:szCs w:val="21"/>
        </w:rPr>
        <w:t xml:space="preserve">Describe differences between NBFIs and commercial banks. [10]</w:t>
      </w:r>
    </w:p>
    <w:p>
      <w:pPr>
        <w:shd w:fill="FFF8E1" w:val="clear"/>
        <w:spacing w:before="100" w:after="100"/>
        <w:jc w:val="center"/>
      </w:pPr>
      <w:r>
        <w:rPr>
          <w:rFonts w:ascii="Arial" w:cs="Arial" w:eastAsia="Arial" w:hAnsi="Arial"/>
          <w:b/>
          <w:bCs/>
          <w:color w:val="8B1A1A"/>
          <w:sz w:val="24"/>
          <w:szCs w:val="24"/>
        </w:rPr>
        <w:t xml:space="preserve">★ উত্তর ★ | ★ Answer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পার্থক্যের বিষয়</w:t>
            </w:r>
          </w:p>
        </w:tc>
        <w:tc>
          <w:tcPr>
            <w:tcW w:type="dxa" w:w="468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Difference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আমানত গ্রহণ: ব্যাংক পারে, NBFI পারে না</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Deposit: Banks accept deposits, NBFIs cannot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চেক ইস্যু: ব্যাংক পারে, NBFI পারে না</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Cheque: Banks issue cheques, NBFIs do not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CRR/SLR: ব্যাংক রাখে, NBFI রাখে না</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CRR/SLR: Banks maintain, NBFIs do not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নিয়ন্ত্রক: BB (BCA 1991)</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Regulator: BB under BCA 1991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NBFI নিয়ন্ত্রক: BB (FIA 1993) — DFIM বিভাগ</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NBFI regulator: BB under FIA 1993 — DFIM department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NBFI বিশেষত্ব: লিজিং, হায়ার পার্চেজ, বন্ড</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NBFI specialization: Leasing, hire purchase, bonds</w:t>
            </w:r>
          </w:p>
        </w:tc>
      </w:tr>
    </w:tbl>
    <w:p>
      <w:pPr>
        <w:pBdr>
          <w:bottom w:val="single" w:color="C8860A" w:sz="6" w:space="1"/>
        </w:pBdr>
        <w:spacing w:before="120" w:after="120"/>
      </w:pPr>
    </w:p>
    <w:p>
      <w:pPr>
        <w:spacing w:before="280" w:after="0"/>
      </w:pPr>
      <w:r>
        <w:rPr>
          <w:rFonts w:ascii="Arial" w:cs="Arial" w:eastAsia="Arial" w:hAnsi="Arial"/>
          <w:b/>
          <w:bCs/>
          <w:color w:val="8B1A1A"/>
          <w:sz w:val="28"/>
          <w:szCs w:val="28"/>
        </w:rPr>
        <w:t xml:space="preserve">প্রশ্ন A-5 | Question A-5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BCA 1991 অনুযায়ী CRR ও SLR-এর সংজ্ঞা, গণনা পদ্ধতি ও পার্থক্য বর্ণনা করুন। ব্যাংকের মূলধন পর্যাপ্ততার অনুপাত (CAR) কী?</w:t>
      </w:r>
    </w:p>
    <w:p>
      <w:pPr>
        <w:spacing w:before="0" w:after="100"/>
      </w:pPr>
      <w:r>
        <w:rPr>
          <w:rFonts w:ascii="Arial" w:cs="Arial" w:eastAsia="Arial" w:hAnsi="Arial"/>
          <w:i/>
          <w:iCs/>
          <w:color w:val="555555"/>
          <w:sz w:val="22"/>
          <w:szCs w:val="22"/>
        </w:rPr>
        <w:t xml:space="preserve">Define CRR and SLR under BCA 1991, their calculation and differences. What is Capital Adequacy Ratio (CAR)?</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CRR ও SLR-এর সংজ্ঞা ও পার্থক্য বর্ণনা করুন। বর্তমান হার কত? [১০]</w:t>
      </w:r>
    </w:p>
    <w:p>
      <w:pPr>
        <w:spacing w:before="0" w:after="80"/>
      </w:pPr>
      <w:r>
        <w:rPr>
          <w:rFonts w:ascii="Arial" w:cs="Arial" w:eastAsia="Arial" w:hAnsi="Arial"/>
          <w:i/>
          <w:iCs/>
          <w:color w:val="555555"/>
          <w:sz w:val="21"/>
          <w:szCs w:val="21"/>
        </w:rPr>
        <w:t xml:space="preserve">Define CRR and SLR and their differences. What are current rates?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BCA 1991, Section 25 (CRR); Section 33 (SLR); BB RBCA Guidelines 2014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600"/>
        <w:gridCol w:w="11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বিষয়</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CRR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SLR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পূর্ণ নাম</w:t>
            </w:r>
          </w:p>
        </w:tc>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Cash Reserve Ratio</w:t>
            </w:r>
          </w:p>
        </w:tc>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Statutory Liquidity Ratio</w:t>
            </w:r>
          </w:p>
        </w:tc>
        <w:tc>
          <w:tcPr>
            <w:tcW w:type="dxa" w:w="11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অন্তর্ভুক্তি</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শুধু নগদ</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নগদ + সরকারি সিকিউরিটি + স্বর্ণ</w:t>
            </w:r>
          </w:p>
        </w:tc>
        <w:tc>
          <w:tcPr>
            <w:tcW w:type="dxa" w:w="1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উদ্দেশ্য</w:t>
            </w:r>
          </w:p>
        </w:tc>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তারল্য নিশ্চিত করা</w:t>
            </w:r>
          </w:p>
        </w:tc>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আর্থিক স্থিতিশীলতা নিশ্চিত করা</w:t>
            </w:r>
          </w:p>
        </w:tc>
        <w:tc>
          <w:tcPr>
            <w:tcW w:type="dxa" w:w="11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বর্তমান হার (Conventional)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৪% (avg), ৩.৫% (daily)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১৩% (daily)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বর্তমান হার (Islamic)</w:t>
            </w:r>
          </w:p>
        </w:tc>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৫.৫% (daily)</w:t>
            </w:r>
          </w:p>
        </w:tc>
        <w:tc>
          <w:tcPr>
            <w:tcW w:type="dxa" w:w="11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আইনি ধারা</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BCA 1991, Sec 25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BCA 1991, Sec 33</w:t>
            </w:r>
          </w:p>
        </w:tc>
        <w:tc>
          <w:tcPr>
            <w:tcW w:type="dxa" w:w="1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রক্ষণ স্থান</w:t>
            </w:r>
          </w:p>
        </w:tc>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বাংলাদেশ ব্যাংকে নগদ</w:t>
            </w:r>
          </w:p>
        </w:tc>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নিজের কাছে বা BB-তে</w:t>
            </w:r>
          </w:p>
        </w:tc>
        <w:tc>
          <w:tcPr>
            <w:tcW w:type="dxa" w:w="11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মূলধন পর্যাপ্ততার অনুপাত (CAR) কী? গণনার সূত্র ও বর্তমান নিয়ন্ত্রক মান কী? [১০]</w:t>
      </w:r>
    </w:p>
    <w:p>
      <w:pPr>
        <w:spacing w:before="0" w:after="80"/>
      </w:pPr>
      <w:r>
        <w:rPr>
          <w:rFonts w:ascii="Arial" w:cs="Arial" w:eastAsia="Arial" w:hAnsi="Arial"/>
          <w:i/>
          <w:iCs/>
          <w:color w:val="555555"/>
          <w:sz w:val="21"/>
          <w:szCs w:val="21"/>
        </w:rPr>
        <w:t xml:space="preserve">What is Capital Adequacy Ratio (CAR)? Formula and current regulatory standard? [10]</w:t>
      </w:r>
    </w:p>
    <w:p>
      <w:pPr>
        <w:shd w:fill="FFF8E1" w:val="clear"/>
        <w:spacing w:before="100" w:after="100"/>
        <w:jc w:val="center"/>
      </w:pPr>
      <w:r>
        <w:rPr>
          <w:rFonts w:ascii="Arial" w:cs="Arial" w:eastAsia="Arial" w:hAnsi="Arial"/>
          <w:b/>
          <w:bCs/>
          <w:color w:val="8B1A1A"/>
          <w:sz w:val="24"/>
          <w:szCs w:val="24"/>
        </w:rPr>
        <w:t xml:space="preserve">★ উত্তর ★ | ★ Answer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1"/>
              <w:left w:val="single" w:color="1A3A6B" w:sz="1"/>
              <w:bottom w:val="single" w:color="1A3A6B" w:sz="1"/>
              <w:right w:val="single" w:color="1A3A6B" w:sz="1"/>
            </w:tcBorders>
            <w:shd w:fill="EEF2FF" w:val="clear"/>
            <w:tcMar>
              <w:top w:type="dxa" w:w="120"/>
              <w:left w:type="dxa" w:w="180"/>
              <w:bottom w:type="dxa" w:w="120"/>
              <w:right w:type="dxa" w:w="180"/>
            </w:tcMar>
          </w:tcPr>
          <w:p>
            <w:pPr>
              <w:spacing w:before="60" w:after="40"/>
            </w:pPr>
            <w:r>
              <w:rPr>
                <w:rFonts w:ascii="Arial" w:cs="Arial" w:eastAsia="Arial" w:hAnsi="Arial"/>
                <w:b/>
                <w:bCs/>
                <w:caps/>
                <w:color w:val="1A3A6B"/>
                <w:sz w:val="22"/>
                <w:szCs w:val="22"/>
              </w:rPr>
              <w:t xml:space="preserve">📐 CAR সূত্র | CAR Formula</w:t>
            </w:r>
          </w:p>
          <w:p>
            <w:pPr>
              <w:spacing w:before="0" w:after="40"/>
            </w:pPr>
            <w:r>
              <w:rPr>
                <w:rFonts w:ascii="Arial" w:cs="Arial" w:eastAsia="Arial" w:hAnsi="Arial"/>
                <w:color w:val="1A3A6B"/>
                <w:sz w:val="23"/>
                <w:szCs w:val="23"/>
              </w:rPr>
              <w:t xml:space="preserve">CAR = (মোট যোগ্য মূলধন ÷ মোট ঝুঁকি-ভারিত সম্পদ) × ১০০
মোট মূলধন = Tier-1 Capital + Tier-2 Capital − Deductions</w:t>
            </w:r>
          </w:p>
          <w:p>
            <w:pPr>
              <w:spacing w:before="0" w:after="60"/>
            </w:pPr>
            <w:r>
              <w:rPr>
                <w:rFonts w:ascii="Arial" w:cs="Arial" w:eastAsia="Arial" w:hAnsi="Arial"/>
                <w:i/>
                <w:iCs/>
                <w:color w:val="444444"/>
                <w:sz w:val="22"/>
                <w:szCs w:val="22"/>
              </w:rPr>
              <w:t xml:space="preserve">→ CAR = (Total Eligible Capital ÷ Total Risk Weighted Assets) × 100
Total Capital = Tier-1 + Tier-2 − Deductions from Capital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বিষয় | Subject</w:t>
            </w:r>
          </w:p>
        </w:tc>
        <w:tc>
          <w:tcPr>
            <w:tcW w:type="dxa" w:w="58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বাংলাদেশ ব্যাংকের মান | BB Standard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ন্যূনতম CAR (মূল)</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১০% (BCA 1991, Sec 13)</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Capital Conservation Buffer সহ</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১২.৫% (BB RBCA Guidelines 2014)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Tier-1 Capital Ratio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ন্যূনতম ৬%</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Common Equity Tier-1 (CET1)</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ন্যূনতম ৪.৫%</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Tier-1 Capital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Going-concern capital — ব্যাংক দেউলিয়া না হলে ক্ষতি সহ্য করে</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Tier-2 Capital</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Gone-concern capital — ব্যাংক দেউলিয়া হলে ক্ষতি সহ্য করে</w:t>
            </w:r>
          </w:p>
        </w:tc>
      </w:tr>
    </w:tbl>
    <w:p>
      <w:r>
        <w:br w:type="page"/>
      </w:r>
    </w:p>
    <w:p>
      <w:pPr>
        <w:spacing w:before="300" w:after="0"/>
      </w:pPr>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B3E" w:sz="1"/>
              <w:left w:val="single" w:color="0D1B3E" w:sz="1"/>
              <w:bottom w:val="single" w:color="0D1B3E" w:sz="1"/>
              <w:right w:val="single" w:color="0D1B3E" w:sz="1"/>
            </w:tcBorders>
            <w:shd w:fill="0D1B3E" w:val="clear"/>
            <w:tcMar>
              <w:top w:type="dxa" w:w="160"/>
              <w:left w:type="dxa" w:w="220"/>
              <w:bottom w:type="dxa" w:w="160"/>
              <w:right w:type="dxa" w:w="220"/>
            </w:tcMar>
          </w:tcPr>
          <w:p>
            <w:pPr>
              <w:spacing w:before="0" w:after="40"/>
            </w:pPr>
            <w:r>
              <w:rPr>
                <w:rFonts w:ascii="Arial" w:cs="Arial" w:eastAsia="Arial" w:hAnsi="Arial"/>
                <w:b/>
                <w:bCs/>
                <w:caps/>
                <w:color w:val="C8860A"/>
                <w:sz w:val="22"/>
                <w:szCs w:val="22"/>
              </w:rPr>
              <w:t xml:space="preserve">MODULE B</w:t>
            </w:r>
            <w:r>
              <w:rPr>
                <w:rFonts w:ascii="Arial" w:cs="Arial" w:eastAsia="Arial" w:hAnsi="Arial"/>
                <w:color w:val="AAAAAA"/>
                <w:sz w:val="22"/>
                <w:szCs w:val="22"/>
              </w:rPr>
              <w:t xml:space="preserve"> — </w:t>
            </w:r>
            <w:r>
              <w:rPr>
                <w:rFonts w:ascii="Arial" w:cs="Arial" w:eastAsia="Arial" w:hAnsi="Arial"/>
                <w:color w:val="CCCCCC"/>
                <w:sz w:val="22"/>
                <w:szCs w:val="22"/>
              </w:rPr>
              <w:t xml:space="preserve">Promissory Note • Bill of Exchange • Cheque • Holder • HDC • Endorsement • Sec 138</w:t>
            </w:r>
          </w:p>
          <w:p>
            <w:pPr>
              <w:spacing w:before="0" w:after="0"/>
            </w:pPr>
            <w:r>
              <w:rPr>
                <w:rFonts w:ascii="Arial" w:cs="Arial" w:eastAsia="Arial" w:hAnsi="Arial"/>
                <w:b/>
                <w:bCs/>
                <w:color w:val="FFFFFF"/>
                <w:sz w:val="34"/>
                <w:szCs w:val="34"/>
              </w:rPr>
              <w:t xml:space="preserve">Negotiable Instruments Act, 1881</w:t>
            </w:r>
          </w:p>
        </w:tc>
      </w:tr>
    </w:tbl>
    <w:p>
      <w:pPr>
        <w:spacing w:before="60" w:after="60" w:line="276"/>
        <w:jc w:val="left"/>
      </w:pPr>
      <w:r>
        <w:rPr>
          <w:rFonts w:ascii="Arial" w:cs="Arial" w:eastAsia="Arial" w:hAnsi="Arial"/>
          <w:b w:val="false"/>
          <w:bCs w:val="false"/>
          <w:i w:val="false"/>
          <w:iCs w:val="false"/>
          <w:color w:val="000000"/>
          <w:sz w:val="24"/>
          <w:szCs w:val="24"/>
        </w:rPr>
        <w:t xml:space="preserve"> </w:t>
      </w:r>
    </w:p>
    <w:p>
      <w:pPr>
        <w:spacing w:before="280" w:after="0"/>
      </w:pPr>
      <w:r>
        <w:rPr>
          <w:rFonts w:ascii="Arial" w:cs="Arial" w:eastAsia="Arial" w:hAnsi="Arial"/>
          <w:b/>
          <w:bCs/>
          <w:color w:val="8B1A1A"/>
          <w:sz w:val="28"/>
          <w:szCs w:val="28"/>
        </w:rPr>
        <w:t xml:space="preserve">প্রশ্ন B-1 | Question B-1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নেগোসিয়েবল ইনস্ট্রুমেন্ট কী এবং এর বৈশিষ্ট্য কী? প্রমিসরি নোট, বিল অব এক্সচেঞ্জ ও চেকের মধ্যে পার্থক্য করুন।</w:t>
      </w:r>
    </w:p>
    <w:p>
      <w:pPr>
        <w:spacing w:before="0" w:after="100"/>
      </w:pPr>
      <w:r>
        <w:rPr>
          <w:rFonts w:ascii="Arial" w:cs="Arial" w:eastAsia="Arial" w:hAnsi="Arial"/>
          <w:i/>
          <w:iCs/>
          <w:color w:val="555555"/>
          <w:sz w:val="22"/>
          <w:szCs w:val="22"/>
        </w:rPr>
        <w:t xml:space="preserve">What is a negotiable instrument and its characteristics? Distinguish between Promissory Note, Bill of Exchange and Cheque.</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নেগোসিয়েবল ইনস্ট্রুমেন্টের সংজ্ঞা ও বৈশিষ্ট্য বর্ণনা করুন। Bill of Lading, Railway Receipt কি নেগোসিয়েবল? [১০]</w:t>
      </w:r>
    </w:p>
    <w:p>
      <w:pPr>
        <w:spacing w:before="0" w:after="80"/>
      </w:pPr>
      <w:r>
        <w:rPr>
          <w:rFonts w:ascii="Arial" w:cs="Arial" w:eastAsia="Arial" w:hAnsi="Arial"/>
          <w:i/>
          <w:iCs/>
          <w:color w:val="555555"/>
          <w:sz w:val="21"/>
          <w:szCs w:val="21"/>
        </w:rPr>
        <w:t xml:space="preserve">Define negotiable instrument and characteristics. Are Bill of Lading, Railway Receipt negotiable?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NI Act 1881 — Sec 13 (NI), Sec 4 (PN), Sec 5 (BOE), Sec 6 (Cheque)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1"/>
              <w:left w:val="single" w:color="1A3A6B" w:sz="1"/>
              <w:bottom w:val="single" w:color="1A3A6B" w:sz="1"/>
              <w:right w:val="single" w:color="1A3A6B" w:sz="1"/>
            </w:tcBorders>
            <w:shd w:fill="EEF2FF" w:val="clear"/>
            <w:tcMar>
              <w:top w:type="dxa" w:w="120"/>
              <w:left w:type="dxa" w:w="180"/>
              <w:bottom w:type="dxa" w:w="120"/>
              <w:right w:type="dxa" w:w="180"/>
            </w:tcMar>
          </w:tcPr>
          <w:p>
            <w:pPr>
              <w:spacing w:before="60" w:after="40"/>
            </w:pPr>
            <w:r>
              <w:rPr>
                <w:rFonts w:ascii="Arial" w:cs="Arial" w:eastAsia="Arial" w:hAnsi="Arial"/>
                <w:b/>
                <w:bCs/>
                <w:caps/>
                <w:color w:val="1A3A6B"/>
                <w:sz w:val="22"/>
                <w:szCs w:val="22"/>
              </w:rPr>
              <w:t xml:space="preserve">📖 সংজ্ঞা | Definition — Section 13</w:t>
            </w:r>
          </w:p>
          <w:p>
            <w:pPr>
              <w:spacing w:before="0" w:after="40"/>
            </w:pPr>
            <w:r>
              <w:rPr>
                <w:rFonts w:ascii="Arial" w:cs="Arial" w:eastAsia="Arial" w:hAnsi="Arial"/>
                <w:color w:val="1A3A6B"/>
                <w:sz w:val="23"/>
                <w:szCs w:val="23"/>
              </w:rPr>
              <w:t xml:space="preserve">নেগোসিয়েবল ইনস্ট্রুমেন্ট মানে প্রমিসরি নোট, বিল অব এক্সচেঞ্জ বা চেক যা bearer বা order-এ পরিশোধযোগ্য। এটি হস্তান্তরযোগ্য এবং HDC ত্রুটিমুক্ত মালিকানা পান।</w:t>
            </w:r>
          </w:p>
          <w:p>
            <w:pPr>
              <w:spacing w:before="0" w:after="60"/>
            </w:pPr>
            <w:r>
              <w:rPr>
                <w:rFonts w:ascii="Arial" w:cs="Arial" w:eastAsia="Arial" w:hAnsi="Arial"/>
                <w:i/>
                <w:iCs/>
                <w:color w:val="444444"/>
                <w:sz w:val="22"/>
                <w:szCs w:val="22"/>
              </w:rPr>
              <w:t xml:space="preserve">→ A negotiable instrument means a promissory note, bill of exchange or cheque payable to order or bearer. Transferable with HDC getting free title from defects.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উপকরণ</w:t>
            </w:r>
          </w:p>
        </w:tc>
        <w:tc>
          <w:tcPr>
            <w:tcW w:type="dxa" w:w="4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কারণ (বাংলা ও English)</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Bill of Lading — নেগোসিয়েবল? ❌</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No — পণ্যের শিরোনাম দলিল, অর্থ পরিশোধের দলিল নয়</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Railway Receipt — নেগোসিয়েবল? ❌</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No — পণ্য গ্রহণের প্রমাণ, আর্থিক দায় নয়</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Life Insurance — নেগোসিয়েবল? ❌</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No — শর্তযুক্ত পরিশোধ, নিঃশর্ত নয়</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Promissory Note — নেগোসিয়েবল? ✅</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Yes — NI Act Sec 4-এ সংজ্ঞায়িত</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Debenture — নেগোসিয়েবল? ❌ (সাধারণত)</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No — Company document, not NI Act</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PN, BOE ও Cheque-এর মধ্যে পার্থক্য করুন। [১০]</w:t>
      </w:r>
    </w:p>
    <w:p>
      <w:pPr>
        <w:spacing w:before="0" w:after="80"/>
      </w:pPr>
      <w:r>
        <w:rPr>
          <w:rFonts w:ascii="Arial" w:cs="Arial" w:eastAsia="Arial" w:hAnsi="Arial"/>
          <w:i/>
          <w:iCs/>
          <w:color w:val="555555"/>
          <w:sz w:val="21"/>
          <w:szCs w:val="21"/>
        </w:rPr>
        <w:t xml:space="preserve">Distinguish between Promissory Note, Bill of Exchange and Cheque. [10]</w:t>
      </w:r>
    </w:p>
    <w:p>
      <w:pPr>
        <w:shd w:fill="FFF8E1" w:val="clear"/>
        <w:spacing w:before="100" w:after="100"/>
        <w:jc w:val="center"/>
      </w:pPr>
      <w:r>
        <w:rPr>
          <w:rFonts w:ascii="Arial" w:cs="Arial" w:eastAsia="Arial" w:hAnsi="Arial"/>
          <w:b/>
          <w:bCs/>
          <w:color w:val="8B1A1A"/>
          <w:sz w:val="24"/>
          <w:szCs w:val="24"/>
        </w:rPr>
        <w:t xml:space="preserve">★ উত্তর ★ | ★ Answer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480"/>
        <w:gridCol w:w="2560"/>
        <w:gridCol w:w="2560"/>
      </w:tblGrid>
      <w:tr>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বিষয়</w:t>
            </w:r>
          </w:p>
        </w:tc>
        <w:tc>
          <w:tcPr>
            <w:tcW w:type="dxa" w:w="2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Promissory Note (Sec 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Bill of Exchange (Sec 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Cheque (Sec 6)</w:t>
            </w:r>
          </w:p>
        </w:tc>
      </w:tr>
      <w:tr>
        <w:tc>
          <w:tcPr>
            <w:tcW w:type="dxa" w:w="17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পক্ষসমূহ</w:t>
            </w:r>
          </w:p>
        </w:tc>
        <w:tc>
          <w:tcPr>
            <w:tcW w:type="dxa" w:w="2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২ পক্ষ: Maker, Payee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৩ পক্ষ: Drawer, Drawee, Payee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৩ পক্ষ: Drawer, Bank, Payee</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Drawee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নেই</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যেকোনো ব্যক্তি</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অবশ্যই ব্যাংক</w:t>
            </w:r>
          </w:p>
        </w:tc>
      </w:tr>
      <w:tr>
        <w:tc>
          <w:tcPr>
            <w:tcW w:type="dxa" w:w="17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Acceptance</w:t>
            </w:r>
          </w:p>
        </w:tc>
        <w:tc>
          <w:tcPr>
            <w:tcW w:type="dxa" w:w="2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লাগে না</w:t>
            </w:r>
          </w:p>
        </w:tc>
        <w:tc>
          <w:tcPr>
            <w:tcW w:type="dxa" w:w="2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লাগতে পারে</w:t>
            </w:r>
          </w:p>
        </w:tc>
        <w:tc>
          <w:tcPr>
            <w:tcW w:type="dxa" w:w="2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লাগে না</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Crossing</w:t>
            </w:r>
          </w:p>
        </w:tc>
        <w:tc>
          <w:tcPr>
            <w:tcW w:type="dxa" w:w="2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প্রযোজ্য নয়</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প্রযোজ্য নয়</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প্রযোজ্য (Sec 123-131)</w:t>
            </w:r>
          </w:p>
        </w:tc>
      </w:tr>
      <w:tr>
        <w:tc>
          <w:tcPr>
            <w:tcW w:type="dxa" w:w="17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বৈধতা</w:t>
            </w:r>
          </w:p>
        </w:tc>
        <w:tc>
          <w:tcPr>
            <w:tcW w:type="dxa" w:w="2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৩ বছর</w:t>
            </w:r>
          </w:p>
        </w:tc>
        <w:tc>
          <w:tcPr>
            <w:tcW w:type="dxa" w:w="2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৬ মাস (Sec 73)</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ক্ষতিপূরণ</w:t>
            </w:r>
          </w:p>
        </w:tc>
        <w:tc>
          <w:tcPr>
            <w:tcW w:type="dxa" w:w="2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Drawer নেই</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Drawer দায়ী</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Drawer দায়ী (Sec 31)</w:t>
            </w:r>
          </w:p>
        </w:tc>
      </w:tr>
    </w:tbl>
    <w:p>
      <w:pPr>
        <w:pBdr>
          <w:bottom w:val="single" w:color="C8860A" w:sz="6" w:space="1"/>
        </w:pBdr>
        <w:spacing w:before="120" w:after="120"/>
      </w:pPr>
    </w:p>
    <w:p>
      <w:pPr>
        <w:spacing w:before="280" w:after="0"/>
      </w:pPr>
      <w:r>
        <w:rPr>
          <w:rFonts w:ascii="Arial" w:cs="Arial" w:eastAsia="Arial" w:hAnsi="Arial"/>
          <w:b/>
          <w:bCs/>
          <w:color w:val="8B1A1A"/>
          <w:sz w:val="28"/>
          <w:szCs w:val="28"/>
        </w:rPr>
        <w:t xml:space="preserve">প্রশ্ন B-2 | Question B-2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'Holder for Value' ও 'Holder in Due Course (HDC)' এর মধ্যে পার্থক্য করুন। Payment in Due Course কী এবং এর গুরুত্ব কী?</w:t>
      </w:r>
    </w:p>
    <w:p>
      <w:pPr>
        <w:spacing w:before="0" w:after="100"/>
      </w:pPr>
      <w:r>
        <w:rPr>
          <w:rFonts w:ascii="Arial" w:cs="Arial" w:eastAsia="Arial" w:hAnsi="Arial"/>
          <w:i/>
          <w:iCs/>
          <w:color w:val="555555"/>
          <w:sz w:val="22"/>
          <w:szCs w:val="22"/>
        </w:rPr>
        <w:t xml:space="preserve">Distinguish 'Holder for Value' and 'Holder in Due Course (HDC)'. What is Payment in Due Course and its importance?</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Holder, HFV ও HDC-এর সংজ্ঞা ও পার্থক্য করুন। [১০]</w:t>
      </w:r>
    </w:p>
    <w:p>
      <w:pPr>
        <w:spacing w:before="0" w:after="80"/>
      </w:pPr>
      <w:r>
        <w:rPr>
          <w:rFonts w:ascii="Arial" w:cs="Arial" w:eastAsia="Arial" w:hAnsi="Arial"/>
          <w:i/>
          <w:iCs/>
          <w:color w:val="555555"/>
          <w:sz w:val="21"/>
          <w:szCs w:val="21"/>
        </w:rPr>
        <w:t xml:space="preserve">Define and distinguish Holder, Holder for Value and Holder in Due Course.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NI Act 1881 — Sec 8 (Holder), Sec 9 (HDC), Sec 10 (Payment in Due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বিষয়</w:t>
            </w:r>
          </w:p>
        </w:tc>
        <w:tc>
          <w:tcPr>
            <w:tcW w:type="dxa" w:w="58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Holder for 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বিষয়</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Holder for Value (HFV)</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সংজ্ঞা</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বিনিময়মূল্য দিয়ে দলিল ধারণকারী</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Consideration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প্রয়োজন</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Good Faith</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না লাগে</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Before Maturity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না লাগে</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Notice of Defect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থাকলেও চলে</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Rights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সীমিত সুরক্ষা</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3500"/>
      </w:tblGrid>
      <w:tr>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Holder in Due Course (HDC)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Sec 9</w:t>
            </w:r>
          </w:p>
        </w:tc>
      </w:tr>
      <w:tr>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বিনিময়মূল্য দিয়ে, মেয়াদ উত্তীর্ণের আগে, সৎভাবে, ত্রুটিমুক্ত</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Definition</w:t>
            </w:r>
          </w:p>
        </w:tc>
      </w:tr>
      <w:tr>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অবশ্যই প্রয়োজন</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Consideration: required</w:t>
            </w:r>
          </w:p>
        </w:tc>
      </w:tr>
      <w:tr>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অবশ্যই প্রয়োজন</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Good Faith: required</w:t>
            </w:r>
          </w:p>
        </w:tc>
      </w:tr>
      <w:tr>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অবশ্যই প্রয়োজন</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Before Maturity: required</w:t>
            </w:r>
          </w:p>
        </w:tc>
      </w:tr>
      <w:tr>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জানা থাকলে HDC নয়</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Notice: must not know</w:t>
            </w:r>
          </w:p>
        </w:tc>
      </w:tr>
      <w:tr>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সর্বোচ্চ সুরক্ষা — পূর্ববর্তী দলিলের ত্রুটি থেকে মুক্ত</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Privileged holder — free from prior defects</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Payment in Due Course কী? Negotiation ও Assignment-এর পার্থক্য কী? [১০]</w:t>
      </w:r>
    </w:p>
    <w:p>
      <w:pPr>
        <w:spacing w:before="0" w:after="80"/>
      </w:pPr>
      <w:r>
        <w:rPr>
          <w:rFonts w:ascii="Arial" w:cs="Arial" w:eastAsia="Arial" w:hAnsi="Arial"/>
          <w:i/>
          <w:iCs/>
          <w:color w:val="555555"/>
          <w:sz w:val="21"/>
          <w:szCs w:val="21"/>
        </w:rPr>
        <w:t xml:space="preserve">What is Payment in Due Course? Distinguish Negotiation and Assignment. [10]</w:t>
      </w:r>
    </w:p>
    <w:p>
      <w:pPr>
        <w:shd w:fill="FFF8E1" w:val="clear"/>
        <w:spacing w:before="100" w:after="100"/>
        <w:jc w:val="center"/>
      </w:pPr>
      <w:r>
        <w:rPr>
          <w:rFonts w:ascii="Arial" w:cs="Arial" w:eastAsia="Arial" w:hAnsi="Arial"/>
          <w:b/>
          <w:bCs/>
          <w:color w:val="8B1A1A"/>
          <w:sz w:val="24"/>
          <w:szCs w:val="24"/>
        </w:rPr>
        <w:t xml:space="preserve">★ উত্তর ★ | ★ Answer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860A" w:sz="1"/>
              <w:left w:val="single" w:color="C8860A" w:sz="1"/>
              <w:bottom w:val="single" w:color="C8860A" w:sz="1"/>
              <w:right w:val="single" w:color="C8860A" w:sz="1"/>
            </w:tcBorders>
            <w:shd w:fill="FFF8E1" w:val="clear"/>
            <w:tcMar>
              <w:top w:type="dxa" w:w="120"/>
              <w:left w:type="dxa" w:w="180"/>
              <w:bottom w:type="dxa" w:w="120"/>
              <w:right w:type="dxa" w:w="180"/>
            </w:tcMar>
          </w:tcPr>
          <w:p>
            <w:pPr>
              <w:spacing w:before="60" w:after="40"/>
            </w:pPr>
            <w:r>
              <w:rPr>
                <w:rFonts w:ascii="Arial" w:cs="Arial" w:eastAsia="Arial" w:hAnsi="Arial"/>
                <w:b/>
                <w:bCs/>
                <w:caps/>
                <w:color w:val="C8860A"/>
                <w:sz w:val="22"/>
                <w:szCs w:val="22"/>
              </w:rPr>
              <w:t xml:space="preserve">📖 Payment in Due Course — Section 10</w:t>
            </w:r>
          </w:p>
          <w:p>
            <w:pPr>
              <w:spacing w:before="0" w:after="40"/>
            </w:pPr>
            <w:r>
              <w:rPr>
                <w:rFonts w:ascii="Arial" w:cs="Arial" w:eastAsia="Arial" w:hAnsi="Arial"/>
                <w:color w:val="1A3A6B"/>
                <w:sz w:val="23"/>
                <w:szCs w:val="23"/>
              </w:rPr>
              <w:t xml:space="preserve">Payment in Due Course হলো সেই পরিশোধ যা — (ক) দলিলের স্পষ্ট শর্ত অনুযায়ী, (খ) সৎভাবে ও অবহেলা ছাড়া, (গ) দখলকারী ব্যক্তিকে যার পরিশোধ পাওয়ার অধিকার সন্দেহাতীত।</w:t>
            </w:r>
          </w:p>
          <w:p>
            <w:pPr>
              <w:spacing w:before="0" w:after="60"/>
            </w:pPr>
            <w:r>
              <w:rPr>
                <w:rFonts w:ascii="Arial" w:cs="Arial" w:eastAsia="Arial" w:hAnsi="Arial"/>
                <w:i/>
                <w:iCs/>
                <w:color w:val="444444"/>
                <w:sz w:val="22"/>
                <w:szCs w:val="22"/>
              </w:rPr>
              <w:t xml:space="preserve">→ Payment in accordance with apparent tenor of instrument, in good faith and without negligence, to person in possession under circumstances giving no reasonable ground for believing person NOT entitled to payment.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30"/>
        <w:gridCol w:w="4030"/>
      </w:tblGrid>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বিষয়</w:t>
            </w:r>
          </w:p>
        </w:tc>
        <w:tc>
          <w:tcPr>
            <w:tcW w:type="dxa" w:w="40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Negotiation</w:t>
            </w:r>
          </w:p>
        </w:tc>
        <w:tc>
          <w:tcPr>
            <w:tcW w:type="dxa" w:w="40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Assignment</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মালিকানা</w:t>
            </w:r>
          </w:p>
        </w:tc>
        <w:tc>
          <w:tcPr>
            <w:tcW w:type="dxa" w:w="40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HDC হলে আরও ভালো মালিকানা পেতে পারে</w:t>
            </w:r>
          </w:p>
        </w:tc>
        <w:tc>
          <w:tcPr>
            <w:tcW w:type="dxa" w:w="40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Assignee কখনো Assignor-এর চেয়ে ভালো পায় না</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পদ্ধতি</w:t>
            </w:r>
          </w:p>
        </w:tc>
        <w:tc>
          <w:tcPr>
            <w:tcW w:type="dxa" w:w="40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Endorsement ও Delivery দিয়ে</w:t>
            </w:r>
          </w:p>
        </w:tc>
        <w:tc>
          <w:tcPr>
            <w:tcW w:type="dxa" w:w="40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লিখিত দলিল ও নোটিশ দিয়ে</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দায়</w:t>
            </w:r>
          </w:p>
        </w:tc>
        <w:tc>
          <w:tcPr>
            <w:tcW w:type="dxa" w:w="40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Endorser দায়বদ্ধ থাকেন</w:t>
            </w:r>
          </w:p>
        </w:tc>
        <w:tc>
          <w:tcPr>
            <w:tcW w:type="dxa" w:w="40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Assignor দায়মুক্ত</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HDC সুবিধা</w:t>
            </w:r>
          </w:p>
        </w:tc>
        <w:tc>
          <w:tcPr>
            <w:tcW w:type="dxa" w:w="40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HDC হওয়া সম্ভব</w:t>
            </w:r>
          </w:p>
        </w:tc>
        <w:tc>
          <w:tcPr>
            <w:tcW w:type="dxa" w:w="40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HDC হওয়া যায় না</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নোটিশ</w:t>
            </w:r>
          </w:p>
        </w:tc>
        <w:tc>
          <w:tcPr>
            <w:tcW w:type="dxa" w:w="40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প্রয়োজন নেই</w:t>
            </w:r>
          </w:p>
        </w:tc>
        <w:tc>
          <w:tcPr>
            <w:tcW w:type="dxa" w:w="40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Debtor-কে নোটিশ দিতে হয়</w:t>
            </w:r>
          </w:p>
        </w:tc>
      </w:tr>
    </w:tbl>
    <w:p>
      <w:pPr>
        <w:pBdr>
          <w:bottom w:val="single" w:color="C8860A" w:sz="6" w:space="1"/>
        </w:pBdr>
        <w:spacing w:before="120" w:after="120"/>
      </w:pPr>
    </w:p>
    <w:p>
      <w:pPr>
        <w:spacing w:before="280" w:after="0"/>
      </w:pPr>
      <w:r>
        <w:rPr>
          <w:rFonts w:ascii="Arial" w:cs="Arial" w:eastAsia="Arial" w:hAnsi="Arial"/>
          <w:b/>
          <w:bCs/>
          <w:color w:val="8B1A1A"/>
          <w:sz w:val="28"/>
          <w:szCs w:val="28"/>
        </w:rPr>
        <w:t xml:space="preserve">প্রশ্ন B-3 | Question B-3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এন্ডোর্সমেন্ট কী? বিভিন্ন প্রকার এন্ডোর্সমেন্ট বর্ণনা করুন। এন্ডোর্সমেন্টের সাধারণ নীতিমালা ও এর গুরুত্ব কী?</w:t>
      </w:r>
    </w:p>
    <w:p>
      <w:pPr>
        <w:spacing w:before="0" w:after="100"/>
      </w:pPr>
      <w:r>
        <w:rPr>
          <w:rFonts w:ascii="Arial" w:cs="Arial" w:eastAsia="Arial" w:hAnsi="Arial"/>
          <w:i/>
          <w:iCs/>
          <w:color w:val="555555"/>
          <w:sz w:val="22"/>
          <w:szCs w:val="22"/>
        </w:rPr>
        <w:t xml:space="preserve">What is endorsement? Describe types of endorsement. What are general principles governing endorsement and its significance?</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এন্ডোর্সমেন্টের সংজ্ঞা ও প্রকারভেদ বর্ণনা করুন। [১০]</w:t>
      </w:r>
    </w:p>
    <w:p>
      <w:pPr>
        <w:spacing w:before="0" w:after="80"/>
      </w:pPr>
      <w:r>
        <w:rPr>
          <w:rFonts w:ascii="Arial" w:cs="Arial" w:eastAsia="Arial" w:hAnsi="Arial"/>
          <w:i/>
          <w:iCs/>
          <w:color w:val="555555"/>
          <w:sz w:val="21"/>
          <w:szCs w:val="21"/>
        </w:rPr>
        <w:t xml:space="preserve">Define endorsement and describe its types.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NI Act 1881 — Sec 15 (Endorsement), Sec 16 (Blank &amp; Full), Sec 50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প্রকার | Type</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ব্যাখ্যা | Explanation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Blank/General Endorsement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শুধু স্বাক্ষর — নির্দিষ্ট ব্যক্তির নাম নেই → Bearer-এর মতো / Only signature, no name → becomes payable to bearer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Special/Full Endorsement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নির্দিষ্ট ব্যক্তির নাম লিখে স্বাক্ষর / Specifies person to whom payable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Restrictive Endorsement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আরও এন্ডোর্স করা নিষিদ্ধ / Restricts further negotiation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Conditional/Qualified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শর্তসাপেক্ষ দায়বদ্ধতা / Limits endorser liability with condition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Sans Recours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এন্ডোর্সার দায়মুক্ত / Endorser disclaims personal liability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Partial — অবৈধ ❌</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আংশিক পরিমাণ এন্ডোর্স — NI Act Sec 56 অনুযায়ী অবৈধ / Partial endorsement is INVALID</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এন্ডোর্সমেন্টের গুরুত্ব ও বৈধ এন্ডোর্সমেন্টের শর্তসমূহ কী? [১০]</w:t>
      </w:r>
    </w:p>
    <w:p>
      <w:pPr>
        <w:spacing w:before="0" w:after="80"/>
      </w:pPr>
      <w:r>
        <w:rPr>
          <w:rFonts w:ascii="Arial" w:cs="Arial" w:eastAsia="Arial" w:hAnsi="Arial"/>
          <w:i/>
          <w:iCs/>
          <w:color w:val="555555"/>
          <w:sz w:val="21"/>
          <w:szCs w:val="21"/>
        </w:rPr>
        <w:t xml:space="preserve">What is the significance of endorsement and conditions for valid endorsement? [10]</w:t>
      </w:r>
    </w:p>
    <w:p>
      <w:pPr>
        <w:shd w:fill="FFF8E1" w:val="clear"/>
        <w:spacing w:before="100" w:after="100"/>
        <w:jc w:val="center"/>
      </w:pPr>
      <w:r>
        <w:rPr>
          <w:rFonts w:ascii="Arial" w:cs="Arial" w:eastAsia="Arial" w:hAnsi="Arial"/>
          <w:b/>
          <w:bCs/>
          <w:color w:val="8B1A1A"/>
          <w:sz w:val="24"/>
          <w:szCs w:val="24"/>
        </w:rPr>
        <w:t xml:space="preserve">★ উত্তর ★ | ★ Answer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গুরুত্ব (বাংলা)</w:t>
            </w:r>
          </w:p>
        </w:tc>
        <w:tc>
          <w:tcPr>
            <w:tcW w:type="dxa" w:w="48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Significance (English)</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দলিল হস্তান্তরের অধিকার</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Right to transfer property in the instrument</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Endorser পরবর্তী ধারকদের কাছে দায়বদ্ধ</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Endorser is liable to subsequent holders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এন্ডোর্সমেন্ট নোটিশ দিতে হবে</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Notice of dishonour must be given</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খালি এন্ডোর্সমেন্ট পূর্ণে রূপান্তর সম্ভব (Sec 49)</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Blank can be converted to full endorsement (Sec 49)</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নাবালকের এন্ডোর্সমেন্ট অন্যকে দায়বদ্ধ করে কিন্তু নাবালক নিজে নয়</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Minor can endorse but not liable (Sec 26)</w:t>
            </w:r>
          </w:p>
        </w:tc>
      </w:tr>
    </w:tbl>
    <w:p>
      <w:pPr>
        <w:pBdr>
          <w:bottom w:val="single" w:color="C8860A" w:sz="6" w:space="1"/>
        </w:pBdr>
        <w:spacing w:before="120" w:after="120"/>
      </w:pPr>
    </w:p>
    <w:p>
      <w:pPr>
        <w:spacing w:before="280" w:after="0"/>
      </w:pPr>
      <w:r>
        <w:rPr>
          <w:rFonts w:ascii="Arial" w:cs="Arial" w:eastAsia="Arial" w:hAnsi="Arial"/>
          <w:b/>
          <w:bCs/>
          <w:color w:val="8B1A1A"/>
          <w:sz w:val="28"/>
          <w:szCs w:val="28"/>
        </w:rPr>
        <w:t xml:space="preserve">প্রশ্ন B-4 | Question B-4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চেক অসম্মান (NI Act 1881, ধারা ১৩৮)-এর অপরাধ গঠনের শর্তসমূহ কী? Collecting Banker কী এবং তার বৈধানিক সুরক্ষার শর্ত কী?</w:t>
      </w:r>
    </w:p>
    <w:p>
      <w:pPr>
        <w:spacing w:before="0" w:after="100"/>
      </w:pPr>
      <w:r>
        <w:rPr>
          <w:rFonts w:ascii="Arial" w:cs="Arial" w:eastAsia="Arial" w:hAnsi="Arial"/>
          <w:i/>
          <w:iCs/>
          <w:color w:val="555555"/>
          <w:sz w:val="22"/>
          <w:szCs w:val="22"/>
        </w:rPr>
        <w:t xml:space="preserve">What are conditions for offence under Section 138 of NI Act 1881? What is Collecting Banker and statutory protection conditions?</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ধারা ১৩৮-এর অপরাধ গঠনের শর্ত ও শাস্তি বর্ণনা করুন। [১০]</w:t>
      </w:r>
    </w:p>
    <w:p>
      <w:pPr>
        <w:spacing w:before="0" w:after="80"/>
      </w:pPr>
      <w:r>
        <w:rPr>
          <w:rFonts w:ascii="Arial" w:cs="Arial" w:eastAsia="Arial" w:hAnsi="Arial"/>
          <w:i/>
          <w:iCs/>
          <w:color w:val="555555"/>
          <w:sz w:val="21"/>
          <w:szCs w:val="21"/>
        </w:rPr>
        <w:t xml:space="preserve">Describe conditions and punishment for Section 138 offence.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NI Act 1881 — Section 138 (Dishonour), Sec 139 (Defence), Sec 140 (Cognizance)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শর্ত (বাংলা)</w:t>
            </w:r>
          </w:p>
        </w:tc>
        <w:tc>
          <w:tcPr>
            <w:tcW w:type="dxa" w:w="48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Condition (English)</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১. বৈধ চেক হতে হবে</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Must be a valid cheque</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২. ঋণ পরিশোধের জন্য ইস্যু হতে হবে</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Issued for discharge of debt/liability</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৩. ইস্যুর ৬ মাসের মধ্যে উপস্থাপন</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Presented within 6 months of issue</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৪. অপর্যাপ্ত তহবিলে ফেরত</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Returned for insufficient funds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৫. ফেরতের ৩০ দিনের মধ্যে লিখিত নোটিশ</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Written notice within 30 days of return</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৬. নোটিশের ১৫ দিনে পরিশোধ না করা</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Failure to pay within 15 days of notice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শাস্তি (বাংলা)</w:t>
            </w:r>
          </w:p>
        </w:tc>
        <w:tc>
          <w:tcPr>
            <w:tcW w:type="dxa" w:w="48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Punishment (English)</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শাস্তি ১: সর্বোচ্চ ১ বছর কারাদণ্ড</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Punishment 1: Maximum 1 year imprisonment</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শাস্তি ২: চেকের দ্বিগুণ পর্যন্ত জরিমানা</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Punishment 2: Fine up to double cheque amount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শাস্তি ৩: উভয় দণ্ড একসাথে</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Punishment 3: Both punishments simultaneously</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Collecting Banker কী? তার দায়িত্ব ও Section 131-এর বৈধানিক সুরক্ষার শর্ত কী? [১০]</w:t>
      </w:r>
    </w:p>
    <w:p>
      <w:pPr>
        <w:spacing w:before="0" w:after="80"/>
      </w:pPr>
      <w:r>
        <w:rPr>
          <w:rFonts w:ascii="Arial" w:cs="Arial" w:eastAsia="Arial" w:hAnsi="Arial"/>
          <w:i/>
          <w:iCs/>
          <w:color w:val="555555"/>
          <w:sz w:val="21"/>
          <w:szCs w:val="21"/>
        </w:rPr>
        <w:t xml:space="preserve">What is Collecting Banker? Duties and statutory protection conditions under Section 131?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NI Act 1881 — Section 131 (Statutory Protection), Section 123-131 (Crossing)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E30" w:sz="1"/>
              <w:left w:val="single" w:color="1A5E30" w:sz="1"/>
              <w:bottom w:val="single" w:color="1A5E30" w:sz="1"/>
              <w:right w:val="single" w:color="1A5E30" w:sz="1"/>
            </w:tcBorders>
            <w:shd w:fill="E8F5E9" w:val="clear"/>
            <w:tcMar>
              <w:top w:type="dxa" w:w="120"/>
              <w:left w:type="dxa" w:w="180"/>
              <w:bottom w:type="dxa" w:w="120"/>
              <w:right w:type="dxa" w:w="180"/>
            </w:tcMar>
          </w:tcPr>
          <w:p>
            <w:pPr>
              <w:spacing w:before="60" w:after="40"/>
            </w:pPr>
            <w:r>
              <w:rPr>
                <w:rFonts w:ascii="Arial" w:cs="Arial" w:eastAsia="Arial" w:hAnsi="Arial"/>
                <w:b/>
                <w:bCs/>
                <w:caps/>
                <w:color w:val="1A5E30"/>
                <w:sz w:val="22"/>
                <w:szCs w:val="22"/>
              </w:rPr>
              <w:t xml:space="preserve">📖 Collecting Banker সংজ্ঞা</w:t>
            </w:r>
          </w:p>
          <w:p>
            <w:pPr>
              <w:spacing w:before="0" w:after="40"/>
            </w:pPr>
            <w:r>
              <w:rPr>
                <w:rFonts w:ascii="Arial" w:cs="Arial" w:eastAsia="Arial" w:hAnsi="Arial"/>
                <w:color w:val="1A3A6B"/>
                <w:sz w:val="23"/>
                <w:szCs w:val="23"/>
              </w:rPr>
              <w:t xml:space="preserve">Collecting Banker হলেন এমন ব্যাংকার যিনি তার গ্রাহকের পক্ষে চেক, ড্রাফট, বিল, Dividend Warrant ইত্যাদি সংগ্রহ করেন Paying Banker-এর কাছ থেকে।</w:t>
            </w:r>
          </w:p>
          <w:p>
            <w:pPr>
              <w:spacing w:before="0" w:after="60"/>
            </w:pPr>
            <w:r>
              <w:rPr>
                <w:rFonts w:ascii="Arial" w:cs="Arial" w:eastAsia="Arial" w:hAnsi="Arial"/>
                <w:i/>
                <w:iCs/>
                <w:color w:val="444444"/>
                <w:sz w:val="22"/>
                <w:szCs w:val="22"/>
              </w:rPr>
              <w:t xml:space="preserve">→ A collecting banker collects cheques, drafts, bills, dividend warrants on behalf of his customer from the paying banker.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বৈধানিক সুরক্ষার শর্ত (বাংলা)</w:t>
            </w:r>
          </w:p>
        </w:tc>
        <w:tc>
          <w:tcPr>
            <w:tcW w:type="dxa" w:w="48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Statutory Protection Condition (English)</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১. গ্রাহকের পক্ষে (Agent হিসেবে) সংগ্রহ করতে হবে</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Must collect for a customer as agent</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২. Crossed Cheque সংগ্রহ করতে হবে</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Must be a crossed cheque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৩. সৎভাবে কাজ করতে হবে (Good Faith)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Must act in good faith</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৪. অবহেলা ছাড়া কাজ করতে হবে (Without Negligence)</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Must act without negligence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 গ্রাহকের পরিচয় যাচাই না করলে Negligence প্রমাণ হয়</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Not verifying customer KYC = negligence = loses protection</w:t>
            </w:r>
          </w:p>
        </w:tc>
      </w:tr>
    </w:tbl>
    <w:p>
      <w:r>
        <w:br w:type="page"/>
      </w:r>
    </w:p>
    <w:p>
      <w:pPr>
        <w:spacing w:before="300" w:after="0"/>
      </w:pPr>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B3E" w:sz="1"/>
              <w:left w:val="single" w:color="0D1B3E" w:sz="1"/>
              <w:bottom w:val="single" w:color="0D1B3E" w:sz="1"/>
              <w:right w:val="single" w:color="0D1B3E" w:sz="1"/>
            </w:tcBorders>
            <w:shd w:fill="0D1B3E" w:val="clear"/>
            <w:tcMar>
              <w:top w:type="dxa" w:w="160"/>
              <w:left w:type="dxa" w:w="220"/>
              <w:bottom w:type="dxa" w:w="160"/>
              <w:right w:type="dxa" w:w="220"/>
            </w:tcMar>
          </w:tcPr>
          <w:p>
            <w:pPr>
              <w:spacing w:before="0" w:after="40"/>
            </w:pPr>
            <w:r>
              <w:rPr>
                <w:rFonts w:ascii="Arial" w:cs="Arial" w:eastAsia="Arial" w:hAnsi="Arial"/>
                <w:b/>
                <w:bCs/>
                <w:caps/>
                <w:color w:val="C8860A"/>
                <w:sz w:val="22"/>
                <w:szCs w:val="22"/>
              </w:rPr>
              <w:t xml:space="preserve">MODULE C</w:t>
            </w:r>
            <w:r>
              <w:rPr>
                <w:rFonts w:ascii="Arial" w:cs="Arial" w:eastAsia="Arial" w:hAnsi="Arial"/>
                <w:color w:val="AAAAAA"/>
                <w:sz w:val="22"/>
                <w:szCs w:val="22"/>
              </w:rPr>
              <w:t xml:space="preserve"> — </w:t>
            </w:r>
            <w:r>
              <w:rPr>
                <w:rFonts w:ascii="Arial" w:cs="Arial" w:eastAsia="Arial" w:hAnsi="Arial"/>
                <w:color w:val="CCCCCC"/>
                <w:sz w:val="22"/>
                <w:szCs w:val="22"/>
              </w:rPr>
              <w:t xml:space="preserve">FERA 1947 • MLPA 2012 • Anti-Terrorism Act 2009 • BFIU • CTR/STR</w:t>
            </w:r>
          </w:p>
          <w:p>
            <w:pPr>
              <w:spacing w:before="0" w:after="0"/>
            </w:pPr>
            <w:r>
              <w:rPr>
                <w:rFonts w:ascii="Arial" w:cs="Arial" w:eastAsia="Arial" w:hAnsi="Arial"/>
                <w:b/>
                <w:bCs/>
                <w:color w:val="FFFFFF"/>
                <w:sz w:val="34"/>
                <w:szCs w:val="34"/>
              </w:rPr>
              <w:t xml:space="preserve">Financial Activities Related Laws</w:t>
            </w:r>
          </w:p>
        </w:tc>
      </w:tr>
    </w:tbl>
    <w:p>
      <w:pPr>
        <w:spacing w:before="60" w:after="60" w:line="276"/>
        <w:jc w:val="left"/>
      </w:pPr>
      <w:r>
        <w:rPr>
          <w:rFonts w:ascii="Arial" w:cs="Arial" w:eastAsia="Arial" w:hAnsi="Arial"/>
          <w:b w:val="false"/>
          <w:bCs w:val="false"/>
          <w:i w:val="false"/>
          <w:iCs w:val="false"/>
          <w:color w:val="000000"/>
          <w:sz w:val="24"/>
          <w:szCs w:val="24"/>
        </w:rPr>
        <w:t xml:space="preserve"> </w:t>
      </w:r>
    </w:p>
    <w:p>
      <w:pPr>
        <w:spacing w:before="280" w:after="0"/>
      </w:pPr>
      <w:r>
        <w:rPr>
          <w:rFonts w:ascii="Arial" w:cs="Arial" w:eastAsia="Arial" w:hAnsi="Arial"/>
          <w:b/>
          <w:bCs/>
          <w:color w:val="8B1A1A"/>
          <w:sz w:val="28"/>
          <w:szCs w:val="28"/>
        </w:rPr>
        <w:t xml:space="preserve">প্রশ্ন C-1 | Question C-1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মানি লন্ডারিং প্রতিরোধ আইন, ২০১২ অনুযায়ী মানি লন্ডারিং-এর সংজ্ঞা দিন। মিথ্যা তথ্য প্রদানের শাস্তি কী?</w:t>
      </w:r>
    </w:p>
    <w:p>
      <w:pPr>
        <w:spacing w:before="0" w:after="100"/>
      </w:pPr>
      <w:r>
        <w:rPr>
          <w:rFonts w:ascii="Arial" w:cs="Arial" w:eastAsia="Arial" w:hAnsi="Arial"/>
          <w:i/>
          <w:iCs/>
          <w:color w:val="555555"/>
          <w:sz w:val="22"/>
          <w:szCs w:val="22"/>
        </w:rPr>
        <w:t xml:space="preserve">Define money laundering under MLPA 2012. What are punishments for providing false information under the Act?</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মানি লন্ডারিং-এর সংজ্ঞা ও তিনটি ধাপ বর্ণনা করুন। শাস্তির বিধান কী? [১০]</w:t>
      </w:r>
    </w:p>
    <w:p>
      <w:pPr>
        <w:spacing w:before="0" w:after="80"/>
      </w:pPr>
      <w:r>
        <w:rPr>
          <w:rFonts w:ascii="Arial" w:cs="Arial" w:eastAsia="Arial" w:hAnsi="Arial"/>
          <w:i/>
          <w:iCs/>
          <w:color w:val="555555"/>
          <w:sz w:val="21"/>
          <w:szCs w:val="21"/>
        </w:rPr>
        <w:t xml:space="preserve">Define money laundering and describe three stages. What are punishment provisions?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MLPA 2012 (Act No. 05 of 2012) — Sections 2(v), 4, 7, 8, 25, 26; BFIU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2D8B" w:sz="1"/>
              <w:left w:val="single" w:color="5A2D8B" w:sz="1"/>
              <w:bottom w:val="single" w:color="5A2D8B" w:sz="1"/>
              <w:right w:val="single" w:color="5A2D8B" w:sz="1"/>
            </w:tcBorders>
            <w:shd w:fill="F3E8FF" w:val="clear"/>
            <w:tcMar>
              <w:top w:type="dxa" w:w="120"/>
              <w:left w:type="dxa" w:w="180"/>
              <w:bottom w:type="dxa" w:w="120"/>
              <w:right w:type="dxa" w:w="180"/>
            </w:tcMar>
          </w:tcPr>
          <w:p>
            <w:pPr>
              <w:spacing w:before="60" w:after="40"/>
            </w:pPr>
            <w:r>
              <w:rPr>
                <w:rFonts w:ascii="Arial" w:cs="Arial" w:eastAsia="Arial" w:hAnsi="Arial"/>
                <w:b/>
                <w:bCs/>
                <w:caps/>
                <w:color w:val="5A2D8B"/>
                <w:sz w:val="22"/>
                <w:szCs w:val="22"/>
              </w:rPr>
              <w:t xml:space="preserve">📖 মানি লন্ডারিং সংজ্ঞা — Section 2(cha)</w:t>
            </w:r>
          </w:p>
          <w:p>
            <w:pPr>
              <w:spacing w:before="0" w:after="40"/>
            </w:pPr>
            <w:r>
              <w:rPr>
                <w:rFonts w:ascii="Arial" w:cs="Arial" w:eastAsia="Arial" w:hAnsi="Arial"/>
                <w:color w:val="1A3A6B"/>
                <w:sz w:val="23"/>
                <w:szCs w:val="23"/>
              </w:rPr>
              <w:t xml:space="preserve">মানি লন্ডারিং হলো অবৈধ উপায়ে অর্জিত অর্থকে বৈধ উৎস থেকে অর্জিত বলে প্রদর্শন করা বা অবৈধ অর্থের উৎস, প্রকৃতি, অবস্থান বা মালিকানা গোপন করা।</w:t>
            </w:r>
          </w:p>
          <w:p>
            <w:pPr>
              <w:spacing w:before="0" w:after="60"/>
            </w:pPr>
            <w:r>
              <w:rPr>
                <w:rFonts w:ascii="Arial" w:cs="Arial" w:eastAsia="Arial" w:hAnsi="Arial"/>
                <w:i/>
                <w:iCs/>
                <w:color w:val="444444"/>
                <w:sz w:val="22"/>
                <w:szCs w:val="22"/>
              </w:rPr>
              <w:t xml:space="preserve">→ Money laundering is showing illegally earned money as from legal source OR concealing origin, nature, location or ownership of illegal money.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500"/>
        <w:gridCol w:w="3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ধাপ</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বাংলা নাম</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English Name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ব্যাখ্যা</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১</w:t>
            </w:r>
          </w:p>
        </w:tc>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স্থাপন (Placement)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Placement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অবৈধ অর্থ ব্যাংকিং ব্যবস্থায় প্রবেশ করানো</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২</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স্তরীকরণ (Layering)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Layering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জটিল লেনদেনে অর্থের উৎস গোপন করা</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৩</w:t>
            </w:r>
          </w:p>
        </w:tc>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সংহতকরণ (Integration)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Integration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অর্থ বৈধভাবে অর্থনীতিতে প্রবেশ করানো</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শাস্তি (বাংলা)</w:t>
            </w:r>
          </w:p>
        </w:tc>
        <w:tc>
          <w:tcPr>
            <w:tcW w:type="dxa" w:w="46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Punishment (English)</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মানি লন্ডারিং করলে: ৪–১২ বছর কারাদণ্ড [MLPA Sec 4]</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Money laundering offence: 4-12 years imprisonment</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মিথ্যা তথ্য প্রদান: সর্বোচ্চ ২ বছর বা ৫০,০০০ টাকা [Sec 8]</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False info: Max 2 years or Tk. 50,000 fine</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রিপোর্ট দাখিলে ব্যর্থতা: সর্বোচ্চ ১ বছর বা ২৫,০০০ টাকা [Sec 7]</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Failure to report: Max 1 year or Tk. 25,000</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অপরাধে জড়িত অর্থের দ্বিগুণ পর্যন্ত জরিমানা</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Fine up to double the money involved</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অবৈধ অর্থ ও সম্পত্তি বাজেয়াপ্ত</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Confiscation of illegal money and property</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CTR ও STR কী? সন্দেহজনক লেনদেনের সূচক এবং STR জমার পদ্ধতি বর্ণনা করুন। [১০]</w:t>
      </w:r>
    </w:p>
    <w:p>
      <w:pPr>
        <w:spacing w:before="0" w:after="80"/>
      </w:pPr>
      <w:r>
        <w:rPr>
          <w:rFonts w:ascii="Arial" w:cs="Arial" w:eastAsia="Arial" w:hAnsi="Arial"/>
          <w:i/>
          <w:iCs/>
          <w:color w:val="555555"/>
          <w:sz w:val="21"/>
          <w:szCs w:val="21"/>
        </w:rPr>
        <w:t xml:space="preserve">What are CTR and STR? Indicators of suspicious transactions and procedure to submit STR. [10]</w:t>
      </w:r>
    </w:p>
    <w:p>
      <w:pPr>
        <w:shd w:fill="FFF8E1" w:val="clear"/>
        <w:spacing w:before="100" w:after="100"/>
        <w:jc w:val="center"/>
      </w:pPr>
      <w:r>
        <w:rPr>
          <w:rFonts w:ascii="Arial" w:cs="Arial" w:eastAsia="Arial" w:hAnsi="Arial"/>
          <w:b/>
          <w:bCs/>
          <w:color w:val="8B1A1A"/>
          <w:sz w:val="24"/>
          <w:szCs w:val="24"/>
        </w:rPr>
        <w:t xml:space="preserve">★ উত্তর ★ | ★ Answer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বিষয়</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CTR (Cash Transaction Report)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STR (Suspicious Transaction Report)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পরিমাণ সীমা</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৭০ লক্ষ টাকার উপরে নগদ</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কোনো নির্দিষ্ট সীমা নেই</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সময়সীমা</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৩ কার্যদিবসের মধ্যে</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যত দ্রুত সম্ভব</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কারণ</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স্বয়ংক্রিয় — পরিমাণ-ভিত্তিক</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সন্দেহজনক মনে হলেই</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জমা স্থান</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BFIU</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BFIU-তে সরাসরি</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আইনি ভিত্তি</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MLPA 2012, Sec 25</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MLPA 2012, Sec 25</w:t>
            </w:r>
          </w:p>
        </w:tc>
      </w:tr>
    </w:tbl>
    <w:p>
      <w:pPr>
        <w:spacing w:before="60" w:after="60" w:line="276"/>
        <w:jc w:val="left"/>
      </w:pPr>
      <w:r>
        <w:rPr>
          <w:rFonts w:ascii="Arial" w:cs="Arial" w:eastAsia="Arial" w:hAnsi="Arial"/>
          <w:b w:val="false"/>
          <w:bCs w:val="false"/>
          <w:i w:val="false"/>
          <w:iCs w:val="false"/>
          <w:color w:val="000000"/>
          <w:sz w:val="24"/>
          <w:szCs w:val="24"/>
        </w:rPr>
        <w:t xml:space="preserve"> </w:t>
      </w:r>
    </w:p>
    <w:p>
      <w:pPr>
        <w:spacing w:before="60" w:after="60" w:line="276"/>
        <w:jc w:val="left"/>
      </w:pPr>
      <w:r>
        <w:rPr>
          <w:rFonts w:ascii="Arial" w:cs="Arial" w:eastAsia="Arial" w:hAnsi="Arial"/>
          <w:b/>
          <w:bCs/>
          <w:i w:val="false"/>
          <w:iCs w:val="false"/>
          <w:color w:val="1A3A6B"/>
          <w:sz w:val="23"/>
          <w:szCs w:val="23"/>
        </w:rPr>
        <w:t xml:space="preserve">সন্দেহজনক লেনদেনের সূচক | Indicators of Suspicious Transactions:</w:t>
      </w:r>
    </w:p>
    <w:p>
      <w:pPr>
        <w:pStyle w:val="ListParagraph"/>
        <w:numPr>
          <w:ilvl w:val="0"/>
          <w:numId w:val="2"/>
        </w:numPr>
        <w:spacing w:before="40" w:after="40"/>
      </w:pPr>
      <w:r>
        <w:rPr>
          <w:rFonts w:ascii="Arial" w:cs="Arial" w:eastAsia="Arial" w:hAnsi="Arial"/>
          <w:color w:val="1A3A6B"/>
          <w:sz w:val="22"/>
          <w:szCs w:val="22"/>
        </w:rPr>
        <w:t xml:space="preserve">গ্রাহকের আয়ের সাথে অসামঞ্জস্যপূর্ণ বড় নগদ লেনদেন | Large cash inconsistent with income</w:t>
      </w:r>
    </w:p>
    <w:p>
      <w:pPr>
        <w:pStyle w:val="ListParagraph"/>
        <w:numPr>
          <w:ilvl w:val="0"/>
          <w:numId w:val="2"/>
        </w:numPr>
        <w:spacing w:before="40" w:after="40"/>
      </w:pPr>
      <w:r>
        <w:rPr>
          <w:rFonts w:ascii="Arial" w:cs="Arial" w:eastAsia="Arial" w:hAnsi="Arial"/>
          <w:color w:val="1A3A6B"/>
          <w:sz w:val="22"/>
          <w:szCs w:val="22"/>
        </w:rPr>
        <w:t xml:space="preserve">একই দিনে একাধিক ছোট লেনদেন — Structuring | Multiple small transactions same day</w:t>
      </w:r>
    </w:p>
    <w:p>
      <w:pPr>
        <w:pStyle w:val="ListParagraph"/>
        <w:numPr>
          <w:ilvl w:val="0"/>
          <w:numId w:val="2"/>
        </w:numPr>
        <w:spacing w:before="40" w:after="40"/>
      </w:pPr>
      <w:r>
        <w:rPr>
          <w:rFonts w:ascii="Arial" w:cs="Arial" w:eastAsia="Arial" w:hAnsi="Arial"/>
          <w:color w:val="1A3A6B"/>
          <w:sz w:val="22"/>
          <w:szCs w:val="22"/>
        </w:rPr>
        <w:t xml:space="preserve">পরিচয় প্রদানে অনীহা বা প্রত্যাখ্যান | Reluctance to provide identity</w:t>
      </w:r>
    </w:p>
    <w:p>
      <w:pPr>
        <w:pStyle w:val="ListParagraph"/>
        <w:numPr>
          <w:ilvl w:val="0"/>
          <w:numId w:val="2"/>
        </w:numPr>
        <w:spacing w:before="40" w:after="40"/>
      </w:pPr>
      <w:r>
        <w:rPr>
          <w:rFonts w:ascii="Arial" w:cs="Arial" w:eastAsia="Arial" w:hAnsi="Arial"/>
          <w:color w:val="1A3A6B"/>
          <w:sz w:val="22"/>
          <w:szCs w:val="22"/>
        </w:rPr>
        <w:t xml:space="preserve">উচ্চ ঝুঁকিপূর্ণ দেশের সাথে অস্বাভাবিক লেনদেন | Unusual transactions with high-risk countries</w:t>
      </w:r>
    </w:p>
    <w:p>
      <w:pPr>
        <w:pStyle w:val="ListParagraph"/>
        <w:numPr>
          <w:ilvl w:val="0"/>
          <w:numId w:val="2"/>
        </w:numPr>
        <w:spacing w:before="40" w:after="40"/>
      </w:pPr>
      <w:r>
        <w:rPr>
          <w:rFonts w:ascii="Arial" w:cs="Arial" w:eastAsia="Arial" w:hAnsi="Arial"/>
          <w:color w:val="1A3A6B"/>
          <w:sz w:val="22"/>
          <w:szCs w:val="22"/>
        </w:rPr>
        <w:t xml:space="preserve">PEP বা তাদের পরিবারের অস্বাভাবিক লেনদেন | PEP or family members unusual transactions</w:t>
      </w:r>
    </w:p>
    <w:p>
      <w:pPr>
        <w:pStyle w:val="ListParagraph"/>
        <w:numPr>
          <w:ilvl w:val="0"/>
          <w:numId w:val="2"/>
        </w:numPr>
        <w:spacing w:before="40" w:after="40"/>
      </w:pPr>
      <w:r>
        <w:rPr>
          <w:rFonts w:ascii="Arial" w:cs="Arial" w:eastAsia="Arial" w:hAnsi="Arial"/>
          <w:color w:val="1A3A6B"/>
          <w:sz w:val="22"/>
          <w:szCs w:val="22"/>
        </w:rPr>
        <w:t xml:space="preserve">হঠাৎ হিসাবে বড় অঙ্কের টাকা জমা | Sudden large deposit without explanation</w:t>
      </w:r>
    </w:p>
    <w:p>
      <w:pPr>
        <w:spacing w:before="60" w:after="60" w:line="276"/>
        <w:jc w:val="left"/>
      </w:pPr>
      <w:r>
        <w:rPr>
          <w:rFonts w:ascii="Arial" w:cs="Arial" w:eastAsia="Arial" w:hAnsi="Arial"/>
          <w:b w:val="false"/>
          <w:bCs w:val="false"/>
          <w:i w:val="false"/>
          <w:iCs w:val="false"/>
          <w:color w:val="000000"/>
          <w:sz w:val="24"/>
          <w:szCs w:val="24"/>
        </w:rPr>
        <w:t xml:space="preserve"> </w:t>
      </w:r>
    </w:p>
    <w:p>
      <w:pPr>
        <w:spacing w:before="60" w:after="60" w:line="276"/>
        <w:jc w:val="left"/>
      </w:pPr>
      <w:r>
        <w:rPr>
          <w:rFonts w:ascii="Arial" w:cs="Arial" w:eastAsia="Arial" w:hAnsi="Arial"/>
          <w:b/>
          <w:bCs/>
          <w:i w:val="false"/>
          <w:iCs w:val="false"/>
          <w:color w:val="8B1A1A"/>
          <w:sz w:val="23"/>
          <w:szCs w:val="23"/>
        </w:rPr>
        <w:t xml:space="preserve">STR জমার ধাপ | STR Submission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3A6B" w:sz="1"/>
              <w:left w:val="single" w:color="1A3A6B" w:sz="1"/>
              <w:bottom w:val="single" w:color="1A3A6B" w:sz="1"/>
              <w:right w:val="single" w:color="1A3A6B"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১</w:t>
            </w:r>
          </w:p>
        </w:tc>
        <w:tc>
          <w:tcPr>
            <w:tcW w:type="dxa" w:w="8800"/>
            <w:tcBorders>
              <w:top w:val="single" w:color="D4C9A8" w:sz="1"/>
              <w:left w:val="single" w:color="D4C9A8" w:sz="1"/>
              <w:bottom w:val="single" w:color="D4C9A8" w:sz="1"/>
              <w:right w:val="single" w:color="D4C9A8" w:sz="1"/>
            </w:tcBorders>
            <w:shd w:fill="F3E8FF" w:val="clear"/>
            <w:tcMar>
              <w:top w:type="dxa" w:w="80"/>
              <w:left w:type="dxa" w:w="160"/>
              <w:bottom w:type="dxa" w:w="80"/>
              <w:right w:type="dxa" w:w="120"/>
            </w:tcMar>
          </w:tcPr>
          <w:p>
            <w:pPr>
              <w:spacing w:before="0" w:after="30"/>
            </w:pPr>
            <w:r>
              <w:rPr>
                <w:rFonts w:ascii="Arial" w:cs="Arial" w:eastAsia="Arial" w:hAnsi="Arial"/>
                <w:b/>
                <w:bCs/>
                <w:color w:val="1A3A6B"/>
                <w:sz w:val="23"/>
                <w:szCs w:val="23"/>
              </w:rPr>
              <w:t xml:space="preserve">সন্দেহজনক লেনদেন চিহ্নিত করুন</w:t>
            </w:r>
          </w:p>
          <w:p>
            <w:pPr>
              <w:spacing w:before="0" w:after="0"/>
            </w:pPr>
            <w:r>
              <w:rPr>
                <w:rFonts w:ascii="Arial" w:cs="Arial" w:eastAsia="Arial" w:hAnsi="Arial"/>
                <w:i/>
                <w:iCs/>
                <w:color w:val="444444"/>
                <w:sz w:val="21"/>
                <w:szCs w:val="21"/>
              </w:rPr>
              <w:t xml:space="preserve">→ Identify suspicious transaction — Compliance Officer records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3A6B" w:sz="1"/>
              <w:left w:val="single" w:color="1A3A6B" w:sz="1"/>
              <w:bottom w:val="single" w:color="1A3A6B" w:sz="1"/>
              <w:right w:val="single" w:color="1A3A6B"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২</w:t>
            </w:r>
          </w:p>
        </w:tc>
        <w:tc>
          <w:tcPr>
            <w:tcW w:type="dxa" w:w="8800"/>
            <w:tcBorders>
              <w:top w:val="single" w:color="D4C9A8" w:sz="1"/>
              <w:left w:val="single" w:color="D4C9A8" w:sz="1"/>
              <w:bottom w:val="single" w:color="D4C9A8" w:sz="1"/>
              <w:right w:val="single" w:color="D4C9A8" w:sz="1"/>
            </w:tcBorders>
            <w:shd w:fill="F3E8FF" w:val="clear"/>
            <w:tcMar>
              <w:top w:type="dxa" w:w="80"/>
              <w:left w:type="dxa" w:w="160"/>
              <w:bottom w:type="dxa" w:w="80"/>
              <w:right w:type="dxa" w:w="120"/>
            </w:tcMar>
          </w:tcPr>
          <w:p>
            <w:pPr>
              <w:spacing w:before="0" w:after="30"/>
            </w:pPr>
            <w:r>
              <w:rPr>
                <w:rFonts w:ascii="Arial" w:cs="Arial" w:eastAsia="Arial" w:hAnsi="Arial"/>
                <w:b/>
                <w:bCs/>
                <w:color w:val="1A3A6B"/>
                <w:sz w:val="23"/>
                <w:szCs w:val="23"/>
              </w:rPr>
              <w:t xml:space="preserve">নির্ধারিত BFIU ফরম্যাটে STR প্রস্তুত করুন</w:t>
            </w:r>
          </w:p>
          <w:p>
            <w:pPr>
              <w:spacing w:before="0" w:after="0"/>
            </w:pPr>
            <w:r>
              <w:rPr>
                <w:rFonts w:ascii="Arial" w:cs="Arial" w:eastAsia="Arial" w:hAnsi="Arial"/>
                <w:i/>
                <w:iCs/>
                <w:color w:val="444444"/>
                <w:sz w:val="21"/>
                <w:szCs w:val="21"/>
              </w:rPr>
              <w:t xml:space="preserve">→ Prepare STR in prescribed BFIU format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3A6B" w:sz="1"/>
              <w:left w:val="single" w:color="1A3A6B" w:sz="1"/>
              <w:bottom w:val="single" w:color="1A3A6B" w:sz="1"/>
              <w:right w:val="single" w:color="1A3A6B"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৩</w:t>
            </w:r>
          </w:p>
        </w:tc>
        <w:tc>
          <w:tcPr>
            <w:tcW w:type="dxa" w:w="8800"/>
            <w:tcBorders>
              <w:top w:val="single" w:color="D4C9A8" w:sz="1"/>
              <w:left w:val="single" w:color="D4C9A8" w:sz="1"/>
              <w:bottom w:val="single" w:color="D4C9A8" w:sz="1"/>
              <w:right w:val="single" w:color="D4C9A8" w:sz="1"/>
            </w:tcBorders>
            <w:shd w:fill="F3E8FF" w:val="clear"/>
            <w:tcMar>
              <w:top w:type="dxa" w:w="80"/>
              <w:left w:type="dxa" w:w="160"/>
              <w:bottom w:type="dxa" w:w="80"/>
              <w:right w:type="dxa" w:w="120"/>
            </w:tcMar>
          </w:tcPr>
          <w:p>
            <w:pPr>
              <w:spacing w:before="0" w:after="30"/>
            </w:pPr>
            <w:r>
              <w:rPr>
                <w:rFonts w:ascii="Arial" w:cs="Arial" w:eastAsia="Arial" w:hAnsi="Arial"/>
                <w:b/>
                <w:bCs/>
                <w:color w:val="1A3A6B"/>
                <w:sz w:val="23"/>
                <w:szCs w:val="23"/>
              </w:rPr>
              <w:t xml:space="preserve">গ্রাহক ও লেনদেনের বিবরণ অন্তর্ভুক্ত করুন</w:t>
            </w:r>
          </w:p>
          <w:p>
            <w:pPr>
              <w:spacing w:before="0" w:after="0"/>
            </w:pPr>
            <w:r>
              <w:rPr>
                <w:rFonts w:ascii="Arial" w:cs="Arial" w:eastAsia="Arial" w:hAnsi="Arial"/>
                <w:i/>
                <w:iCs/>
                <w:color w:val="444444"/>
                <w:sz w:val="21"/>
                <w:szCs w:val="21"/>
              </w:rPr>
              <w:t xml:space="preserve">→ Include customer and transaction details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3A6B" w:sz="1"/>
              <w:left w:val="single" w:color="1A3A6B" w:sz="1"/>
              <w:bottom w:val="single" w:color="1A3A6B" w:sz="1"/>
              <w:right w:val="single" w:color="1A3A6B"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৪</w:t>
            </w:r>
          </w:p>
        </w:tc>
        <w:tc>
          <w:tcPr>
            <w:tcW w:type="dxa" w:w="8800"/>
            <w:tcBorders>
              <w:top w:val="single" w:color="D4C9A8" w:sz="1"/>
              <w:left w:val="single" w:color="D4C9A8" w:sz="1"/>
              <w:bottom w:val="single" w:color="D4C9A8" w:sz="1"/>
              <w:right w:val="single" w:color="D4C9A8" w:sz="1"/>
            </w:tcBorders>
            <w:shd w:fill="F3E8FF" w:val="clear"/>
            <w:tcMar>
              <w:top w:type="dxa" w:w="80"/>
              <w:left w:type="dxa" w:w="160"/>
              <w:bottom w:type="dxa" w:w="80"/>
              <w:right w:type="dxa" w:w="120"/>
            </w:tcMar>
          </w:tcPr>
          <w:p>
            <w:pPr>
              <w:spacing w:before="0" w:after="30"/>
            </w:pPr>
            <w:r>
              <w:rPr>
                <w:rFonts w:ascii="Arial" w:cs="Arial" w:eastAsia="Arial" w:hAnsi="Arial"/>
                <w:b/>
                <w:bCs/>
                <w:color w:val="1A3A6B"/>
                <w:sz w:val="23"/>
                <w:szCs w:val="23"/>
              </w:rPr>
              <w:t xml:space="preserve">CEO/MD-এর অনুমোদন নিন</w:t>
            </w:r>
          </w:p>
          <w:p>
            <w:pPr>
              <w:spacing w:before="0" w:after="0"/>
            </w:pPr>
            <w:r>
              <w:rPr>
                <w:rFonts w:ascii="Arial" w:cs="Arial" w:eastAsia="Arial" w:hAnsi="Arial"/>
                <w:i/>
                <w:iCs/>
                <w:color w:val="444444"/>
                <w:sz w:val="21"/>
                <w:szCs w:val="21"/>
              </w:rPr>
              <w:t xml:space="preserve">→ Obtain CEO approval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3A6B" w:sz="1"/>
              <w:left w:val="single" w:color="1A3A6B" w:sz="1"/>
              <w:bottom w:val="single" w:color="1A3A6B" w:sz="1"/>
              <w:right w:val="single" w:color="1A3A6B"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৫</w:t>
            </w:r>
          </w:p>
        </w:tc>
        <w:tc>
          <w:tcPr>
            <w:tcW w:type="dxa" w:w="8800"/>
            <w:tcBorders>
              <w:top w:val="single" w:color="D4C9A8" w:sz="1"/>
              <w:left w:val="single" w:color="D4C9A8" w:sz="1"/>
              <w:bottom w:val="single" w:color="D4C9A8" w:sz="1"/>
              <w:right w:val="single" w:color="D4C9A8" w:sz="1"/>
            </w:tcBorders>
            <w:shd w:fill="F3E8FF" w:val="clear"/>
            <w:tcMar>
              <w:top w:type="dxa" w:w="80"/>
              <w:left w:type="dxa" w:w="160"/>
              <w:bottom w:type="dxa" w:w="80"/>
              <w:right w:type="dxa" w:w="120"/>
            </w:tcMar>
          </w:tcPr>
          <w:p>
            <w:pPr>
              <w:spacing w:before="0" w:after="30"/>
            </w:pPr>
            <w:r>
              <w:rPr>
                <w:rFonts w:ascii="Arial" w:cs="Arial" w:eastAsia="Arial" w:hAnsi="Arial"/>
                <w:b/>
                <w:bCs/>
                <w:color w:val="1A3A6B"/>
                <w:sz w:val="23"/>
                <w:szCs w:val="23"/>
              </w:rPr>
              <w:t xml:space="preserve">BFIU-তে অনলাইনে জমা দিন</w:t>
            </w:r>
          </w:p>
          <w:p>
            <w:pPr>
              <w:spacing w:before="0" w:after="0"/>
            </w:pPr>
            <w:r>
              <w:rPr>
                <w:rFonts w:ascii="Arial" w:cs="Arial" w:eastAsia="Arial" w:hAnsi="Arial"/>
                <w:i/>
                <w:iCs/>
                <w:color w:val="444444"/>
                <w:sz w:val="21"/>
                <w:szCs w:val="21"/>
              </w:rPr>
              <w:t xml:space="preserve">→ Submit online to BFIU portal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3A6B" w:sz="1"/>
              <w:left w:val="single" w:color="1A3A6B" w:sz="1"/>
              <w:bottom w:val="single" w:color="1A3A6B" w:sz="1"/>
              <w:right w:val="single" w:color="1A3A6B"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৬</w:t>
            </w:r>
          </w:p>
        </w:tc>
        <w:tc>
          <w:tcPr>
            <w:tcW w:type="dxa" w:w="8800"/>
            <w:tcBorders>
              <w:top w:val="single" w:color="D4C9A8" w:sz="1"/>
              <w:left w:val="single" w:color="D4C9A8" w:sz="1"/>
              <w:bottom w:val="single" w:color="D4C9A8" w:sz="1"/>
              <w:right w:val="single" w:color="D4C9A8" w:sz="1"/>
            </w:tcBorders>
            <w:shd w:fill="F3E8FF" w:val="clear"/>
            <w:tcMar>
              <w:top w:type="dxa" w:w="80"/>
              <w:left w:type="dxa" w:w="160"/>
              <w:bottom w:type="dxa" w:w="80"/>
              <w:right w:type="dxa" w:w="120"/>
            </w:tcMar>
          </w:tcPr>
          <w:p>
            <w:pPr>
              <w:spacing w:before="0" w:after="30"/>
            </w:pPr>
            <w:r>
              <w:rPr>
                <w:rFonts w:ascii="Arial" w:cs="Arial" w:eastAsia="Arial" w:hAnsi="Arial"/>
                <w:b/>
                <w:bCs/>
                <w:color w:val="1A3A6B"/>
                <w:sz w:val="23"/>
                <w:szCs w:val="23"/>
              </w:rPr>
              <w:t xml:space="preserve">কপি ন্যূনতম ৫ বছর সংরক্ষণ [MLPA 2012, Sec 25]</w:t>
            </w:r>
          </w:p>
          <w:p>
            <w:pPr>
              <w:spacing w:before="0" w:after="0"/>
            </w:pPr>
            <w:r>
              <w:rPr>
                <w:rFonts w:ascii="Arial" w:cs="Arial" w:eastAsia="Arial" w:hAnsi="Arial"/>
                <w:i/>
                <w:iCs/>
                <w:color w:val="444444"/>
                <w:sz w:val="21"/>
                <w:szCs w:val="21"/>
              </w:rPr>
              <w:t xml:space="preserve">→ Keep copy minimum 5 years</w:t>
            </w:r>
          </w:p>
        </w:tc>
      </w:tr>
    </w:tbl>
    <w:p>
      <w:pPr>
        <w:pBdr>
          <w:bottom w:val="single" w:color="C8860A" w:sz="6" w:space="1"/>
        </w:pBdr>
        <w:spacing w:before="120" w:after="120"/>
      </w:pPr>
    </w:p>
    <w:p>
      <w:pPr>
        <w:spacing w:before="280" w:after="0"/>
      </w:pPr>
      <w:r>
        <w:rPr>
          <w:rFonts w:ascii="Arial" w:cs="Arial" w:eastAsia="Arial" w:hAnsi="Arial"/>
          <w:b/>
          <w:bCs/>
          <w:color w:val="8B1A1A"/>
          <w:sz w:val="28"/>
          <w:szCs w:val="28"/>
        </w:rPr>
        <w:t xml:space="preserve">প্রশ্ন C-2 | Question C-2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বৈদেশিক মুদ্রা নিয়ন্ত্রণ আইন, ১৯৪৭-এর পরিধি ও মূল উদ্দেশ্য বর্ণনা করুন। অথরাইজড ডিলার কারা? ব্লকড অ্যাকাউন্ট কী?</w:t>
      </w:r>
    </w:p>
    <w:p>
      <w:pPr>
        <w:spacing w:before="0" w:after="100"/>
      </w:pPr>
      <w:r>
        <w:rPr>
          <w:rFonts w:ascii="Arial" w:cs="Arial" w:eastAsia="Arial" w:hAnsi="Arial"/>
          <w:i/>
          <w:iCs/>
          <w:color w:val="555555"/>
          <w:sz w:val="22"/>
          <w:szCs w:val="22"/>
        </w:rPr>
        <w:t xml:space="preserve">Describe scope and main purposes of FERA 1947. Who are authorized dealers? What is a blocked account?</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FERA 1947-এর উদ্দেশ্য ও অথরাইজড ডিলারের দায়িত্ব বর্ণনা করুন। [১০]</w:t>
      </w:r>
    </w:p>
    <w:p>
      <w:pPr>
        <w:spacing w:before="0" w:after="80"/>
      </w:pPr>
      <w:r>
        <w:rPr>
          <w:rFonts w:ascii="Arial" w:cs="Arial" w:eastAsia="Arial" w:hAnsi="Arial"/>
          <w:i/>
          <w:iCs/>
          <w:color w:val="555555"/>
          <w:sz w:val="21"/>
          <w:szCs w:val="21"/>
        </w:rPr>
        <w:t xml:space="preserve">Describe objectives of FERA 1947 and responsibilities of authorized dealers.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FERA 1947 (Amendment 2015) — Sec 3 (AD), Sec 5 (Payment Restrictions), Sec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FERA 1947 মূল বিষয় (বাংলা)</w:t>
            </w:r>
          </w:p>
        </w:tc>
        <w:tc>
          <w:tcPr>
            <w:tcW w:type="dxa" w:w="46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Key Provision (English)</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বৈদেশিক মুদ্রা সংরক্ষণ ও সুষ্ঠু ব্যবহার নিশ্চিত</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Ensure conservation and proper use of foreign exchange</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AD ছাড়া বৈদেশিক মুদ্রা লেনদেন নিষিদ্ধ</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FX transactions only through AD unless BB permits</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BB-এর নির্দেশনা মেনে চলা AD-এর বাধ্যবাধকতা</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AD must comply with BB's general/special directions</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লেনদেনের আগে ঘোষণা নিতে হবে</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Must require declaration before undertaking FX transaction</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লঙ্ঘনের শাস্তি: সর্বোচ্চ ৭ বছর বা জরিমানা বা উভয়</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Penalty: max 7 years imprisonment or fine or both</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ব্লকড অ্যাকাউন্ট ও বিশেষ অ্যাকাউন্ট কী? Money Changers ও AD Branch-এর পার্থক্য কী? [১০]</w:t>
      </w:r>
    </w:p>
    <w:p>
      <w:pPr>
        <w:spacing w:before="0" w:after="80"/>
      </w:pPr>
      <w:r>
        <w:rPr>
          <w:rFonts w:ascii="Arial" w:cs="Arial" w:eastAsia="Arial" w:hAnsi="Arial"/>
          <w:i/>
          <w:iCs/>
          <w:color w:val="555555"/>
          <w:sz w:val="21"/>
          <w:szCs w:val="21"/>
        </w:rPr>
        <w:t xml:space="preserve">What are blocked and special accounts? Distinguish Money Changers and AD Branches. [10]</w:t>
      </w:r>
    </w:p>
    <w:p>
      <w:pPr>
        <w:shd w:fill="FFF8E1" w:val="clear"/>
        <w:spacing w:before="100" w:after="100"/>
        <w:jc w:val="center"/>
      </w:pPr>
      <w:r>
        <w:rPr>
          <w:rFonts w:ascii="Arial" w:cs="Arial" w:eastAsia="Arial" w:hAnsi="Arial"/>
          <w:b/>
          <w:bCs/>
          <w:color w:val="8B1A1A"/>
          <w:sz w:val="24"/>
          <w:szCs w:val="24"/>
        </w:rPr>
        <w:t xml:space="preserve">★ উত্তর ★ | ★ Answer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ধারণা (বাংলা)</w:t>
            </w:r>
          </w:p>
        </w:tc>
        <w:tc>
          <w:tcPr>
            <w:tcW w:type="dxa" w:w="46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Concept (English)</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ব্লকড অ্যাকাউন্ট: BB-এর নির্দেশে অ-বাসিন্দার সম্পদ জব্দ</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Blocked A/C: Non-resident's assets frozen per BB order</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বিশেষ অ্যাকাউন্ট: নির্দিষ্ট উদ্দেশ্যে BB অনুমোদনে বিশেষ FX হিসাব</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Special A/C: FX account for specific purpose with BB approval</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Money Changer: সীমিত FX লেনদেন — শুধু নোট/কয়েন</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Money Changer: Limited FX — notes and coins only</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AD Branch: সকল ধরনের FX লেনদেন করতে পারে</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AD Branch: Can do all types of FX transactions</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AD Full: সব FX কার্যক্রম | AD Limited: নির্দিষ্ট কার্যক্রম</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Full AD: All FX | Limited AD: Specific activities only</w:t>
            </w:r>
          </w:p>
        </w:tc>
      </w:tr>
    </w:tbl>
    <w:p>
      <w:pPr>
        <w:pBdr>
          <w:bottom w:val="single" w:color="C8860A" w:sz="6" w:space="1"/>
        </w:pBdr>
        <w:spacing w:before="120" w:after="120"/>
      </w:pPr>
    </w:p>
    <w:p>
      <w:pPr>
        <w:spacing w:before="280" w:after="0"/>
      </w:pPr>
      <w:r>
        <w:rPr>
          <w:rFonts w:ascii="Arial" w:cs="Arial" w:eastAsia="Arial" w:hAnsi="Arial"/>
          <w:b/>
          <w:bCs/>
          <w:color w:val="8B1A1A"/>
          <w:sz w:val="28"/>
          <w:szCs w:val="28"/>
        </w:rPr>
        <w:t xml:space="preserve">প্রশ্ন C-3 | Question C-3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সন্ত্রাসবিরোধী আইন, ২০০৯-এর উদ্দেশ্য ও প্রধান বিধানসমূহ বর্ণনা করুন। সন্ত্রাসী কার্যক্রমের অর্থায়নের শাস্তি কী?</w:t>
      </w:r>
    </w:p>
    <w:p>
      <w:pPr>
        <w:spacing w:before="0" w:after="100"/>
      </w:pPr>
      <w:r>
        <w:rPr>
          <w:rFonts w:ascii="Arial" w:cs="Arial" w:eastAsia="Arial" w:hAnsi="Arial"/>
          <w:i/>
          <w:iCs/>
          <w:color w:val="555555"/>
          <w:sz w:val="22"/>
          <w:szCs w:val="22"/>
        </w:rPr>
        <w:t xml:space="preserve">Describe objectives and main provisions of Anti-Terrorism Act 2009. What are punishments for financing terrorist activities?</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সন্ত্রাসী কার্যক্রম ও সন্ত্রাসী অর্থায়নের সংজ্ঞা ও শাস্তি বর্ণনা করুন। [১০]</w:t>
      </w:r>
    </w:p>
    <w:p>
      <w:pPr>
        <w:spacing w:before="0" w:after="80"/>
      </w:pPr>
      <w:r>
        <w:rPr>
          <w:rFonts w:ascii="Arial" w:cs="Arial" w:eastAsia="Arial" w:hAnsi="Arial"/>
          <w:i/>
          <w:iCs/>
          <w:color w:val="555555"/>
          <w:sz w:val="21"/>
          <w:szCs w:val="21"/>
        </w:rPr>
        <w:t xml:space="preserve">Define terrorist activities and terrorist financing. Describe punishments.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Anti-Terrorism Act, 2009 (ATA); MLPA 2012 — সংযুক্ত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সংজ্ঞা ও শাস্তি (বাংলা)</w:t>
            </w:r>
          </w:p>
        </w:tc>
        <w:tc>
          <w:tcPr>
            <w:tcW w:type="dxa" w:w="46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Definition and Punishment (English)</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সন্ত্রাসী কার্যক্রম: মৃত্যু, গুরুতর আঘাত, রাষ্ট্রীয় কার্যক্রম বিঘ্নের লক্ষ্যে সহিংস কার্যক্রম</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Terrorist activities: Violent acts causing death, serious injury or disrupting state functions</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সন্ত্রাসী অর্থায়ন: সন্ত্রাসী কার্যক্রমে অর্থ, সেবা বা সম্পদ সরবরাহ</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Terrorist financing: Providing money, service or property (material support) for terrorism</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সন্ত্রাসী কার্যক্রমের শাস্তি: মৃত্যুদণ্ড বা যাবজ্জীবন</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Punishment for terrorist activities: Death or life imprisonment</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সন্ত্রাসী অর্থায়নের শাস্তি: সর্বোচ্চ ২০ বছর কারাদণ্ড</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Punishment for financing: Max 20 years imprisonment</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সম্পদ বাজেয়াপ্ত: সন্ত্রাসী কার্যক্রমে ব্যবহৃত সম্পদ</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Asset confiscation: Assets used in terrorist activities</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ব্যাংকের দায়িত্ব কী? PEP হিসাবে বাড়তি সতর্কতা কেন প্রয়োজন? [১০]</w:t>
      </w:r>
    </w:p>
    <w:p>
      <w:pPr>
        <w:spacing w:before="0" w:after="80"/>
      </w:pPr>
      <w:r>
        <w:rPr>
          <w:rFonts w:ascii="Arial" w:cs="Arial" w:eastAsia="Arial" w:hAnsi="Arial"/>
          <w:i/>
          <w:iCs/>
          <w:color w:val="555555"/>
          <w:sz w:val="21"/>
          <w:szCs w:val="21"/>
        </w:rPr>
        <w:t xml:space="preserve">What are bank's responsibilities? Why is Enhanced Due Diligence needed for PEP accounts? [10]</w:t>
      </w:r>
    </w:p>
    <w:p>
      <w:pPr>
        <w:shd w:fill="FFF8E1" w:val="clear"/>
        <w:spacing w:before="100" w:after="100"/>
        <w:jc w:val="center"/>
      </w:pPr>
      <w:r>
        <w:rPr>
          <w:rFonts w:ascii="Arial" w:cs="Arial" w:eastAsia="Arial" w:hAnsi="Arial"/>
          <w:b/>
          <w:bCs/>
          <w:color w:val="8B1A1A"/>
          <w:sz w:val="24"/>
          <w:szCs w:val="24"/>
        </w:rPr>
        <w:t xml:space="preserve">★ উত্তর ★ | ★ Answer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ব্যাংকের দায়িত্ব (বাংলা)</w:t>
            </w:r>
          </w:p>
        </w:tc>
        <w:tc>
          <w:tcPr>
            <w:tcW w:type="dxa" w:w="46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Bank's Responsibility (English)</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রিপোর্টিং সংস্থা হিসেবে সন্দেহজনক লেনদেন STR দাখিল</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Submit STR for suspicious transactions as reporting org</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KYC নীতিমালা কঠোরভাবে পালন করতে হবে</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Strictly follow KYC policy for all customers</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PEP: প্রধানমন্ত্রী, মন্ত্রী, এমপি, উচ্চপদস্থ সরকারি কর্মকর্তা</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PEP: PM, Ministers, MPs, senior government officials</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EDD (Enhanced Due Diligence) বাধ্যতামূলক</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Mandatory Enhanced Due Diligence for PEPs</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Senior Management-এর অনুমোদন প্রয়োজন</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Senior Management approval required for PEP accounts</w:t>
            </w:r>
          </w:p>
        </w:tc>
      </w:tr>
    </w:tbl>
    <w:p>
      <w:r>
        <w:br w:type="page"/>
      </w:r>
    </w:p>
    <w:p>
      <w:pPr>
        <w:spacing w:before="300" w:after="0"/>
      </w:pPr>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B3E" w:sz="1"/>
              <w:left w:val="single" w:color="0D1B3E" w:sz="1"/>
              <w:bottom w:val="single" w:color="0D1B3E" w:sz="1"/>
              <w:right w:val="single" w:color="0D1B3E" w:sz="1"/>
            </w:tcBorders>
            <w:shd w:fill="0D1B3E" w:val="clear"/>
            <w:tcMar>
              <w:top w:type="dxa" w:w="160"/>
              <w:left w:type="dxa" w:w="220"/>
              <w:bottom w:type="dxa" w:w="160"/>
              <w:right w:type="dxa" w:w="220"/>
            </w:tcMar>
          </w:tcPr>
          <w:p>
            <w:pPr>
              <w:spacing w:before="0" w:after="40"/>
            </w:pPr>
            <w:r>
              <w:rPr>
                <w:rFonts w:ascii="Arial" w:cs="Arial" w:eastAsia="Arial" w:hAnsi="Arial"/>
                <w:b/>
                <w:bCs/>
                <w:caps/>
                <w:color w:val="C8860A"/>
                <w:sz w:val="22"/>
                <w:szCs w:val="22"/>
              </w:rPr>
              <w:t xml:space="preserve">MODULE D</w:t>
            </w:r>
            <w:r>
              <w:rPr>
                <w:rFonts w:ascii="Arial" w:cs="Arial" w:eastAsia="Arial" w:hAnsi="Arial"/>
                <w:color w:val="AAAAAA"/>
                <w:sz w:val="22"/>
                <w:szCs w:val="22"/>
              </w:rPr>
              <w:t xml:space="preserve"> — </w:t>
            </w:r>
            <w:r>
              <w:rPr>
                <w:rFonts w:ascii="Arial" w:cs="Arial" w:eastAsia="Arial" w:hAnsi="Arial"/>
                <w:color w:val="CCCCCC"/>
                <w:sz w:val="22"/>
                <w:szCs w:val="22"/>
              </w:rPr>
              <w:t xml:space="preserve">Companies Act 1994 • Contract Act 1872 • Partnership Act 1932 • Stamp Act</w:t>
            </w:r>
          </w:p>
          <w:p>
            <w:pPr>
              <w:spacing w:before="0" w:after="0"/>
            </w:pPr>
            <w:r>
              <w:rPr>
                <w:rFonts w:ascii="Arial" w:cs="Arial" w:eastAsia="Arial" w:hAnsi="Arial"/>
                <w:b/>
                <w:bCs/>
                <w:color w:val="FFFFFF"/>
                <w:sz w:val="34"/>
                <w:szCs w:val="34"/>
              </w:rPr>
              <w:t xml:space="preserve">Business Related Laws</w:t>
            </w:r>
          </w:p>
        </w:tc>
      </w:tr>
    </w:tbl>
    <w:p>
      <w:pPr>
        <w:spacing w:before="60" w:after="60" w:line="276"/>
        <w:jc w:val="left"/>
      </w:pPr>
      <w:r>
        <w:rPr>
          <w:rFonts w:ascii="Arial" w:cs="Arial" w:eastAsia="Arial" w:hAnsi="Arial"/>
          <w:b w:val="false"/>
          <w:bCs w:val="false"/>
          <w:i w:val="false"/>
          <w:iCs w:val="false"/>
          <w:color w:val="000000"/>
          <w:sz w:val="24"/>
          <w:szCs w:val="24"/>
        </w:rPr>
        <w:t xml:space="preserve"> </w:t>
      </w:r>
    </w:p>
    <w:p>
      <w:pPr>
        <w:spacing w:before="280" w:after="0"/>
      </w:pPr>
      <w:r>
        <w:rPr>
          <w:rFonts w:ascii="Arial" w:cs="Arial" w:eastAsia="Arial" w:hAnsi="Arial"/>
          <w:b/>
          <w:bCs/>
          <w:color w:val="8B1A1A"/>
          <w:sz w:val="28"/>
          <w:szCs w:val="28"/>
        </w:rPr>
        <w:t xml:space="preserve">প্রশ্ন D-1 | Question D-1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Memorandum of Association (MOA) ও Articles of Association (AOA) এর মধ্যে পার্থক্য করুন। কোম্পানির ধরন কী কী?</w:t>
      </w:r>
    </w:p>
    <w:p>
      <w:pPr>
        <w:spacing w:before="0" w:after="100"/>
      </w:pPr>
      <w:r>
        <w:rPr>
          <w:rFonts w:ascii="Arial" w:cs="Arial" w:eastAsia="Arial" w:hAnsi="Arial"/>
          <w:i/>
          <w:iCs/>
          <w:color w:val="555555"/>
          <w:sz w:val="22"/>
          <w:szCs w:val="22"/>
        </w:rPr>
        <w:t xml:space="preserve">Distinguish MOA and AOA. What are the types of companies under Companies Act 1994?</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MOA ও AOA-এর সংজ্ঞা, বিষয়বস্তু ও পার্থক্য বর্ণনা করুন। [১০]</w:t>
      </w:r>
    </w:p>
    <w:p>
      <w:pPr>
        <w:spacing w:before="0" w:after="80"/>
      </w:pPr>
      <w:r>
        <w:rPr>
          <w:rFonts w:ascii="Arial" w:cs="Arial" w:eastAsia="Arial" w:hAnsi="Arial"/>
          <w:i/>
          <w:iCs/>
          <w:color w:val="555555"/>
          <w:sz w:val="21"/>
          <w:szCs w:val="21"/>
        </w:rPr>
        <w:t xml:space="preserve">Define MOA and AOA, their contents and differences.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Companies Act 1994 — Section 5 (MOA), Section 17 (AOA), Ultra Vires Doctrine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বিষয়</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MOA (মেমোরান্ডাম)</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AOA (আর্টিকেলস)</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সংজ্ঞা</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কোম্পানির সংবিধান — মূল লক্ষ্য ও সীমানা</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কোম্পানির পরিচালনা বিধিমালা</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বিষয়বস্তু</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নাম, নিবন্ধিত অফিস, উদ্দেশ্য, দায়, মূলধন</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পরিচালক নির্বাচন, সভা, ভোট, শেয়ার হস্তান্তর</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সম্পর্ক</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বাইরের জগতের সাথে সম্পর্ক নির্ধারণ</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ভেতরের পরিচালনা নির্ধারণ</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Ultra Vires</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MOA-এর বাইরে কাজ = বাতিল</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MOA-এর সীমার মধ্যে থাকতে হবে</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পরিবর্তন</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কঠিন — বিশেষ প্রস্তাব ও কোর্ট</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তুলনামূলক সহজ</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আইনি ধারা</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Companies Act 1994, Sec 5</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Companies Act 1994, Sec 17</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Public Limited ও Private Limited Company-এর পার্থক্য কী? কোম্পানির পরিচালক কখন অযোগ্য? [১০]</w:t>
      </w:r>
    </w:p>
    <w:p>
      <w:pPr>
        <w:spacing w:before="0" w:after="80"/>
      </w:pPr>
      <w:r>
        <w:rPr>
          <w:rFonts w:ascii="Arial" w:cs="Arial" w:eastAsia="Arial" w:hAnsi="Arial"/>
          <w:i/>
          <w:iCs/>
          <w:color w:val="555555"/>
          <w:sz w:val="21"/>
          <w:szCs w:val="21"/>
        </w:rPr>
        <w:t xml:space="preserve">Distinguish Public and Private Limited Company. When is a director disqualified? [10]</w:t>
      </w:r>
    </w:p>
    <w:p>
      <w:pPr>
        <w:shd w:fill="FFF8E1" w:val="clear"/>
        <w:spacing w:before="100" w:after="100"/>
        <w:jc w:val="center"/>
      </w:pPr>
      <w:r>
        <w:rPr>
          <w:rFonts w:ascii="Arial" w:cs="Arial" w:eastAsia="Arial" w:hAnsi="Arial"/>
          <w:b/>
          <w:bCs/>
          <w:color w:val="8B1A1A"/>
          <w:sz w:val="24"/>
          <w:szCs w:val="24"/>
        </w:rPr>
        <w:t xml:space="preserve">★ উত্তর ★ | ★ Answer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পার্থক্য (বাংলা)</w:t>
            </w:r>
          </w:p>
        </w:tc>
        <w:tc>
          <w:tcPr>
            <w:tcW w:type="dxa" w:w="46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Difference (English)</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সদস্য সংখ্যা: Private সর্বোচ্চ ৫০, Public সর্বোচ্চ নেই</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Members: Private max 50, Public unlimited</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Private = শেয়ার হস্তান্তরে বাধা আছে</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Private: Restriction on share transfer</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Public = শেয়ার স্টক এক্সচেঞ্জে তালিকাভুক্ত হতে পারে</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Public: Shares can be listed on stock exchange</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Private = সর্বনিম্ন ২ পরিচালক | Public = সর্বনিম্ন ৩</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Private: Min 2 directors | Public: Min 3 directors</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পরিচালক অযোগ্যতা: দেউলিয়া, অপ্রকৃতস্থ, ২ বছরের বেশি কারাদণ্ড, নাবালক</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Director disqualification: Bankrupt, unsound mind, 2yr+ convicted, minor</w:t>
            </w:r>
          </w:p>
        </w:tc>
      </w:tr>
    </w:tbl>
    <w:p>
      <w:pPr>
        <w:pBdr>
          <w:bottom w:val="single" w:color="C8860A" w:sz="6" w:space="1"/>
        </w:pBdr>
        <w:spacing w:before="120" w:after="120"/>
      </w:pPr>
    </w:p>
    <w:p>
      <w:pPr>
        <w:spacing w:before="280" w:after="0"/>
      </w:pPr>
      <w:r>
        <w:rPr>
          <w:rFonts w:ascii="Arial" w:cs="Arial" w:eastAsia="Arial" w:hAnsi="Arial"/>
          <w:b/>
          <w:bCs/>
          <w:color w:val="8B1A1A"/>
          <w:sz w:val="28"/>
          <w:szCs w:val="28"/>
        </w:rPr>
        <w:t xml:space="preserve">প্রশ্ন D-2 | Question D-2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গ্যারান্টি চুক্তির সাথে ইনডেমনিটি চুক্তির পার্থক্য করুন। বেইলমেন্ট, প্লেজ ও হাইপোথেকেশন-এর মধ্যে পার্থক্য কী?</w:t>
      </w:r>
    </w:p>
    <w:p>
      <w:pPr>
        <w:spacing w:before="0" w:after="100"/>
      </w:pPr>
      <w:r>
        <w:rPr>
          <w:rFonts w:ascii="Arial" w:cs="Arial" w:eastAsia="Arial" w:hAnsi="Arial"/>
          <w:i/>
          <w:iCs/>
          <w:color w:val="555555"/>
          <w:sz w:val="22"/>
          <w:szCs w:val="22"/>
        </w:rPr>
        <w:t xml:space="preserve">Distinguish Guarantee and Indemnity. What are differences between Bailment, Pledge and Hypothecation?</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গ্যারান্টি ও ইনডেমনিটি চুক্তির সংজ্ঞা ও পার্থক্য বর্ণনা করুন। [১০]</w:t>
      </w:r>
    </w:p>
    <w:p>
      <w:pPr>
        <w:spacing w:before="0" w:after="80"/>
      </w:pPr>
      <w:r>
        <w:rPr>
          <w:rFonts w:ascii="Arial" w:cs="Arial" w:eastAsia="Arial" w:hAnsi="Arial"/>
          <w:i/>
          <w:iCs/>
          <w:color w:val="555555"/>
          <w:sz w:val="21"/>
          <w:szCs w:val="21"/>
        </w:rPr>
        <w:t xml:space="preserve">Define and distinguish Guarantee and Indemnity contracts.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Contract Act 1872 — Sec 124 (Indemnity), Sec 126 (Guarantee), Sec 128 (Liability)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বিষয়</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গ্যারান্টি (Guarantee) — Sec 126</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ইনডেমনিটি (Indemnity) — Sec 124</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সংজ্ঞা</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তৃতীয় পক্ষের দায় পরিশোধের প্রতিশ্রুতি</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ক্ষতি থেকে রক্ষার প্রতিশ্রুতি</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পক্ষের সংখ্যা</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৩ পক্ষ: Surety, Principal Debtor, Creditor</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২ পক্ষ: Indemnifier, Indemnified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দায়ের প্রকৃতি</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গৌণ দায় (Secondary)</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প্রধান দায় (Primary)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ঝুঁকির প্রকৃতি</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বিদ্যমান ঝুঁকি (Subsisting)</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ভবিষ্যৎ আকস্মিক ঝুঁকি (Contingent)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ব্যাংকিং উদাহরণ</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ঋণের জন্য তৃতীয় পক্ষের গ্যারান্টি</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হারানো FDR-এর Indemnity Bond</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Bailment, Pledge ও Hypothecation-এর সংজ্ঞা ও পার্থক্য বর্ণনা করুন। [১০]</w:t>
      </w:r>
    </w:p>
    <w:p>
      <w:pPr>
        <w:spacing w:before="0" w:after="80"/>
      </w:pPr>
      <w:r>
        <w:rPr>
          <w:rFonts w:ascii="Arial" w:cs="Arial" w:eastAsia="Arial" w:hAnsi="Arial"/>
          <w:i/>
          <w:iCs/>
          <w:color w:val="555555"/>
          <w:sz w:val="21"/>
          <w:szCs w:val="21"/>
        </w:rPr>
        <w:t xml:space="preserve">Define and distinguish Bailment, Pledge and Hypothecation.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Contract Act 1872 — Sec 148 (Bailment), Sec 172 (Pledge); Banking Practice (Hypothecation)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80"/>
        <w:gridCol w:w="2680"/>
        <w:gridCol w:w="2700"/>
      </w:tblGrid>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বিষয়</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Bailment (Sec 148)</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Pledge (Sec 172)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Hypothecation</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সংজ্ঞা</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নির্দিষ্ট উদ্দেশ্যে পণ্য সাময়িক হস্তান্তর</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ঋণের বিপরীতে নিরাপত্তায় পণ্যের দখল হস্তান্তর</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ঋণের বিপরীতে নিরাপত্তা কিন্তু দখল গ্রাহকের কাছে</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দখল</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Bailor → Bailee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Pledgor → Pledgee (ব্যাংক)</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গ্রাহকের কাছে থাকে</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ব্যাংক ঝুঁকি</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কম</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কম (দখলে আছে)</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বেশি (দখলে নেই)</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উদাহরণ</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Safe custody, Locker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গোল্ড লোন, সিকিউরিটি</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Cash Credit (CC) স্টক</w:t>
            </w:r>
          </w:p>
        </w:tc>
      </w:tr>
    </w:tbl>
    <w:p>
      <w:pPr>
        <w:pBdr>
          <w:bottom w:val="single" w:color="C8860A" w:sz="6" w:space="1"/>
        </w:pBdr>
        <w:spacing w:before="120" w:after="120"/>
      </w:pPr>
    </w:p>
    <w:p>
      <w:pPr>
        <w:spacing w:before="280" w:after="0"/>
      </w:pPr>
      <w:r>
        <w:rPr>
          <w:rFonts w:ascii="Arial" w:cs="Arial" w:eastAsia="Arial" w:hAnsi="Arial"/>
          <w:b/>
          <w:bCs/>
          <w:color w:val="8B1A1A"/>
          <w:sz w:val="28"/>
          <w:szCs w:val="28"/>
        </w:rPr>
        <w:t xml:space="preserve">প্রশ্ন D-3 | Question D-3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অংশীদারিত্ব আইন, ১৯৩২ অনুযায়ী অংশীদারিত্বের সংজ্ঞা ও বৈশিষ্ট্য কী? ব্যাংকে অংশীদারি ফার্মের হিসাব খোলায় কী সতর্কতা দরকার?</w:t>
      </w:r>
    </w:p>
    <w:p>
      <w:pPr>
        <w:spacing w:before="0" w:after="100"/>
      </w:pPr>
      <w:r>
        <w:rPr>
          <w:rFonts w:ascii="Arial" w:cs="Arial" w:eastAsia="Arial" w:hAnsi="Arial"/>
          <w:i/>
          <w:iCs/>
          <w:color w:val="555555"/>
          <w:sz w:val="22"/>
          <w:szCs w:val="22"/>
        </w:rPr>
        <w:t xml:space="preserve">Define and describe characteristics of partnership under Partnership Act 1932. What precautions are needed for opening partnership firm account?</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অংশীদারিত্বের সংজ্ঞা, প্রকার ও বৈশিষ্ট্য বর্ণনা করুন। [১০]</w:t>
      </w:r>
    </w:p>
    <w:p>
      <w:pPr>
        <w:spacing w:before="0" w:after="80"/>
      </w:pPr>
      <w:r>
        <w:rPr>
          <w:rFonts w:ascii="Arial" w:cs="Arial" w:eastAsia="Arial" w:hAnsi="Arial"/>
          <w:i/>
          <w:iCs/>
          <w:color w:val="555555"/>
          <w:sz w:val="21"/>
          <w:szCs w:val="21"/>
        </w:rPr>
        <w:t xml:space="preserve">Define partnership, its types and characteristics.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Partnership Act 1932 — Section 4 (Definition), Section 7 (Partnership at Will)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860A" w:sz="1"/>
              <w:left w:val="single" w:color="C8860A" w:sz="1"/>
              <w:bottom w:val="single" w:color="C8860A" w:sz="1"/>
              <w:right w:val="single" w:color="C8860A" w:sz="1"/>
            </w:tcBorders>
            <w:shd w:fill="FFF8E1" w:val="clear"/>
            <w:tcMar>
              <w:top w:type="dxa" w:w="120"/>
              <w:left w:type="dxa" w:w="180"/>
              <w:bottom w:type="dxa" w:w="120"/>
              <w:right w:type="dxa" w:w="180"/>
            </w:tcMar>
          </w:tcPr>
          <w:p>
            <w:pPr>
              <w:spacing w:before="60" w:after="40"/>
            </w:pPr>
            <w:r>
              <w:rPr>
                <w:rFonts w:ascii="Arial" w:cs="Arial" w:eastAsia="Arial" w:hAnsi="Arial"/>
                <w:b/>
                <w:bCs/>
                <w:caps/>
                <w:color w:val="C8860A"/>
                <w:sz w:val="22"/>
                <w:szCs w:val="22"/>
              </w:rPr>
              <w:t xml:space="preserve">📖 অংশীদারিত্বের সংজ্ঞা — Section 4</w:t>
            </w:r>
          </w:p>
          <w:p>
            <w:pPr>
              <w:spacing w:before="0" w:after="40"/>
            </w:pPr>
            <w:r>
              <w:rPr>
                <w:rFonts w:ascii="Arial" w:cs="Arial" w:eastAsia="Arial" w:hAnsi="Arial"/>
                <w:color w:val="1A3A6B"/>
                <w:sz w:val="23"/>
                <w:szCs w:val="23"/>
              </w:rPr>
              <w:t xml:space="preserve">অংশীদারিত্ব হলো সেই সম্পর্ক যেখানে ব্যক্তিরা একটি ব্যবসার মুনাফা ভাগ করে নেওয়ার চুক্তিতে এসেছেন যা তাদের সকলের পক্ষে বা যেকোনো একজনের দ্বারা পরিচালিত।</w:t>
            </w:r>
          </w:p>
          <w:p>
            <w:pPr>
              <w:spacing w:before="0" w:after="60"/>
            </w:pPr>
            <w:r>
              <w:rPr>
                <w:rFonts w:ascii="Arial" w:cs="Arial" w:eastAsia="Arial" w:hAnsi="Arial"/>
                <w:i/>
                <w:iCs/>
                <w:color w:val="444444"/>
                <w:sz w:val="22"/>
                <w:szCs w:val="22"/>
              </w:rPr>
              <w:t xml:space="preserve">→ 'Partnership is the relation between persons who have agreed to share the profits of a business carried on by all or any of them acting for all.' — Section 4</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অংশীদারি ফার্মের ব্যাংক হিসাব পরিচালনায় বিশেষ নিয়ম ও সতর্কতা কী? [১০]</w:t>
      </w:r>
    </w:p>
    <w:p>
      <w:pPr>
        <w:spacing w:before="0" w:after="80"/>
      </w:pPr>
      <w:r>
        <w:rPr>
          <w:rFonts w:ascii="Arial" w:cs="Arial" w:eastAsia="Arial" w:hAnsi="Arial"/>
          <w:i/>
          <w:iCs/>
          <w:color w:val="555555"/>
          <w:sz w:val="21"/>
          <w:szCs w:val="21"/>
        </w:rPr>
        <w:t xml:space="preserve">What special rules and precautions apply to partnership firm bank account operations? [10]</w:t>
      </w:r>
    </w:p>
    <w:p>
      <w:pPr>
        <w:shd w:fill="FFF8E1" w:val="clear"/>
        <w:spacing w:before="100" w:after="100"/>
        <w:jc w:val="center"/>
      </w:pPr>
      <w:r>
        <w:rPr>
          <w:rFonts w:ascii="Arial" w:cs="Arial" w:eastAsia="Arial" w:hAnsi="Arial"/>
          <w:b/>
          <w:bCs/>
          <w:color w:val="8B1A1A"/>
          <w:sz w:val="24"/>
          <w:szCs w:val="24"/>
        </w:rPr>
        <w:t xml:space="preserve">★ উত্তর ★ | ★ Answer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সতর্কতা (বাংলা)</w:t>
            </w:r>
          </w:p>
        </w:tc>
        <w:tc>
          <w:tcPr>
            <w:tcW w:type="dxa" w:w="46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Precaution (English)</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Partnership Deed (নিবন্ধিত হলে ভালো) জমা দিতে হবে</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Submit Partnership Deed (registered preferred)</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সকল অংশীদারের NID ও ছবি</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NID and photos of all partners</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অনুমোদিত অংশীদারদের নমুনা স্বাক্ষর কার্ড</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Specimen signature cards of authorized partners</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একজন অংশীদারের মৃত্যু হলে তাৎক্ষণিক লেনদেন বন্ধ</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Death of one partner — stop transactions immediately</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Partnership at Will — যেকোনো সময় বিলুপ্ত হতে পারে</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Partnership at Will — can dissolve at any time</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অংশীদারিত্ব বাতিল হলে আদালতের নির্দেশনা মেনে চলুন</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On dissolution — follow court direction</w:t>
            </w:r>
          </w:p>
        </w:tc>
      </w:tr>
    </w:tbl>
    <w:p>
      <w:r>
        <w:br w:type="page"/>
      </w:r>
    </w:p>
    <w:p>
      <w:pPr>
        <w:spacing w:before="300" w:after="0"/>
      </w:pPr>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B3E" w:sz="1"/>
              <w:left w:val="single" w:color="0D1B3E" w:sz="1"/>
              <w:bottom w:val="single" w:color="0D1B3E" w:sz="1"/>
              <w:right w:val="single" w:color="0D1B3E" w:sz="1"/>
            </w:tcBorders>
            <w:shd w:fill="0D1B3E" w:val="clear"/>
            <w:tcMar>
              <w:top w:type="dxa" w:w="160"/>
              <w:left w:type="dxa" w:w="220"/>
              <w:bottom w:type="dxa" w:w="160"/>
              <w:right w:type="dxa" w:w="220"/>
            </w:tcMar>
          </w:tcPr>
          <w:p>
            <w:pPr>
              <w:spacing w:before="0" w:after="40"/>
            </w:pPr>
            <w:r>
              <w:rPr>
                <w:rFonts w:ascii="Arial" w:cs="Arial" w:eastAsia="Arial" w:hAnsi="Arial"/>
                <w:b/>
                <w:bCs/>
                <w:caps/>
                <w:color w:val="C8860A"/>
                <w:sz w:val="22"/>
                <w:szCs w:val="22"/>
              </w:rPr>
              <w:t xml:space="preserve">MODULE E</w:t>
            </w:r>
            <w:r>
              <w:rPr>
                <w:rFonts w:ascii="Arial" w:cs="Arial" w:eastAsia="Arial" w:hAnsi="Arial"/>
                <w:color w:val="AAAAAA"/>
                <w:sz w:val="22"/>
                <w:szCs w:val="22"/>
              </w:rPr>
              <w:t xml:space="preserve"> — </w:t>
            </w:r>
            <w:r>
              <w:rPr>
                <w:rFonts w:ascii="Arial" w:cs="Arial" w:eastAsia="Arial" w:hAnsi="Arial"/>
                <w:color w:val="CCCCCC"/>
                <w:sz w:val="22"/>
                <w:szCs w:val="22"/>
              </w:rPr>
              <w:t xml:space="preserve">TPA 1882 • Registration Act 1908 • Bankruptcy Act 1997 • Stamp Act</w:t>
            </w:r>
          </w:p>
          <w:p>
            <w:pPr>
              <w:spacing w:before="0" w:after="0"/>
            </w:pPr>
            <w:r>
              <w:rPr>
                <w:rFonts w:ascii="Arial" w:cs="Arial" w:eastAsia="Arial" w:hAnsi="Arial"/>
                <w:b/>
                <w:bCs/>
                <w:color w:val="FFFFFF"/>
                <w:sz w:val="34"/>
                <w:szCs w:val="34"/>
              </w:rPr>
              <w:t xml:space="preserve">Property Related Laws</w:t>
            </w:r>
          </w:p>
        </w:tc>
      </w:tr>
    </w:tbl>
    <w:p>
      <w:pPr>
        <w:spacing w:before="60" w:after="60" w:line="276"/>
        <w:jc w:val="left"/>
      </w:pPr>
      <w:r>
        <w:rPr>
          <w:rFonts w:ascii="Arial" w:cs="Arial" w:eastAsia="Arial" w:hAnsi="Arial"/>
          <w:b w:val="false"/>
          <w:bCs w:val="false"/>
          <w:i w:val="false"/>
          <w:iCs w:val="false"/>
          <w:color w:val="000000"/>
          <w:sz w:val="24"/>
          <w:szCs w:val="24"/>
        </w:rPr>
        <w:t xml:space="preserve"> </w:t>
      </w:r>
    </w:p>
    <w:p>
      <w:pPr>
        <w:spacing w:before="280" w:after="0"/>
      </w:pPr>
      <w:r>
        <w:rPr>
          <w:rFonts w:ascii="Arial" w:cs="Arial" w:eastAsia="Arial" w:hAnsi="Arial"/>
          <w:b/>
          <w:bCs/>
          <w:color w:val="8B1A1A"/>
          <w:sz w:val="28"/>
          <w:szCs w:val="28"/>
        </w:rPr>
        <w:t xml:space="preserve">প্রশ্ন E-1 | Question E-1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নিবন্ধন আইন, ১৯০৮ অনুযায়ী 'নিবন্ধন'-এর সংজ্ঞা দিন। বাধ্যতামূলকভাবে নিবন্ধনযোগ্য দলিল নিবন্ধিত না হলে অস্থাবর সম্পত্তির ক্ষেত্রে আইনি পরিণতি কী?</w:t>
      </w:r>
    </w:p>
    <w:p>
      <w:pPr>
        <w:spacing w:before="0" w:after="100"/>
      </w:pPr>
      <w:r>
        <w:rPr>
          <w:rFonts w:ascii="Arial" w:cs="Arial" w:eastAsia="Arial" w:hAnsi="Arial"/>
          <w:i/>
          <w:iCs/>
          <w:color w:val="555555"/>
          <w:sz w:val="22"/>
          <w:szCs w:val="22"/>
        </w:rPr>
        <w:t xml:space="preserve">Define 'registration' under Registration Act 1908. Legal consequences if compulsorily registrable document not registered for immovable property?</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নিবন্ধনের সংজ্ঞা ও বাধ্যতামূলক নিবন্ধনযোগ্য দলিলের তালিকা দিন। [১০]</w:t>
      </w:r>
    </w:p>
    <w:p>
      <w:pPr>
        <w:spacing w:before="0" w:after="80"/>
      </w:pPr>
      <w:r>
        <w:rPr>
          <w:rFonts w:ascii="Arial" w:cs="Arial" w:eastAsia="Arial" w:hAnsi="Arial"/>
          <w:i/>
          <w:iCs/>
          <w:color w:val="555555"/>
          <w:sz w:val="21"/>
          <w:szCs w:val="21"/>
        </w:rPr>
        <w:t xml:space="preserve">Define registration and list compulsorily registrable documents.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Registration Act 1908 — Sec 2(7) (Definition), Sec 17 (Compulsory), Sec 49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1"/>
              <w:left w:val="single" w:color="1A3A6B" w:sz="1"/>
              <w:bottom w:val="single" w:color="1A3A6B" w:sz="1"/>
              <w:right w:val="single" w:color="1A3A6B" w:sz="1"/>
            </w:tcBorders>
            <w:shd w:fill="EEF2FF" w:val="clear"/>
            <w:tcMar>
              <w:top w:type="dxa" w:w="120"/>
              <w:left w:type="dxa" w:w="180"/>
              <w:bottom w:type="dxa" w:w="120"/>
              <w:right w:type="dxa" w:w="180"/>
            </w:tcMar>
          </w:tcPr>
          <w:p>
            <w:pPr>
              <w:spacing w:before="60" w:after="40"/>
            </w:pPr>
            <w:r>
              <w:rPr>
                <w:rFonts w:ascii="Arial" w:cs="Arial" w:eastAsia="Arial" w:hAnsi="Arial"/>
                <w:b/>
                <w:bCs/>
                <w:caps/>
                <w:color w:val="1A3A6B"/>
                <w:sz w:val="22"/>
                <w:szCs w:val="22"/>
              </w:rPr>
              <w:t xml:space="preserve">📖 নিবন্ধনের সংজ্ঞা — Section 2(7)</w:t>
            </w:r>
          </w:p>
          <w:p>
            <w:pPr>
              <w:spacing w:before="0" w:after="40"/>
            </w:pPr>
            <w:r>
              <w:rPr>
                <w:rFonts w:ascii="Arial" w:cs="Arial" w:eastAsia="Arial" w:hAnsi="Arial"/>
                <w:color w:val="1A3A6B"/>
                <w:sz w:val="23"/>
                <w:szCs w:val="23"/>
              </w:rPr>
              <w:t xml:space="preserve">নিবন্ধন মানে দলিলের অনুলিপি সংশ্লিষ্ট কর্তৃপক্ষের রেজিস্টার বইতে নথিভুক্ত করা।</w:t>
            </w:r>
          </w:p>
          <w:p>
            <w:pPr>
              <w:spacing w:before="0" w:after="60"/>
            </w:pPr>
            <w:r>
              <w:rPr>
                <w:rFonts w:ascii="Arial" w:cs="Arial" w:eastAsia="Arial" w:hAnsi="Arial"/>
                <w:i/>
                <w:iCs/>
                <w:color w:val="444444"/>
                <w:sz w:val="22"/>
                <w:szCs w:val="22"/>
              </w:rPr>
              <w:t xml:space="preserve">→ Registration means entering a transcript/copy of document in the register book of relevant authority.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বাধ্যতামূলক নিবন্ধনযোগ্য দলিল (বাংলা)</w:t>
            </w:r>
          </w:p>
        </w:tc>
        <w:tc>
          <w:tcPr>
            <w:tcW w:type="dxa" w:w="46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Compulsorily Registrable Document (English)</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বিক্রয় দলিল (Sale Deed) — অস্থাবর সম্পত্তি হস্তান্তরে</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Sale Deed — for transfer of immovable property</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হেবা দলিল (Gift Deed) — মূল্য ১০০ টাকার বেশি</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Gift Deed — if value exceeds Tk. 100</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বন্ধক দলিল (Mortgage Deed) — ঋণের জন্য</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Mortgage Deed — for loan against property</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ইজারা দলিল (Lease Deed) — এক বছরের বেশি</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Lease Deed — for period exceeding one year</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বিক্রয় চুক্তি (Contract for Sale) — Sec 17A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Contract for Sale — must be written, executed &amp; registered</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আপোষনামা (Compromise Decree)</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Compromise Decree — settlement of cases</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নিবন্ধন না করলে আইনি পরিণতি কী? [Section 49 — Registration Act 1908] [১০]</w:t>
      </w:r>
    </w:p>
    <w:p>
      <w:pPr>
        <w:spacing w:before="0" w:after="80"/>
      </w:pPr>
      <w:r>
        <w:rPr>
          <w:rFonts w:ascii="Arial" w:cs="Arial" w:eastAsia="Arial" w:hAnsi="Arial"/>
          <w:i/>
          <w:iCs/>
          <w:color w:val="555555"/>
          <w:sz w:val="21"/>
          <w:szCs w:val="21"/>
        </w:rPr>
        <w:t xml:space="preserve">Legal consequences of non-registration? [Section 49 — Registration Act 1908] [10]</w:t>
      </w:r>
    </w:p>
    <w:p>
      <w:pPr>
        <w:shd w:fill="FFF8E1" w:val="clear"/>
        <w:spacing w:before="100" w:after="100"/>
        <w:jc w:val="center"/>
      </w:pPr>
      <w:r>
        <w:rPr>
          <w:rFonts w:ascii="Arial" w:cs="Arial" w:eastAsia="Arial" w:hAnsi="Arial"/>
          <w:b/>
          <w:bCs/>
          <w:color w:val="8B1A1A"/>
          <w:sz w:val="24"/>
          <w:szCs w:val="24"/>
        </w:rPr>
        <w:t xml:space="preserve">★ উত্তর ★ | ★ Answer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পরিণতি (বাংলা)</w:t>
            </w:r>
          </w:p>
        </w:tc>
        <w:tc>
          <w:tcPr>
            <w:tcW w:type="dxa" w:w="46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Consequence (English)</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দলিল কোনো আইনি কার্যকারিতা পাবে না</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Document has no legal effect whatsoever</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অস্থাবর সম্পত্তির মালিকানা হস্তান্তর হবে না</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Title to immovable property does NOT transfer</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আদালতে প্রমাণ হিসেবে গ্রহণযোগ্য হবে না</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Cannot be admitted as evidence in court</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দ্বিতীয় ক্রেতা নিবন্ধন করলে তার অধিকার প্রতিষ্ঠিত</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Second buyer who registers establishes rights</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ব্যাংক ঋণের জামানত হিসেবে ব্যবহার কঠিন</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Difficult to use as bank loan collateral</w:t>
            </w:r>
          </w:p>
        </w:tc>
      </w:tr>
    </w:tbl>
    <w:p>
      <w:pPr>
        <w:pBdr>
          <w:bottom w:val="single" w:color="C8860A" w:sz="6" w:space="1"/>
        </w:pBdr>
        <w:spacing w:before="120" w:after="120"/>
      </w:pPr>
    </w:p>
    <w:p>
      <w:pPr>
        <w:spacing w:before="280" w:after="0"/>
      </w:pPr>
      <w:r>
        <w:rPr>
          <w:rFonts w:ascii="Arial" w:cs="Arial" w:eastAsia="Arial" w:hAnsi="Arial"/>
          <w:b/>
          <w:bCs/>
          <w:color w:val="8B1A1A"/>
          <w:sz w:val="28"/>
          <w:szCs w:val="28"/>
        </w:rPr>
        <w:t xml:space="preserve">প্রশ্ন E-2 | Question E-2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হেবা (উপহার) কী? সম্পত্তি হস্তান্তর আইন, ১৮৮২ অনুযায়ী বৈধ হেবার অপরিহার্য উপাদান কী?</w:t>
      </w:r>
    </w:p>
    <w:p>
      <w:pPr>
        <w:spacing w:before="0" w:after="100"/>
      </w:pPr>
      <w:r>
        <w:rPr>
          <w:rFonts w:ascii="Arial" w:cs="Arial" w:eastAsia="Arial" w:hAnsi="Arial"/>
          <w:i/>
          <w:iCs/>
          <w:color w:val="555555"/>
          <w:sz w:val="22"/>
          <w:szCs w:val="22"/>
        </w:rPr>
        <w:t xml:space="preserve">Define gift (Heba). What are the essential elements of a valid gift under Transfer of Property Act, 1882?</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হেবার সংজ্ঞা ও বৈধ হেবার অপরিহার্য উপাদান বর্ণনা করুন। [১০]</w:t>
      </w:r>
    </w:p>
    <w:p>
      <w:pPr>
        <w:spacing w:before="0" w:after="80"/>
      </w:pPr>
      <w:r>
        <w:rPr>
          <w:rFonts w:ascii="Arial" w:cs="Arial" w:eastAsia="Arial" w:hAnsi="Arial"/>
          <w:i/>
          <w:iCs/>
          <w:color w:val="555555"/>
          <w:sz w:val="21"/>
          <w:szCs w:val="21"/>
        </w:rPr>
        <w:t xml:space="preserve">Define gift and describe essential elements of a valid gift.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TPA 1882 — Sections 122 (Gift), 123 (Transfer), 124, 126 (Revocation), 127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E30" w:sz="1"/>
              <w:left w:val="single" w:color="1A5E30" w:sz="1"/>
              <w:bottom w:val="single" w:color="1A5E30" w:sz="1"/>
              <w:right w:val="single" w:color="1A5E30" w:sz="1"/>
            </w:tcBorders>
            <w:shd w:fill="E8F5E9" w:val="clear"/>
            <w:tcMar>
              <w:top w:type="dxa" w:w="120"/>
              <w:left w:type="dxa" w:w="180"/>
              <w:bottom w:type="dxa" w:w="120"/>
              <w:right w:type="dxa" w:w="180"/>
            </w:tcMar>
          </w:tcPr>
          <w:p>
            <w:pPr>
              <w:spacing w:before="60" w:after="40"/>
            </w:pPr>
            <w:r>
              <w:rPr>
                <w:rFonts w:ascii="Arial" w:cs="Arial" w:eastAsia="Arial" w:hAnsi="Arial"/>
                <w:b/>
                <w:bCs/>
                <w:caps/>
                <w:color w:val="1A5E30"/>
                <w:sz w:val="22"/>
                <w:szCs w:val="22"/>
              </w:rPr>
              <w:t xml:space="preserve">📖 হেবার সংজ্ঞা — Section 122</w:t>
            </w:r>
          </w:p>
          <w:p>
            <w:pPr>
              <w:spacing w:before="0" w:after="40"/>
            </w:pPr>
            <w:r>
              <w:rPr>
                <w:rFonts w:ascii="Arial" w:cs="Arial" w:eastAsia="Arial" w:hAnsi="Arial"/>
                <w:color w:val="1A3A6B"/>
                <w:sz w:val="23"/>
                <w:szCs w:val="23"/>
              </w:rPr>
              <w:t xml:space="preserve">হেবা হলো কোনো বিদ্যমান সম্পত্তি বিনিময় ছাড়াই স্বেচ্ছায় অন্য ব্যক্তিকে দেওয়া। দাতা = Donor, গ্রহীতা = Donee।</w:t>
            </w:r>
          </w:p>
          <w:p>
            <w:pPr>
              <w:spacing w:before="0" w:after="60"/>
            </w:pPr>
            <w:r>
              <w:rPr>
                <w:rFonts w:ascii="Arial" w:cs="Arial" w:eastAsia="Arial" w:hAnsi="Arial"/>
                <w:i/>
                <w:iCs/>
                <w:color w:val="444444"/>
                <w:sz w:val="22"/>
                <w:szCs w:val="22"/>
              </w:rPr>
              <w:t xml:space="preserve">→ A gift is the voluntary transfer of existing property to another without any consideration. Giver = Donor; Receiver = Donee.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উপাদান (বাংলা)</w:t>
            </w:r>
          </w:p>
        </w:tc>
        <w:tc>
          <w:tcPr>
            <w:tcW w:type="dxa" w:w="46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Essential Element (English)</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১. দাতা (Donor) — সুস্থ মস্তিষ্কের প্রাপ্তবয়স্ক, স্বেচ্ছায়</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Donor — Major, sound mind, voluntary (Sec 122)</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২. গ্রহীতা (Donee) — যেকোনো ব্যক্তি, অপ্রাপ্তবয়স্কও</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Donee — Any person, even minor can be donee</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৩. বিদ্যমান সম্পত্তি — ভবিষ্যৎ সম্পত্তি হেবা অবৈধ</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Existing property only — future property gift is VOID</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৪. বিনিময়হীনতা — কোনো Consideration নেই</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No consideration — else becomes a sale</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৫. গ্রহণযোগ্যতা — দাতার জীবদ্দশায় গ্রহণ করতে হবে</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Acceptance during donor's lifetime (Sec 122)</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৬. মালিকানা হস্তান্তর — প্রকৃতপক্ষে হস্তান্তর হতে হবে</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Actual transfer of title (Sec 123)</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৭. নিবন্ধন — অস্থাবর সম্পত্তির হেবা বাধ্যতামূলক</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Registration — immovable property gift MUST be registered</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বিভিন্ন প্রকার বন্ধকের (Mortgage) সংজ্ঞা ও পার্থক্য করুন। [১০]</w:t>
      </w:r>
    </w:p>
    <w:p>
      <w:pPr>
        <w:spacing w:before="0" w:after="80"/>
      </w:pPr>
      <w:r>
        <w:rPr>
          <w:rFonts w:ascii="Arial" w:cs="Arial" w:eastAsia="Arial" w:hAnsi="Arial"/>
          <w:i/>
          <w:iCs/>
          <w:color w:val="555555"/>
          <w:sz w:val="21"/>
          <w:szCs w:val="21"/>
        </w:rPr>
        <w:t xml:space="preserve">Define and distinguish different types of mortgage.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TPA 1882 — Section 58 (Mortgage Definition and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বন্ধকের প্রকার</w:t>
            </w:r>
          </w:p>
        </w:tc>
        <w:tc>
          <w:tcPr>
            <w:tcW w:type="dxa" w:w="67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ব্যাখ্যা | Explanation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Simple Mortgage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দখল হস্তান্তর হয় না; ঋণ না দিলে বিক্রয়ের আদেশ | No possession; court order for sale on default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Mortgage by Conditional Sale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শর্তসাপেক্ষ বিক্রয় | Apparent sale with condition becoming absolute on default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Usufructuary Mortgage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দখল হস্তান্তর; ভোগ-দখল থেকে ঋণ পুনরুদ্ধার | Possession transferred; rents/profits applied to debt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English Mortgage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সম্পত্তি সরাসরি হস্তান্তর; নির্দিষ্ট সময়ে পরিশোধে ফেরত | Absolute transfer; retransfer on repayment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Equitable Mortgage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টাইটেল দলিল জমা | Deposit of title deeds — no registration needed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Anomalous Mortgage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উপরের কোনোটিতে পড়ে না — মিশ্র ধরনের | Does not fall under above types</w:t>
            </w:r>
          </w:p>
        </w:tc>
      </w:tr>
    </w:tbl>
    <w:p>
      <w:pPr>
        <w:pBdr>
          <w:bottom w:val="single" w:color="C8860A" w:sz="6" w:space="1"/>
        </w:pBdr>
        <w:spacing w:before="120" w:after="120"/>
      </w:pPr>
    </w:p>
    <w:p>
      <w:pPr>
        <w:spacing w:before="280" w:after="0"/>
      </w:pPr>
      <w:r>
        <w:rPr>
          <w:rFonts w:ascii="Arial" w:cs="Arial" w:eastAsia="Arial" w:hAnsi="Arial"/>
          <w:b/>
          <w:bCs/>
          <w:color w:val="8B1A1A"/>
          <w:sz w:val="28"/>
          <w:szCs w:val="28"/>
        </w:rPr>
        <w:t xml:space="preserve">প্রশ্ন E-3 | Question E-3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দেউলিয়া আইন, ১৯৯৭ অনুযায়ী পাওনাদার কীভাবে মামলা দায়ের করতে পারে? দেউলিয়া ঘোষণার পূর্বে দেনাদার প্রতারণামূলকভাবে সম্পত্তি হস্তান্তর করলে আইনি ব্যবস্থা কী?</w:t>
      </w:r>
    </w:p>
    <w:p>
      <w:pPr>
        <w:spacing w:before="0" w:after="100"/>
      </w:pPr>
      <w:r>
        <w:rPr>
          <w:rFonts w:ascii="Arial" w:cs="Arial" w:eastAsia="Arial" w:hAnsi="Arial"/>
          <w:i/>
          <w:iCs/>
          <w:color w:val="555555"/>
          <w:sz w:val="22"/>
          <w:szCs w:val="22"/>
        </w:rPr>
        <w:t xml:space="preserve">How can a creditor file a suit under Bankruptcy Act 1997? Legal measures if debtor fraudulently transfers property before bankruptcy declaration?</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পাওনাদারের মামলা দায়েরের পদ্ধতি ও শর্তসমূহ বর্ণনা করুন। [১০]</w:t>
      </w:r>
    </w:p>
    <w:p>
      <w:pPr>
        <w:spacing w:before="0" w:after="80"/>
      </w:pPr>
      <w:r>
        <w:rPr>
          <w:rFonts w:ascii="Arial" w:cs="Arial" w:eastAsia="Arial" w:hAnsi="Arial"/>
          <w:i/>
          <w:iCs/>
          <w:color w:val="555555"/>
          <w:sz w:val="21"/>
          <w:szCs w:val="21"/>
        </w:rPr>
        <w:t xml:space="preserve">Describe procedure and conditions for creditor to file suit.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Bankruptcy Act 1997 — Sections 9, 10, 12, 18, 31; TPA 1882, Sec 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3A6B" w:sz="1"/>
              <w:left w:val="single" w:color="1A3A6B" w:sz="1"/>
              <w:bottom w:val="single" w:color="1A3A6B" w:sz="1"/>
              <w:right w:val="single" w:color="1A3A6B"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১</w:t>
            </w:r>
          </w:p>
        </w:tc>
        <w:tc>
          <w:tcPr>
            <w:tcW w:type="dxa" w:w="8800"/>
            <w:tcBorders>
              <w:top w:val="single" w:color="D4C9A8" w:sz="1"/>
              <w:left w:val="single" w:color="D4C9A8" w:sz="1"/>
              <w:bottom w:val="single" w:color="D4C9A8" w:sz="1"/>
              <w:right w:val="single" w:color="D4C9A8" w:sz="1"/>
            </w:tcBorders>
            <w:shd w:fill="EEF2FF" w:val="clear"/>
            <w:tcMar>
              <w:top w:type="dxa" w:w="80"/>
              <w:left w:type="dxa" w:w="160"/>
              <w:bottom w:type="dxa" w:w="80"/>
              <w:right w:type="dxa" w:w="120"/>
            </w:tcMar>
          </w:tcPr>
          <w:p>
            <w:pPr>
              <w:spacing w:before="0" w:after="30"/>
            </w:pPr>
            <w:r>
              <w:rPr>
                <w:rFonts w:ascii="Arial" w:cs="Arial" w:eastAsia="Arial" w:hAnsi="Arial"/>
                <w:b/>
                <w:bCs/>
                <w:color w:val="1A3A6B"/>
                <w:sz w:val="23"/>
                <w:szCs w:val="23"/>
              </w:rPr>
              <w:t xml:space="preserve">শর্ত পূরণ: নূন্যতম ৫ লক্ষ টাকা ঋণ [Sec 9(1)]</w:t>
            </w:r>
          </w:p>
          <w:p>
            <w:pPr>
              <w:spacing w:before="0" w:after="0"/>
            </w:pPr>
            <w:r>
              <w:rPr>
                <w:rFonts w:ascii="Arial" w:cs="Arial" w:eastAsia="Arial" w:hAnsi="Arial"/>
                <w:i/>
                <w:iCs/>
                <w:color w:val="444444"/>
                <w:sz w:val="21"/>
                <w:szCs w:val="21"/>
              </w:rPr>
              <w:t xml:space="preserve">→ Condition: Minimum debt Tk. 5 lakh [Sec 9(1)]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3A6B" w:sz="1"/>
              <w:left w:val="single" w:color="1A3A6B" w:sz="1"/>
              <w:bottom w:val="single" w:color="1A3A6B" w:sz="1"/>
              <w:right w:val="single" w:color="1A3A6B"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২</w:t>
            </w:r>
          </w:p>
        </w:tc>
        <w:tc>
          <w:tcPr>
            <w:tcW w:type="dxa" w:w="8800"/>
            <w:tcBorders>
              <w:top w:val="single" w:color="D4C9A8" w:sz="1"/>
              <w:left w:val="single" w:color="D4C9A8" w:sz="1"/>
              <w:bottom w:val="single" w:color="D4C9A8" w:sz="1"/>
              <w:right w:val="single" w:color="D4C9A8" w:sz="1"/>
            </w:tcBorders>
            <w:shd w:fill="EEF2FF" w:val="clear"/>
            <w:tcMar>
              <w:top w:type="dxa" w:w="80"/>
              <w:left w:type="dxa" w:w="160"/>
              <w:bottom w:type="dxa" w:w="80"/>
              <w:right w:type="dxa" w:w="120"/>
            </w:tcMar>
          </w:tcPr>
          <w:p>
            <w:pPr>
              <w:spacing w:before="0" w:after="30"/>
            </w:pPr>
            <w:r>
              <w:rPr>
                <w:rFonts w:ascii="Arial" w:cs="Arial" w:eastAsia="Arial" w:hAnsi="Arial"/>
                <w:b/>
                <w:bCs/>
                <w:color w:val="1A3A6B"/>
                <w:sz w:val="23"/>
                <w:szCs w:val="23"/>
              </w:rPr>
              <w:t xml:space="preserve">দেউলিয়ার কার্যক্রমের প্রাথমিক প্রমাণ সহ আবেদন দাখিল</w:t>
            </w:r>
          </w:p>
          <w:p>
            <w:pPr>
              <w:spacing w:before="0" w:after="0"/>
            </w:pPr>
            <w:r>
              <w:rPr>
                <w:rFonts w:ascii="Arial" w:cs="Arial" w:eastAsia="Arial" w:hAnsi="Arial"/>
                <w:i/>
                <w:iCs/>
                <w:color w:val="444444"/>
                <w:sz w:val="21"/>
                <w:szCs w:val="21"/>
              </w:rPr>
              <w:t xml:space="preserve">→ File application with primary evidence of act of insolvency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3A6B" w:sz="1"/>
              <w:left w:val="single" w:color="1A3A6B" w:sz="1"/>
              <w:bottom w:val="single" w:color="1A3A6B" w:sz="1"/>
              <w:right w:val="single" w:color="1A3A6B"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৩</w:t>
            </w:r>
          </w:p>
        </w:tc>
        <w:tc>
          <w:tcPr>
            <w:tcW w:type="dxa" w:w="8800"/>
            <w:tcBorders>
              <w:top w:val="single" w:color="D4C9A8" w:sz="1"/>
              <w:left w:val="single" w:color="D4C9A8" w:sz="1"/>
              <w:bottom w:val="single" w:color="D4C9A8" w:sz="1"/>
              <w:right w:val="single" w:color="D4C9A8" w:sz="1"/>
            </w:tcBorders>
            <w:shd w:fill="EEF2FF" w:val="clear"/>
            <w:tcMar>
              <w:top w:type="dxa" w:w="80"/>
              <w:left w:type="dxa" w:w="160"/>
              <w:bottom w:type="dxa" w:w="80"/>
              <w:right w:type="dxa" w:w="120"/>
            </w:tcMar>
          </w:tcPr>
          <w:p>
            <w:pPr>
              <w:spacing w:before="0" w:after="30"/>
            </w:pPr>
            <w:r>
              <w:rPr>
                <w:rFonts w:ascii="Arial" w:cs="Arial" w:eastAsia="Arial" w:hAnsi="Arial"/>
                <w:b/>
                <w:bCs/>
                <w:color w:val="1A3A6B"/>
                <w:sz w:val="23"/>
                <w:szCs w:val="23"/>
              </w:rPr>
              <w:t xml:space="preserve">জেলা আদালতে (জেলা জজ) মামলা দায়ের</w:t>
            </w:r>
          </w:p>
          <w:p>
            <w:pPr>
              <w:spacing w:before="0" w:after="0"/>
            </w:pPr>
            <w:r>
              <w:rPr>
                <w:rFonts w:ascii="Arial" w:cs="Arial" w:eastAsia="Arial" w:hAnsi="Arial"/>
                <w:i/>
                <w:iCs/>
                <w:color w:val="444444"/>
                <w:sz w:val="21"/>
                <w:szCs w:val="21"/>
              </w:rPr>
              <w:t xml:space="preserve">→ File suit in District Court before District Judge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3A6B" w:sz="1"/>
              <w:left w:val="single" w:color="1A3A6B" w:sz="1"/>
              <w:bottom w:val="single" w:color="1A3A6B" w:sz="1"/>
              <w:right w:val="single" w:color="1A3A6B"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৪</w:t>
            </w:r>
          </w:p>
        </w:tc>
        <w:tc>
          <w:tcPr>
            <w:tcW w:type="dxa" w:w="8800"/>
            <w:tcBorders>
              <w:top w:val="single" w:color="D4C9A8" w:sz="1"/>
              <w:left w:val="single" w:color="D4C9A8" w:sz="1"/>
              <w:bottom w:val="single" w:color="D4C9A8" w:sz="1"/>
              <w:right w:val="single" w:color="D4C9A8" w:sz="1"/>
            </w:tcBorders>
            <w:shd w:fill="EEF2FF" w:val="clear"/>
            <w:tcMar>
              <w:top w:type="dxa" w:w="80"/>
              <w:left w:type="dxa" w:w="160"/>
              <w:bottom w:type="dxa" w:w="80"/>
              <w:right w:type="dxa" w:w="120"/>
            </w:tcMar>
          </w:tcPr>
          <w:p>
            <w:pPr>
              <w:spacing w:before="0" w:after="30"/>
            </w:pPr>
            <w:r>
              <w:rPr>
                <w:rFonts w:ascii="Arial" w:cs="Arial" w:eastAsia="Arial" w:hAnsi="Arial"/>
                <w:b/>
                <w:bCs/>
                <w:color w:val="1A3A6B"/>
                <w:sz w:val="23"/>
                <w:szCs w:val="23"/>
              </w:rPr>
              <w:t xml:space="preserve">আদালত নোটিশ জারি → শুনানি → সাক্ষ্য-প্রমাণ গ্রহণ</w:t>
            </w:r>
          </w:p>
          <w:p>
            <w:pPr>
              <w:spacing w:before="0" w:after="0"/>
            </w:pPr>
            <w:r>
              <w:rPr>
                <w:rFonts w:ascii="Arial" w:cs="Arial" w:eastAsia="Arial" w:hAnsi="Arial"/>
                <w:i/>
                <w:iCs/>
                <w:color w:val="444444"/>
                <w:sz w:val="21"/>
                <w:szCs w:val="21"/>
              </w:rPr>
              <w:t xml:space="preserve">→ Court issues notice → hearing → evidence examination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3A6B" w:sz="1"/>
              <w:left w:val="single" w:color="1A3A6B" w:sz="1"/>
              <w:bottom w:val="single" w:color="1A3A6B" w:sz="1"/>
              <w:right w:val="single" w:color="1A3A6B"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৫</w:t>
            </w:r>
          </w:p>
        </w:tc>
        <w:tc>
          <w:tcPr>
            <w:tcW w:type="dxa" w:w="8800"/>
            <w:tcBorders>
              <w:top w:val="single" w:color="D4C9A8" w:sz="1"/>
              <w:left w:val="single" w:color="D4C9A8" w:sz="1"/>
              <w:bottom w:val="single" w:color="D4C9A8" w:sz="1"/>
              <w:right w:val="single" w:color="D4C9A8" w:sz="1"/>
            </w:tcBorders>
            <w:shd w:fill="EEF2FF" w:val="clear"/>
            <w:tcMar>
              <w:top w:type="dxa" w:w="80"/>
              <w:left w:type="dxa" w:w="160"/>
              <w:bottom w:type="dxa" w:w="80"/>
              <w:right w:type="dxa" w:w="120"/>
            </w:tcMar>
          </w:tcPr>
          <w:p>
            <w:pPr>
              <w:spacing w:before="0" w:after="30"/>
            </w:pPr>
            <w:r>
              <w:rPr>
                <w:rFonts w:ascii="Arial" w:cs="Arial" w:eastAsia="Arial" w:hAnsi="Arial"/>
                <w:b/>
                <w:bCs/>
                <w:color w:val="1A3A6B"/>
                <w:sz w:val="23"/>
                <w:szCs w:val="23"/>
              </w:rPr>
              <w:t xml:space="preserve">দেউলিয়া ঘোষণা → Official Receiver নিয়োগ → সম্পত্তি বিক্রি</w:t>
            </w:r>
          </w:p>
          <w:p>
            <w:pPr>
              <w:spacing w:before="0" w:after="0"/>
            </w:pPr>
            <w:r>
              <w:rPr>
                <w:rFonts w:ascii="Arial" w:cs="Arial" w:eastAsia="Arial" w:hAnsi="Arial"/>
                <w:i/>
                <w:iCs/>
                <w:color w:val="444444"/>
                <w:sz w:val="21"/>
                <w:szCs w:val="21"/>
              </w:rPr>
              <w:t xml:space="preserve">→ Declaration → Receiver → Sale of property</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স্বেচ্ছায় দেউলিয়া ঘোষণার শর্ত ও প্রতারণামূলক হস্তান্তরের আইনি ব্যবস্থা কী? [১০]</w:t>
      </w:r>
    </w:p>
    <w:p>
      <w:pPr>
        <w:spacing w:before="0" w:after="80"/>
      </w:pPr>
      <w:r>
        <w:rPr>
          <w:rFonts w:ascii="Arial" w:cs="Arial" w:eastAsia="Arial" w:hAnsi="Arial"/>
          <w:i/>
          <w:iCs/>
          <w:color w:val="555555"/>
          <w:sz w:val="21"/>
          <w:szCs w:val="21"/>
        </w:rPr>
        <w:t xml:space="preserve">Conditions for voluntary bankruptcy and legal measures for fraudulent transfer? [10]</w:t>
      </w:r>
    </w:p>
    <w:p>
      <w:pPr>
        <w:shd w:fill="FFF8E1" w:val="clear"/>
        <w:spacing w:before="100" w:after="100"/>
        <w:jc w:val="center"/>
      </w:pPr>
      <w:r>
        <w:rPr>
          <w:rFonts w:ascii="Arial" w:cs="Arial" w:eastAsia="Arial" w:hAnsi="Arial"/>
          <w:b/>
          <w:bCs/>
          <w:color w:val="8B1A1A"/>
          <w:sz w:val="24"/>
          <w:szCs w:val="24"/>
        </w:rPr>
        <w:t xml:space="preserve">★ উত্তর ★ | ★ Answer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আইনি ব্যবস্থা (বাংলা)</w:t>
            </w:r>
          </w:p>
        </w:tc>
        <w:tc>
          <w:tcPr>
            <w:tcW w:type="dxa" w:w="46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Legal Measure (English)</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ব্যবস্থা ১: প্রতারণামূলক হস্তান্তর বাতিল করা [Sec 18]</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Cancel fraudulent transfer — Official Receiver can recover</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ব্যবস্থা ২: TPA 1882 ধারা ৫৩ প্রয়োগ</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Apply Sec 53 TPA 1882 — fraudulent transfer is voidable</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ব্যবস্থা ৩: Official Receiver নিয়োগ করে সম্পত্তি সংরক্ষণ</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Protect property by appointing Official Receiver</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ব্যবস্থা ৪: লুকানো সম্পত্তি তদন্তের আদেশ</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Court orders investigation to discover hidden property</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স্বেচ্ছায় দেউলিয়ার শর্ত: ঋণ &gt; সম্পত্তি; পরিশোধে সম্পূর্ণ অক্ষম</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Voluntary: Debt &gt; Assets; completely unable to repay</w:t>
            </w:r>
          </w:p>
        </w:tc>
      </w:tr>
    </w:tbl>
    <w:p>
      <w:r>
        <w:br w:type="page"/>
      </w:r>
    </w:p>
    <w:p>
      <w:pPr>
        <w:spacing w:before="300" w:after="0"/>
      </w:pPr>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B3E" w:sz="1"/>
              <w:left w:val="single" w:color="0D1B3E" w:sz="1"/>
              <w:bottom w:val="single" w:color="0D1B3E" w:sz="1"/>
              <w:right w:val="single" w:color="0D1B3E" w:sz="1"/>
            </w:tcBorders>
            <w:shd w:fill="0D1B3E" w:val="clear"/>
            <w:tcMar>
              <w:top w:type="dxa" w:w="160"/>
              <w:left w:type="dxa" w:w="220"/>
              <w:bottom w:type="dxa" w:w="160"/>
              <w:right w:type="dxa" w:w="220"/>
            </w:tcMar>
          </w:tcPr>
          <w:p>
            <w:pPr>
              <w:spacing w:before="0" w:after="40"/>
            </w:pPr>
            <w:r>
              <w:rPr>
                <w:rFonts w:ascii="Arial" w:cs="Arial" w:eastAsia="Arial" w:hAnsi="Arial"/>
                <w:b/>
                <w:bCs/>
                <w:caps/>
                <w:color w:val="C8860A"/>
                <w:sz w:val="22"/>
                <w:szCs w:val="22"/>
              </w:rPr>
              <w:t xml:space="preserve">MODULE F</w:t>
            </w:r>
            <w:r>
              <w:rPr>
                <w:rFonts w:ascii="Arial" w:cs="Arial" w:eastAsia="Arial" w:hAnsi="Arial"/>
                <w:color w:val="AAAAAA"/>
                <w:sz w:val="22"/>
                <w:szCs w:val="22"/>
              </w:rPr>
              <w:t xml:space="preserve"> — </w:t>
            </w:r>
            <w:r>
              <w:rPr>
                <w:rFonts w:ascii="Arial" w:cs="Arial" w:eastAsia="Arial" w:hAnsi="Arial"/>
                <w:color w:val="CCCCCC"/>
                <w:sz w:val="22"/>
                <w:szCs w:val="22"/>
              </w:rPr>
              <w:t xml:space="preserve">General Relationship • Special Relationship • Rights • Obligations • Termination</w:t>
            </w:r>
          </w:p>
          <w:p>
            <w:pPr>
              <w:spacing w:before="0" w:after="0"/>
            </w:pPr>
            <w:r>
              <w:rPr>
                <w:rFonts w:ascii="Arial" w:cs="Arial" w:eastAsia="Arial" w:hAnsi="Arial"/>
                <w:b/>
                <w:bCs/>
                <w:color w:val="FFFFFF"/>
                <w:sz w:val="34"/>
                <w:szCs w:val="34"/>
              </w:rPr>
              <w:t xml:space="preserve">Banker-Customer Relationship</w:t>
            </w:r>
          </w:p>
        </w:tc>
      </w:tr>
    </w:tbl>
    <w:p>
      <w:pPr>
        <w:spacing w:before="60" w:after="60" w:line="276"/>
        <w:jc w:val="left"/>
      </w:pPr>
      <w:r>
        <w:rPr>
          <w:rFonts w:ascii="Arial" w:cs="Arial" w:eastAsia="Arial" w:hAnsi="Arial"/>
          <w:b w:val="false"/>
          <w:bCs w:val="false"/>
          <w:i w:val="false"/>
          <w:iCs w:val="false"/>
          <w:color w:val="000000"/>
          <w:sz w:val="24"/>
          <w:szCs w:val="24"/>
        </w:rPr>
        <w:t xml:space="preserve"> </w:t>
      </w:r>
    </w:p>
    <w:p>
      <w:pPr>
        <w:spacing w:before="280" w:after="0"/>
      </w:pPr>
      <w:r>
        <w:rPr>
          <w:rFonts w:ascii="Arial" w:cs="Arial" w:eastAsia="Arial" w:hAnsi="Arial"/>
          <w:b/>
          <w:bCs/>
          <w:color w:val="8B1A1A"/>
          <w:sz w:val="28"/>
          <w:szCs w:val="28"/>
        </w:rPr>
        <w:t xml:space="preserve">প্রশ্ন F-1 | Question F-1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ব্যাংকার ও গ্রাহকের মধ্যে সাধারণ ও বিশেষ সম্পর্ক বর্ণনা করুন। কোন পরিস্থিতিতে ব্যাংকার গ্রাহকের হিসাবের গোপনীয়তা প্রকাশ করতে পারেন?</w:t>
      </w:r>
    </w:p>
    <w:p>
      <w:pPr>
        <w:spacing w:before="0" w:after="100"/>
      </w:pPr>
      <w:r>
        <w:rPr>
          <w:rFonts w:ascii="Arial" w:cs="Arial" w:eastAsia="Arial" w:hAnsi="Arial"/>
          <w:i/>
          <w:iCs/>
          <w:color w:val="555555"/>
          <w:sz w:val="22"/>
          <w:szCs w:val="22"/>
        </w:rPr>
        <w:t xml:space="preserve">Describe general and special relationship between banker and customer. Under what circumstances can banker disclose customer account secrecy?</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ব্যাংকার-গ্রাহক সাধারণ সম্পর্ক বর্ণনা করুন। [১০]</w:t>
      </w:r>
    </w:p>
    <w:p>
      <w:pPr>
        <w:spacing w:before="0" w:after="80"/>
      </w:pPr>
      <w:r>
        <w:rPr>
          <w:rFonts w:ascii="Arial" w:cs="Arial" w:eastAsia="Arial" w:hAnsi="Arial"/>
          <w:i/>
          <w:iCs/>
          <w:color w:val="555555"/>
          <w:sz w:val="21"/>
          <w:szCs w:val="21"/>
        </w:rPr>
        <w:t xml:space="preserve">Describe general banker-customer relationship.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Contract Act 1872; NI Act 1881, Sec 31; Contract Act Sec 148, 171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সম্পর্কের ধরন</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ব্যাখ্যা | Explanation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১. দেনাদার-পাওনাদার</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আমানতে ব্যাংক = দেনাদার; ঋণে গ্রাহক = দেনাদার | On deposit Bank is debtor; on loan Customer is debtor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২. মূলতঃ-এজেন্ট</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চেক/বিল সংগ্রহে ব্যাংক এজেন্ট | Bank acts as agent when collecting cheques/bills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৩. ট্রাস্টি-সুবিধাভোগী</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নির্দিষ্ট উদ্দেশ্যে অর্থে ব্যাংক ট্রাস্টি | Bank is trustee for specific purpose deposits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৪. বেইলর-বেইলি</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জামানত জমায় Contract Act Sec 148 | On pledge/safe custody (Contract Act Sec 148)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৫. লেসর-লেসি</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লকার ভাড়ায় ব্যাংক = লেসর | Bank is lessor for safe deposit lockers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৬. মর্টগেজর-মর্টগেজি</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সম্পত্তি বন্ধক ঋণে | On mortgage of immovable property for loan</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গোপনীয়তা প্রকাশের পরিস্থিতি ও ব্যাংকের বিশেষ সম্পর্ক বর্ণনা করুন। [১০]</w:t>
      </w:r>
    </w:p>
    <w:p>
      <w:pPr>
        <w:spacing w:before="0" w:after="80"/>
      </w:pPr>
      <w:r>
        <w:rPr>
          <w:rFonts w:ascii="Arial" w:cs="Arial" w:eastAsia="Arial" w:hAnsi="Arial"/>
          <w:i/>
          <w:iCs/>
          <w:color w:val="555555"/>
          <w:sz w:val="21"/>
          <w:szCs w:val="21"/>
        </w:rPr>
        <w:t xml:space="preserve">Describe circumstances for disclosure of secrecy and special banker-customer relationship.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line="276"/>
        <w:jc w:val="left"/>
      </w:pPr>
      <w:r>
        <w:rPr>
          <w:rFonts w:ascii="Arial" w:cs="Arial" w:eastAsia="Arial" w:hAnsi="Arial"/>
          <w:b/>
          <w:bCs/>
          <w:i w:val="false"/>
          <w:iCs w:val="false"/>
          <w:color w:val="8B1A1A"/>
          <w:sz w:val="23"/>
          <w:szCs w:val="23"/>
        </w:rPr>
        <w:t xml:space="preserve">গোপনীয়তা প্রকাশের পরিস্থিতি | When Secrecy Can Be Disclosed: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পরিস্থিতি (বাংলা)</w:t>
            </w:r>
          </w:p>
        </w:tc>
        <w:tc>
          <w:tcPr>
            <w:tcW w:type="dxa" w:w="46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Circumstance (English)</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আইনের বাধ্যবাধকতায়: আদালতের আদেশ, আয়কর কর্তৃপক্ষ, পুলিশ তদন্ত</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Compulsion of law: Court order, Income Tax, Police investigation</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MLPA 2012 ও ATA 2009: সন্দেহজনক লেনদেনের রিপোর্ট</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MLPA 2012 &amp; ATA 2009: Reporting suspicious transactions</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BCA 1991 ধারা ৩৫: ১০ বছরের অদাবিকৃত আমানতের বিবরণ</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BCA 1991 Sec 35: 10-year unclaimed deposit statement</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গ্রাহকের সম্মতিতে: লিখিতভাবে অনুমতি দিলে</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Customer's consent: Express written consent given</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ব্যাংকের নিজের স্বার্থে: গ্যারান্টরকে জানাতে</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Bank's own interest: To inform guarantor about default</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জনস্বার্থে: দেশবিরোধী কার্যক্রমের সাথে সম্পৃক্ততা</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Public interest: Customer involved in anti-national activities</w:t>
            </w:r>
          </w:p>
        </w:tc>
      </w:tr>
    </w:tbl>
    <w:p>
      <w:pPr>
        <w:pBdr>
          <w:bottom w:val="single" w:color="C8860A" w:sz="6" w:space="1"/>
        </w:pBdr>
        <w:spacing w:before="120" w:after="120"/>
      </w:pPr>
    </w:p>
    <w:p>
      <w:pPr>
        <w:spacing w:before="280" w:after="0"/>
      </w:pPr>
      <w:r>
        <w:rPr>
          <w:rFonts w:ascii="Arial" w:cs="Arial" w:eastAsia="Arial" w:hAnsi="Arial"/>
          <w:b/>
          <w:bCs/>
          <w:color w:val="8B1A1A"/>
          <w:sz w:val="28"/>
          <w:szCs w:val="28"/>
        </w:rPr>
        <w:t xml:space="preserve">প্রশ্ন F-2 | Question F-2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ব্যাংকার ও গ্রাহকের অধিকার ও বাধ্যবাধকতা বর্ণনা করুন। Relationship Banking কী এবং কেন গুরুত্বপূর্ণ?</w:t>
      </w:r>
    </w:p>
    <w:p>
      <w:pPr>
        <w:spacing w:before="0" w:after="100"/>
      </w:pPr>
      <w:r>
        <w:rPr>
          <w:rFonts w:ascii="Arial" w:cs="Arial" w:eastAsia="Arial" w:hAnsi="Arial"/>
          <w:i/>
          <w:iCs/>
          <w:color w:val="555555"/>
          <w:sz w:val="22"/>
          <w:szCs w:val="22"/>
        </w:rPr>
        <w:t xml:space="preserve">Describe rights and obligations of banker and customer. What is Relationship Banking and its importance?</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ব্যাংকারের অধিকার ও দায়িত্ব বর্ণনা করুন। [১০]</w:t>
      </w:r>
    </w:p>
    <w:p>
      <w:pPr>
        <w:spacing w:before="0" w:after="80"/>
      </w:pPr>
      <w:r>
        <w:rPr>
          <w:rFonts w:ascii="Arial" w:cs="Arial" w:eastAsia="Arial" w:hAnsi="Arial"/>
          <w:i/>
          <w:iCs/>
          <w:color w:val="555555"/>
          <w:sz w:val="21"/>
          <w:szCs w:val="21"/>
        </w:rPr>
        <w:t xml:space="preserve">Describe rights and duties of a banker.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NI Act 1881, Sec 31; Contract Act 1872, Sec 171; BB Consumer Protection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30"/>
        <w:gridCol w:w="3230"/>
      </w:tblGrid>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ব্যাংকারের অধিকার (Rights)</w:t>
            </w:r>
          </w:p>
        </w:tc>
        <w:tc>
          <w:tcPr>
            <w:tcW w:type="dxa" w:w="3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ব্যাংকারের দায়িত্ব (Duties)</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General Lien এর অধিকার (Sec 171)</w:t>
            </w:r>
          </w:p>
        </w:tc>
        <w:tc>
          <w:tcPr>
            <w:tcW w:type="dxa" w:w="32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চেক অনার করার বাধ্যবাধকতা (Sec 31)</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Set-off এর অধিকার</w:t>
            </w:r>
          </w:p>
        </w:tc>
        <w:tc>
          <w:tcPr>
            <w:tcW w:type="dxa" w:w="3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গোপনীয়তা রক্ষার বাধ্যবাধকতা</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সেবা চার্জ আদায়ের অধিকার</w:t>
            </w:r>
          </w:p>
        </w:tc>
        <w:tc>
          <w:tcPr>
            <w:tcW w:type="dxa" w:w="32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সঠিক রেকর্ড রাখার বাধ্যবাধকতা</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Appropriation এর অধিকার</w:t>
            </w:r>
          </w:p>
        </w:tc>
        <w:tc>
          <w:tcPr>
            <w:tcW w:type="dxa" w:w="3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গ্রাহকের নির্দেশনা মেনে চলা</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হিসাব বন্ধের অধিকার (যুক্তিসংগত নোটিশে)</w:t>
            </w:r>
          </w:p>
        </w:tc>
        <w:tc>
          <w:tcPr>
            <w:tcW w:type="dxa" w:w="32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সার্ভিস চার্জ প্রকাশ করা</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Garnishee Order কী? এর দুটি প্রকার ও বৈশিষ্ট্য বর্ণনা করুন। [১০]</w:t>
      </w:r>
    </w:p>
    <w:p>
      <w:pPr>
        <w:spacing w:before="0" w:after="80"/>
      </w:pPr>
      <w:r>
        <w:rPr>
          <w:rFonts w:ascii="Arial" w:cs="Arial" w:eastAsia="Arial" w:hAnsi="Arial"/>
          <w:i/>
          <w:iCs/>
          <w:color w:val="555555"/>
          <w:sz w:val="21"/>
          <w:szCs w:val="21"/>
        </w:rPr>
        <w:t xml:space="preserve">What is Garnishee Order? Describe its two types and features. [10]</w:t>
      </w:r>
    </w:p>
    <w:p>
      <w:pPr>
        <w:shd w:fill="FFF8E1" w:val="clear"/>
        <w:spacing w:before="100" w:after="100"/>
        <w:jc w:val="center"/>
      </w:pPr>
      <w:r>
        <w:rPr>
          <w:rFonts w:ascii="Arial" w:cs="Arial" w:eastAsia="Arial" w:hAnsi="Arial"/>
          <w:b/>
          <w:bCs/>
          <w:color w:val="8B1A1A"/>
          <w:sz w:val="24"/>
          <w:szCs w:val="24"/>
        </w:rPr>
        <w:t xml:space="preserve">★ উত্তর ★ | ★ Answer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1"/>
              <w:left w:val="single" w:color="8B1A1A" w:sz="1"/>
              <w:bottom w:val="single" w:color="8B1A1A" w:sz="1"/>
              <w:right w:val="single" w:color="8B1A1A" w:sz="1"/>
            </w:tcBorders>
            <w:shd w:fill="FFEBEE" w:val="clear"/>
            <w:tcMar>
              <w:top w:type="dxa" w:w="120"/>
              <w:left w:type="dxa" w:w="180"/>
              <w:bottom w:type="dxa" w:w="120"/>
              <w:right w:type="dxa" w:w="180"/>
            </w:tcMar>
          </w:tcPr>
          <w:p>
            <w:pPr>
              <w:spacing w:before="60" w:after="40"/>
            </w:pPr>
            <w:r>
              <w:rPr>
                <w:rFonts w:ascii="Arial" w:cs="Arial" w:eastAsia="Arial" w:hAnsi="Arial"/>
                <w:b/>
                <w:bCs/>
                <w:caps/>
                <w:color w:val="8B1A1A"/>
                <w:sz w:val="22"/>
                <w:szCs w:val="22"/>
              </w:rPr>
              <w:t xml:space="preserve">📖 Garnishee Order সংজ্ঞা</w:t>
            </w:r>
          </w:p>
          <w:p>
            <w:pPr>
              <w:spacing w:before="0" w:after="40"/>
            </w:pPr>
            <w:r>
              <w:rPr>
                <w:rFonts w:ascii="Arial" w:cs="Arial" w:eastAsia="Arial" w:hAnsi="Arial"/>
                <w:color w:val="1A3A6B"/>
                <w:sz w:val="23"/>
                <w:szCs w:val="23"/>
              </w:rPr>
              <w:t xml:space="preserve">Garnishee Order হলো আদালত কর্তৃক Judgment Creditor-এর অনুরোধে Judgment Debtor-এর (ব্যাংক গ্রাহকের) ব্যাংক হিসাব জব্দ করার আদেশ।</w:t>
            </w:r>
          </w:p>
          <w:p>
            <w:pPr>
              <w:spacing w:before="0" w:after="60"/>
            </w:pPr>
            <w:r>
              <w:rPr>
                <w:rFonts w:ascii="Arial" w:cs="Arial" w:eastAsia="Arial" w:hAnsi="Arial"/>
                <w:i/>
                <w:iCs/>
                <w:color w:val="444444"/>
                <w:sz w:val="22"/>
                <w:szCs w:val="22"/>
              </w:rPr>
              <w:t xml:space="preserve">→ A Garnishee Order is issued by court in favor of judgment creditor attaching money owed by the bank to judgment debtor to satisfy the decree.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Garnishee Order বৈশিষ্ট্য (বাংলা)</w:t>
            </w:r>
          </w:p>
        </w:tc>
        <w:tc>
          <w:tcPr>
            <w:tcW w:type="dxa" w:w="46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Feature (English)</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Order Nisi (প্রাথমিক আদেশ): লেনদেন সাময়িক বন্ধ, ব্যাখ্যা চাওয়া</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Preliminary order: Stop payments and show cause</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Order Absolute (চূড়ান্ত আদেশ): নির্দিষ্ট অর্থ Creditor-কে দেওয়ার আদেশ</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Final order: Pay specified amount to judgment creditor</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ওভারড্রাফট হিসাবে প্রযোজ্য নয়</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Not applicable to overdraft accounts</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Collection-এ পাঠানো চেক/বিলে প্রযোজ্য নয়</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Not applicable to uncleared instruments sent for collection</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বিদেশে রক্ষিত সম্পদে প্রযোজ্য নয়</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Not applicable to assets held abroad</w:t>
            </w:r>
          </w:p>
        </w:tc>
      </w:tr>
    </w:tbl>
    <w:p>
      <w:r>
        <w:br w:type="page"/>
      </w:r>
    </w:p>
    <w:p>
      <w:pPr>
        <w:spacing w:before="300" w:after="0"/>
      </w:pPr>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B3E" w:sz="1"/>
              <w:left w:val="single" w:color="0D1B3E" w:sz="1"/>
              <w:bottom w:val="single" w:color="0D1B3E" w:sz="1"/>
              <w:right w:val="single" w:color="0D1B3E" w:sz="1"/>
            </w:tcBorders>
            <w:shd w:fill="0D1B3E" w:val="clear"/>
            <w:tcMar>
              <w:top w:type="dxa" w:w="160"/>
              <w:left w:type="dxa" w:w="220"/>
              <w:bottom w:type="dxa" w:w="160"/>
              <w:right w:type="dxa" w:w="220"/>
            </w:tcMar>
          </w:tcPr>
          <w:p>
            <w:pPr>
              <w:spacing w:before="0" w:after="40"/>
            </w:pPr>
            <w:r>
              <w:rPr>
                <w:rFonts w:ascii="Arial" w:cs="Arial" w:eastAsia="Arial" w:hAnsi="Arial"/>
                <w:b/>
                <w:bCs/>
                <w:caps/>
                <w:color w:val="C8860A"/>
                <w:sz w:val="22"/>
                <w:szCs w:val="22"/>
              </w:rPr>
              <w:t xml:space="preserve">MODULE G</w:t>
            </w:r>
            <w:r>
              <w:rPr>
                <w:rFonts w:ascii="Arial" w:cs="Arial" w:eastAsia="Arial" w:hAnsi="Arial"/>
                <w:color w:val="AAAAAA"/>
                <w:sz w:val="22"/>
                <w:szCs w:val="22"/>
              </w:rPr>
              <w:t xml:space="preserve"> — </w:t>
            </w:r>
            <w:r>
              <w:rPr>
                <w:rFonts w:ascii="Arial" w:cs="Arial" w:eastAsia="Arial" w:hAnsi="Arial"/>
                <w:color w:val="CCCCCC"/>
                <w:sz w:val="22"/>
                <w:szCs w:val="22"/>
              </w:rPr>
              <w:t xml:space="preserve">KYC • Joint Account • JSC • Co-op • Minor • Walk-in • PEP • Dormant</w:t>
            </w:r>
          </w:p>
          <w:p>
            <w:pPr>
              <w:spacing w:before="0" w:after="0"/>
            </w:pPr>
            <w:r>
              <w:rPr>
                <w:rFonts w:ascii="Arial" w:cs="Arial" w:eastAsia="Arial" w:hAnsi="Arial"/>
                <w:b/>
                <w:bCs/>
                <w:color w:val="FFFFFF"/>
                <w:sz w:val="34"/>
                <w:szCs w:val="34"/>
              </w:rPr>
              <w:t xml:space="preserve">Account Opening &amp; Operations</w:t>
            </w:r>
          </w:p>
        </w:tc>
      </w:tr>
    </w:tbl>
    <w:p>
      <w:pPr>
        <w:spacing w:before="60" w:after="60" w:line="276"/>
        <w:jc w:val="left"/>
      </w:pPr>
      <w:r>
        <w:rPr>
          <w:rFonts w:ascii="Arial" w:cs="Arial" w:eastAsia="Arial" w:hAnsi="Arial"/>
          <w:b w:val="false"/>
          <w:bCs w:val="false"/>
          <w:i w:val="false"/>
          <w:iCs w:val="false"/>
          <w:color w:val="000000"/>
          <w:sz w:val="24"/>
          <w:szCs w:val="24"/>
        </w:rPr>
        <w:t xml:space="preserve"> </w:t>
      </w:r>
    </w:p>
    <w:p>
      <w:pPr>
        <w:spacing w:before="280" w:after="0"/>
      </w:pPr>
      <w:r>
        <w:rPr>
          <w:rFonts w:ascii="Arial" w:cs="Arial" w:eastAsia="Arial" w:hAnsi="Arial"/>
          <w:b/>
          <w:bCs/>
          <w:color w:val="8B1A1A"/>
          <w:sz w:val="28"/>
          <w:szCs w:val="28"/>
        </w:rPr>
        <w:t xml:space="preserve">প্রশ্ন G-1 | Question G-1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Dormant Account কী? Dormant Account-এর পরিণতি কী? Dormant Account পরিচালনায় কী সতর্কতা অবলম্বন করবেন?</w:t>
      </w:r>
    </w:p>
    <w:p>
      <w:pPr>
        <w:spacing w:before="0" w:after="100"/>
      </w:pPr>
      <w:r>
        <w:rPr>
          <w:rFonts w:ascii="Arial" w:cs="Arial" w:eastAsia="Arial" w:hAnsi="Arial"/>
          <w:i/>
          <w:iCs/>
          <w:color w:val="555555"/>
          <w:sz w:val="22"/>
          <w:szCs w:val="22"/>
        </w:rPr>
        <w:t xml:space="preserve">Define dormant account. What are consequences of dormant account? What precautions would you take in dealing with dormant account?</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Dormant Account-এর সংজ্ঞা, পরিণতি ও পুনরুজ্জীবন পদ্ধতি বর্ণনা করুন। [১০]</w:t>
      </w:r>
    </w:p>
    <w:p>
      <w:pPr>
        <w:spacing w:before="0" w:after="80"/>
      </w:pPr>
      <w:r>
        <w:rPr>
          <w:rFonts w:ascii="Arial" w:cs="Arial" w:eastAsia="Arial" w:hAnsi="Arial"/>
          <w:i/>
          <w:iCs/>
          <w:color w:val="555555"/>
          <w:sz w:val="21"/>
          <w:szCs w:val="21"/>
        </w:rPr>
        <w:t xml:space="preserve">Define dormant account, its consequences and revival procedure.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BB BRPD Circular No. 23/2021; BCA 1991, Section 35 (Unclaimed Deposit)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হিসাবের ধরন</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Inoperative কবে</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Dormant কবে</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Current/SND</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৬ মাস লেনদেন না হলে</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৬ মাস Inoperative → Dormant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Savings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৬ মাস লেনদেন না হলে</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আরও ১২ মাস = মোট ১৮ মাস পরে</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Unclaimed (BCA Sec 35)</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১০ বছর পরে BB-তে পাঠাতে হয়</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পরিণতি (বাংলা)</w:t>
            </w:r>
          </w:p>
        </w:tc>
        <w:tc>
          <w:tcPr>
            <w:tcW w:type="dxa" w:w="46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Consequence (English)</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লেনদেন সম্পূর্ণ সীমিত — টাকা উঠানো ও জমা বন্ধ</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Transactions fully restricted — withdrawal and deposit suspended</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চেক পরিশোধ স্থগিত</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Cheque payment suspended</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অনলাইন ব্যাংকিং নিষ্ক্রিয়</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Online banking deactivated</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পুনরায় চালু করতে শাখা প্রধানের অনুমোদন লাগবে</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Branch Manager approval needed for reactivation</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১০ বছর পর আমানত Bangladesh Bank-এ হস্তান্তর [BCA Sec 35]</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After 10 years deposit transferred to BB [BCA Sec 35]</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Dormant Account পুনরুজ্জীবনের পদ্ধতি ও Positive Pay-এর গুরুত্ব বর্ণনা করুন। [১০]</w:t>
      </w:r>
    </w:p>
    <w:p>
      <w:pPr>
        <w:spacing w:before="0" w:after="80"/>
      </w:pPr>
      <w:r>
        <w:rPr>
          <w:rFonts w:ascii="Arial" w:cs="Arial" w:eastAsia="Arial" w:hAnsi="Arial"/>
          <w:i/>
          <w:iCs/>
          <w:color w:val="555555"/>
          <w:sz w:val="21"/>
          <w:szCs w:val="21"/>
        </w:rPr>
        <w:t xml:space="preserve">Describe dormant account reactivation procedure and importance of Positive Pay.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line="276"/>
        <w:jc w:val="left"/>
      </w:pPr>
      <w:r>
        <w:rPr>
          <w:rFonts w:ascii="Arial" w:cs="Arial" w:eastAsia="Arial" w:hAnsi="Arial"/>
          <w:b/>
          <w:bCs/>
          <w:i w:val="false"/>
          <w:iCs w:val="false"/>
          <w:color w:val="1A3A6B"/>
          <w:sz w:val="23"/>
          <w:szCs w:val="23"/>
        </w:rPr>
        <w:t xml:space="preserve">Dormant Account পুনরুজ্জীবনের ধাপ | Reactivation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3A6B" w:sz="1"/>
              <w:left w:val="single" w:color="1A3A6B" w:sz="1"/>
              <w:bottom w:val="single" w:color="1A3A6B" w:sz="1"/>
              <w:right w:val="single" w:color="1A3A6B"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১</w:t>
            </w:r>
          </w:p>
        </w:tc>
        <w:tc>
          <w:tcPr>
            <w:tcW w:type="dxa" w:w="8800"/>
            <w:tcBorders>
              <w:top w:val="single" w:color="D4C9A8" w:sz="1"/>
              <w:left w:val="single" w:color="D4C9A8" w:sz="1"/>
              <w:bottom w:val="single" w:color="D4C9A8" w:sz="1"/>
              <w:right w:val="single" w:color="D4C9A8" w:sz="1"/>
            </w:tcBorders>
            <w:shd w:fill="FFF8E1" w:val="clear"/>
            <w:tcMar>
              <w:top w:type="dxa" w:w="80"/>
              <w:left w:type="dxa" w:w="160"/>
              <w:bottom w:type="dxa" w:w="80"/>
              <w:right w:type="dxa" w:w="120"/>
            </w:tcMar>
          </w:tcPr>
          <w:p>
            <w:pPr>
              <w:spacing w:before="0" w:after="30"/>
            </w:pPr>
            <w:r>
              <w:rPr>
                <w:rFonts w:ascii="Arial" w:cs="Arial" w:eastAsia="Arial" w:hAnsi="Arial"/>
                <w:b/>
                <w:bCs/>
                <w:color w:val="1A3A6B"/>
                <w:sz w:val="23"/>
                <w:szCs w:val="23"/>
              </w:rPr>
              <w:t xml:space="preserve">পরিচয় কঠোরভাবে যাচাই: NID/পাসপোর্ট/জন্ম সনদ</w:t>
            </w:r>
          </w:p>
          <w:p>
            <w:pPr>
              <w:spacing w:before="0" w:after="0"/>
            </w:pPr>
            <w:r>
              <w:rPr>
                <w:rFonts w:ascii="Arial" w:cs="Arial" w:eastAsia="Arial" w:hAnsi="Arial"/>
                <w:i/>
                <w:iCs/>
                <w:color w:val="444444"/>
                <w:sz w:val="21"/>
                <w:szCs w:val="21"/>
              </w:rPr>
              <w:t xml:space="preserve">→ Strictly verify identity: NID/passport/birth certificate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3A6B" w:sz="1"/>
              <w:left w:val="single" w:color="1A3A6B" w:sz="1"/>
              <w:bottom w:val="single" w:color="1A3A6B" w:sz="1"/>
              <w:right w:val="single" w:color="1A3A6B"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২</w:t>
            </w:r>
          </w:p>
        </w:tc>
        <w:tc>
          <w:tcPr>
            <w:tcW w:type="dxa" w:w="8800"/>
            <w:tcBorders>
              <w:top w:val="single" w:color="D4C9A8" w:sz="1"/>
              <w:left w:val="single" w:color="D4C9A8" w:sz="1"/>
              <w:bottom w:val="single" w:color="D4C9A8" w:sz="1"/>
              <w:right w:val="single" w:color="D4C9A8" w:sz="1"/>
            </w:tcBorders>
            <w:shd w:fill="FFF8E1" w:val="clear"/>
            <w:tcMar>
              <w:top w:type="dxa" w:w="80"/>
              <w:left w:type="dxa" w:w="160"/>
              <w:bottom w:type="dxa" w:w="80"/>
              <w:right w:type="dxa" w:w="120"/>
            </w:tcMar>
          </w:tcPr>
          <w:p>
            <w:pPr>
              <w:spacing w:before="0" w:after="30"/>
            </w:pPr>
            <w:r>
              <w:rPr>
                <w:rFonts w:ascii="Arial" w:cs="Arial" w:eastAsia="Arial" w:hAnsi="Arial"/>
                <w:b/>
                <w:bCs/>
                <w:color w:val="1A3A6B"/>
                <w:sz w:val="23"/>
                <w:szCs w:val="23"/>
              </w:rPr>
              <w:t xml:space="preserve">CPV (Contact Point Verification): বাড়িতে গিয়ে যাচাই</w:t>
            </w:r>
          </w:p>
          <w:p>
            <w:pPr>
              <w:spacing w:before="0" w:after="0"/>
            </w:pPr>
            <w:r>
              <w:rPr>
                <w:rFonts w:ascii="Arial" w:cs="Arial" w:eastAsia="Arial" w:hAnsi="Arial"/>
                <w:i/>
                <w:iCs/>
                <w:color w:val="444444"/>
                <w:sz w:val="21"/>
                <w:szCs w:val="21"/>
              </w:rPr>
              <w:t xml:space="preserve">→ CPV: Physically verify at customer's address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3A6B" w:sz="1"/>
              <w:left w:val="single" w:color="1A3A6B" w:sz="1"/>
              <w:bottom w:val="single" w:color="1A3A6B" w:sz="1"/>
              <w:right w:val="single" w:color="1A3A6B"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৩</w:t>
            </w:r>
          </w:p>
        </w:tc>
        <w:tc>
          <w:tcPr>
            <w:tcW w:type="dxa" w:w="8800"/>
            <w:tcBorders>
              <w:top w:val="single" w:color="D4C9A8" w:sz="1"/>
              <w:left w:val="single" w:color="D4C9A8" w:sz="1"/>
              <w:bottom w:val="single" w:color="D4C9A8" w:sz="1"/>
              <w:right w:val="single" w:color="D4C9A8" w:sz="1"/>
            </w:tcBorders>
            <w:shd w:fill="FFF8E1" w:val="clear"/>
            <w:tcMar>
              <w:top w:type="dxa" w:w="80"/>
              <w:left w:type="dxa" w:w="160"/>
              <w:bottom w:type="dxa" w:w="80"/>
              <w:right w:type="dxa" w:w="120"/>
            </w:tcMar>
          </w:tcPr>
          <w:p>
            <w:pPr>
              <w:spacing w:before="0" w:after="30"/>
            </w:pPr>
            <w:r>
              <w:rPr>
                <w:rFonts w:ascii="Arial" w:cs="Arial" w:eastAsia="Arial" w:hAnsi="Arial"/>
                <w:b/>
                <w:bCs/>
                <w:color w:val="1A3A6B"/>
                <w:sz w:val="23"/>
                <w:szCs w:val="23"/>
              </w:rPr>
              <w:t xml:space="preserve">KYC সম্পূর্ণ আপডেট: ছবি, স্বাক্ষর ও সব তথ্য</w:t>
            </w:r>
          </w:p>
          <w:p>
            <w:pPr>
              <w:spacing w:before="0" w:after="0"/>
            </w:pPr>
            <w:r>
              <w:rPr>
                <w:rFonts w:ascii="Arial" w:cs="Arial" w:eastAsia="Arial" w:hAnsi="Arial"/>
                <w:i/>
                <w:iCs/>
                <w:color w:val="444444"/>
                <w:sz w:val="21"/>
                <w:szCs w:val="21"/>
              </w:rPr>
              <w:t xml:space="preserve">→ Update KYC completely: photo, signature and all info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3A6B" w:sz="1"/>
              <w:left w:val="single" w:color="1A3A6B" w:sz="1"/>
              <w:bottom w:val="single" w:color="1A3A6B" w:sz="1"/>
              <w:right w:val="single" w:color="1A3A6B"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৪</w:t>
            </w:r>
          </w:p>
        </w:tc>
        <w:tc>
          <w:tcPr>
            <w:tcW w:type="dxa" w:w="8800"/>
            <w:tcBorders>
              <w:top w:val="single" w:color="D4C9A8" w:sz="1"/>
              <w:left w:val="single" w:color="D4C9A8" w:sz="1"/>
              <w:bottom w:val="single" w:color="D4C9A8" w:sz="1"/>
              <w:right w:val="single" w:color="D4C9A8" w:sz="1"/>
            </w:tcBorders>
            <w:shd w:fill="FFF8E1" w:val="clear"/>
            <w:tcMar>
              <w:top w:type="dxa" w:w="80"/>
              <w:left w:type="dxa" w:w="160"/>
              <w:bottom w:type="dxa" w:w="80"/>
              <w:right w:type="dxa" w:w="120"/>
            </w:tcMar>
          </w:tcPr>
          <w:p>
            <w:pPr>
              <w:spacing w:before="0" w:after="30"/>
            </w:pPr>
            <w:r>
              <w:rPr>
                <w:rFonts w:ascii="Arial" w:cs="Arial" w:eastAsia="Arial" w:hAnsi="Arial"/>
                <w:b/>
                <w:bCs/>
                <w:color w:val="1A3A6B"/>
                <w:sz w:val="23"/>
                <w:szCs w:val="23"/>
              </w:rPr>
              <w:t xml:space="preserve">শাখা প্রধানের লিখিত অনুমোদন নিন</w:t>
            </w:r>
          </w:p>
          <w:p>
            <w:pPr>
              <w:spacing w:before="0" w:after="0"/>
            </w:pPr>
            <w:r>
              <w:rPr>
                <w:rFonts w:ascii="Arial" w:cs="Arial" w:eastAsia="Arial" w:hAnsi="Arial"/>
                <w:i/>
                <w:iCs/>
                <w:color w:val="444444"/>
                <w:sz w:val="21"/>
                <w:szCs w:val="21"/>
              </w:rPr>
              <w:t xml:space="preserve">→ Obtain Branch Manager's written approval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3A6B" w:sz="1"/>
              <w:left w:val="single" w:color="1A3A6B" w:sz="1"/>
              <w:bottom w:val="single" w:color="1A3A6B" w:sz="1"/>
              <w:right w:val="single" w:color="1A3A6B"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৫</w:t>
            </w:r>
          </w:p>
        </w:tc>
        <w:tc>
          <w:tcPr>
            <w:tcW w:type="dxa" w:w="8800"/>
            <w:tcBorders>
              <w:top w:val="single" w:color="D4C9A8" w:sz="1"/>
              <w:left w:val="single" w:color="D4C9A8" w:sz="1"/>
              <w:bottom w:val="single" w:color="D4C9A8" w:sz="1"/>
              <w:right w:val="single" w:color="D4C9A8" w:sz="1"/>
            </w:tcBorders>
            <w:shd w:fill="FFF8E1" w:val="clear"/>
            <w:tcMar>
              <w:top w:type="dxa" w:w="80"/>
              <w:left w:type="dxa" w:w="160"/>
              <w:bottom w:type="dxa" w:w="80"/>
              <w:right w:type="dxa" w:w="120"/>
            </w:tcMar>
          </w:tcPr>
          <w:p>
            <w:pPr>
              <w:spacing w:before="0" w:after="30"/>
            </w:pPr>
            <w:r>
              <w:rPr>
                <w:rFonts w:ascii="Arial" w:cs="Arial" w:eastAsia="Arial" w:hAnsi="Arial"/>
                <w:b/>
                <w:bCs/>
                <w:color w:val="1A3A6B"/>
                <w:sz w:val="23"/>
                <w:szCs w:val="23"/>
              </w:rPr>
              <w:t xml:space="preserve">পুনরায় চালু হওয়ার পরে লেনদেন সতর্কতার সাথে পর্যবেক্ষণ</w:t>
            </w:r>
          </w:p>
          <w:p>
            <w:pPr>
              <w:spacing w:before="0" w:after="0"/>
            </w:pPr>
            <w:r>
              <w:rPr>
                <w:rFonts w:ascii="Arial" w:cs="Arial" w:eastAsia="Arial" w:hAnsi="Arial"/>
                <w:i/>
                <w:iCs/>
                <w:color w:val="444444"/>
                <w:sz w:val="21"/>
                <w:szCs w:val="21"/>
              </w:rPr>
              <w:t xml:space="preserve">→ Monitor transactions carefully after reactivation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3A6B" w:sz="1"/>
              <w:left w:val="single" w:color="1A3A6B" w:sz="1"/>
              <w:bottom w:val="single" w:color="1A3A6B" w:sz="1"/>
              <w:right w:val="single" w:color="1A3A6B"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৬</w:t>
            </w:r>
          </w:p>
        </w:tc>
        <w:tc>
          <w:tcPr>
            <w:tcW w:type="dxa" w:w="8800"/>
            <w:tcBorders>
              <w:top w:val="single" w:color="D4C9A8" w:sz="1"/>
              <w:left w:val="single" w:color="D4C9A8" w:sz="1"/>
              <w:bottom w:val="single" w:color="D4C9A8" w:sz="1"/>
              <w:right w:val="single" w:color="D4C9A8" w:sz="1"/>
            </w:tcBorders>
            <w:shd w:fill="FFF8E1" w:val="clear"/>
            <w:tcMar>
              <w:top w:type="dxa" w:w="80"/>
              <w:left w:type="dxa" w:w="160"/>
              <w:bottom w:type="dxa" w:w="80"/>
              <w:right w:type="dxa" w:w="120"/>
            </w:tcMar>
          </w:tcPr>
          <w:p>
            <w:pPr>
              <w:spacing w:before="0" w:after="30"/>
            </w:pPr>
            <w:r>
              <w:rPr>
                <w:rFonts w:ascii="Arial" w:cs="Arial" w:eastAsia="Arial" w:hAnsi="Arial"/>
                <w:b/>
                <w:bCs/>
                <w:color w:val="1A3A6B"/>
                <w:sz w:val="23"/>
                <w:szCs w:val="23"/>
              </w:rPr>
              <w:t xml:space="preserve">সন্দেহজনক হলে STR দাখিল করুন [MLPA 2012, Sec 25]</w:t>
            </w:r>
          </w:p>
          <w:p>
            <w:pPr>
              <w:spacing w:before="0" w:after="0"/>
            </w:pPr>
            <w:r>
              <w:rPr>
                <w:rFonts w:ascii="Arial" w:cs="Arial" w:eastAsia="Arial" w:hAnsi="Arial"/>
                <w:i/>
                <w:iCs/>
                <w:color w:val="444444"/>
                <w:sz w:val="21"/>
                <w:szCs w:val="21"/>
              </w:rPr>
              <w:t xml:space="preserve">→ Submit STR if suspicious [MLPA 2012, Sec 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1"/>
              <w:left w:val="single" w:color="1A3A6B" w:sz="1"/>
              <w:bottom w:val="single" w:color="1A3A6B" w:sz="1"/>
              <w:right w:val="single" w:color="1A3A6B" w:sz="1"/>
            </w:tcBorders>
            <w:shd w:fill="EEF2FF" w:val="clear"/>
            <w:tcMar>
              <w:top w:type="dxa" w:w="120"/>
              <w:left w:type="dxa" w:w="180"/>
              <w:bottom w:type="dxa" w:w="120"/>
              <w:right w:type="dxa" w:w="180"/>
            </w:tcMar>
          </w:tcPr>
          <w:p>
            <w:pPr>
              <w:spacing w:before="60" w:after="40"/>
            </w:pPr>
            <w:r>
              <w:rPr>
                <w:rFonts w:ascii="Arial" w:cs="Arial" w:eastAsia="Arial" w:hAnsi="Arial"/>
                <w:b/>
                <w:bCs/>
                <w:caps/>
                <w:color w:val="1A3A6B"/>
                <w:sz w:val="22"/>
                <w:szCs w:val="22"/>
              </w:rPr>
              <w:t xml:space="preserve">📌 Positive Pay-এর গুরুত্ব | Importance of Positive Pay</w:t>
            </w:r>
          </w:p>
          <w:p>
            <w:pPr>
              <w:spacing w:before="0" w:after="40"/>
            </w:pPr>
            <w:r>
              <w:rPr>
                <w:rFonts w:ascii="Arial" w:cs="Arial" w:eastAsia="Arial" w:hAnsi="Arial"/>
                <w:color w:val="1A3A6B"/>
                <w:sz w:val="23"/>
                <w:szCs w:val="23"/>
              </w:rPr>
              <w:t xml:space="preserve">Positive Pay হলো একটি ব্যবস্থা যেখানে গ্রাহক উচ্চমূল্যের চেক ইস্যুর আগে ব্যাংককে চেকের বিবরণ জানান। বাংলাদেশ ব্যাংক নির্দেশনা অনুযায়ী ৫ লক্ষ টাকার উপরে চেকের জন্য বাধ্যতামূলক।</w:t>
            </w:r>
          </w:p>
          <w:p>
            <w:pPr>
              <w:spacing w:before="0" w:after="60"/>
            </w:pPr>
            <w:r>
              <w:rPr>
                <w:rFonts w:ascii="Arial" w:cs="Arial" w:eastAsia="Arial" w:hAnsi="Arial"/>
                <w:i/>
                <w:iCs/>
                <w:color w:val="444444"/>
                <w:sz w:val="22"/>
                <w:szCs w:val="22"/>
              </w:rPr>
              <w:t xml:space="preserve">→ Positive Pay is a system where customer informs bank in advance about high-value cheque details. Mandatory for cheques above Tk. 5 lakh per BB directive.</w:t>
            </w:r>
          </w:p>
        </w:tc>
      </w:tr>
    </w:tbl>
    <w:p>
      <w:pPr>
        <w:pBdr>
          <w:bottom w:val="single" w:color="C8860A" w:sz="6" w:space="1"/>
        </w:pBdr>
        <w:spacing w:before="120" w:after="120"/>
      </w:pPr>
    </w:p>
    <w:p>
      <w:pPr>
        <w:spacing w:before="280" w:after="0"/>
      </w:pPr>
      <w:r>
        <w:rPr>
          <w:rFonts w:ascii="Arial" w:cs="Arial" w:eastAsia="Arial" w:hAnsi="Arial"/>
          <w:b/>
          <w:bCs/>
          <w:color w:val="8B1A1A"/>
          <w:sz w:val="28"/>
          <w:szCs w:val="28"/>
        </w:rPr>
        <w:t xml:space="preserve">প্রশ্ন G-2 | Question G-2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Positive Pay Instruction একটি চেক সম্মান করতে কেন গুরুত্বপূর্ণ? Student Account ও Minor Account খোলায় কী সতর্কতা অবলম্বন করতে হয়?</w:t>
      </w:r>
    </w:p>
    <w:p>
      <w:pPr>
        <w:spacing w:before="0" w:after="100"/>
      </w:pPr>
      <w:r>
        <w:rPr>
          <w:rFonts w:ascii="Arial" w:cs="Arial" w:eastAsia="Arial" w:hAnsi="Arial"/>
          <w:i/>
          <w:iCs/>
          <w:color w:val="555555"/>
          <w:sz w:val="22"/>
          <w:szCs w:val="22"/>
        </w:rPr>
        <w:t xml:space="preserve">Why is Positive Pay Instruction important to honor a cheque? What precautions in opening Student and Minor accounts?</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Student Account ও Minor Account পরিচালনায় বিশেষ নিয়ম বর্ণনা করুন। [১০]</w:t>
      </w:r>
    </w:p>
    <w:p>
      <w:pPr>
        <w:spacing w:before="0" w:after="80"/>
      </w:pPr>
      <w:r>
        <w:rPr>
          <w:rFonts w:ascii="Arial" w:cs="Arial" w:eastAsia="Arial" w:hAnsi="Arial"/>
          <w:i/>
          <w:iCs/>
          <w:color w:val="555555"/>
          <w:sz w:val="21"/>
          <w:szCs w:val="21"/>
        </w:rPr>
        <w:t xml:space="preserve">Describe special rules for operating Student and Minor accounts.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Majority Act 1875, Section 3 (Minor = below 18); NI Act 1881, Section 26 (Minor)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বিষয়</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Student Account</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Minor Account</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বয়স সীমা</w:t>
            </w:r>
          </w:p>
        </w:tc>
        <w:tc>
          <w:tcPr>
            <w:tcW w:type="dxa" w:w="36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সাধারণত ১৮ বছর পর্যন্ত</w:t>
            </w:r>
          </w:p>
        </w:tc>
        <w:tc>
          <w:tcPr>
            <w:tcW w:type="dxa" w:w="36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১৮ বছরের কম (Majority Act 1875, Sec 3)</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পরিচয় প্রমাণ</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শিক্ষা প্রতিষ্ঠানের ID কার্ড, জন্ম সনদ</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জন্ম সনদ, অভিভাবকের NID ও ছবি</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পরিচালনা</w:t>
            </w:r>
          </w:p>
        </w:tc>
        <w:tc>
          <w:tcPr>
            <w:tcW w:type="dxa" w:w="36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অভিভাবকের স্বাক্ষরে বা যৌথভাবে</w:t>
            </w:r>
          </w:p>
        </w:tc>
        <w:tc>
          <w:tcPr>
            <w:tcW w:type="dxa" w:w="36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পিতা/মাতা বা আইনি অভিভাবকের স্বাক্ষরে</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ওভারড্রাফট</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সুবিধা নেই</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সুবিধা নেই</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চেক ইস্যু</w:t>
            </w:r>
          </w:p>
        </w:tc>
        <w:tc>
          <w:tcPr>
            <w:tcW w:type="dxa" w:w="36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সীমিত সুবিধা</w:t>
            </w:r>
          </w:p>
        </w:tc>
        <w:tc>
          <w:tcPr>
            <w:tcW w:type="dxa" w:w="36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নাবালক নিজে চেক ইস্যু করতে পারবে না</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ঋণের জামানত</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দিতে পারবে না</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দিতে পারবে না (NI Act Sec 26)</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১৮ হলে</w:t>
            </w:r>
          </w:p>
        </w:tc>
        <w:tc>
          <w:tcPr>
            <w:tcW w:type="dxa" w:w="36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সাধারণ হিসাবে রূপান্তর</w:t>
            </w:r>
          </w:p>
        </w:tc>
        <w:tc>
          <w:tcPr>
            <w:tcW w:type="dxa" w:w="36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নিজের নামে স্থানান্তর, নতুন KYC</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Joint Account ও Incapacitated Account পরিচালনায় ব্যাংকারের বিশেষ সতর্কতা কী? [১০]</w:t>
      </w:r>
    </w:p>
    <w:p>
      <w:pPr>
        <w:spacing w:before="0" w:after="80"/>
      </w:pPr>
      <w:r>
        <w:rPr>
          <w:rFonts w:ascii="Arial" w:cs="Arial" w:eastAsia="Arial" w:hAnsi="Arial"/>
          <w:i/>
          <w:iCs/>
          <w:color w:val="555555"/>
          <w:sz w:val="21"/>
          <w:szCs w:val="21"/>
        </w:rPr>
        <w:t xml:space="preserve">What special precautions for banker in operating joint and incapacitated accounts? [10]</w:t>
      </w:r>
    </w:p>
    <w:p>
      <w:pPr>
        <w:shd w:fill="FFF8E1" w:val="clear"/>
        <w:spacing w:before="100" w:after="100"/>
        <w:jc w:val="center"/>
      </w:pPr>
      <w:r>
        <w:rPr>
          <w:rFonts w:ascii="Arial" w:cs="Arial" w:eastAsia="Arial" w:hAnsi="Arial"/>
          <w:b/>
          <w:bCs/>
          <w:color w:val="8B1A1A"/>
          <w:sz w:val="24"/>
          <w:szCs w:val="24"/>
        </w:rPr>
        <w:t xml:space="preserve">★ উত্তর ★ | ★ Answer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সতর্কতা (বাংলা)</w:t>
            </w:r>
          </w:p>
        </w:tc>
        <w:tc>
          <w:tcPr>
            <w:tcW w:type="dxa" w:w="46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Precaution (English)</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Either or Survivor: যেকোনো একজন একা পরিচালনা করতে পারেন</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Either or Survivor: Either can operate alone</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একজনের মৃত্যুতে Survivor মৃত্যু সনদে পুরো ব্যালেন্স পাবেন</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Death: Survivor gets balance on producing death certificate</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Joint (All): সকলের স্বাক্ষর একসাথে লাগবে</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Joint All: All signatures required together</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মৃত্যুতে Succession Certificate ছাড়া দেওয়া যাবে না</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On death: Succession Certificate needed</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অক্ষম/অসুস্থ: Thumb impression + ২ সাক্ষী + ব্যাংক কর্মকর্তা</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Incapacitated: Thumb impression + 2 witnesses + bank officer</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Mandate দিয়ে নির্দিষ্ট ব্যক্তিকে পরিচালনার ক্ষমতা দেওয়া যায়</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Can grant Mandate to specific person to operate account</w:t>
            </w:r>
          </w:p>
        </w:tc>
      </w:tr>
    </w:tbl>
    <w:p>
      <w:r>
        <w:br w:type="page"/>
      </w:r>
    </w:p>
    <w:p>
      <w:pPr>
        <w:spacing w:before="300" w:after="0"/>
      </w:pPr>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B3E" w:sz="1"/>
              <w:left w:val="single" w:color="0D1B3E" w:sz="1"/>
              <w:bottom w:val="single" w:color="0D1B3E" w:sz="1"/>
              <w:right w:val="single" w:color="0D1B3E" w:sz="1"/>
            </w:tcBorders>
            <w:shd w:fill="0D1B3E" w:val="clear"/>
            <w:tcMar>
              <w:top w:type="dxa" w:w="160"/>
              <w:left w:type="dxa" w:w="220"/>
              <w:bottom w:type="dxa" w:w="160"/>
              <w:right w:type="dxa" w:w="220"/>
            </w:tcMar>
          </w:tcPr>
          <w:p>
            <w:pPr>
              <w:spacing w:before="0" w:after="40"/>
            </w:pPr>
            <w:r>
              <w:rPr>
                <w:rFonts w:ascii="Arial" w:cs="Arial" w:eastAsia="Arial" w:hAnsi="Arial"/>
                <w:b/>
                <w:bCs/>
                <w:caps/>
                <w:color w:val="C8860A"/>
                <w:sz w:val="22"/>
                <w:szCs w:val="22"/>
              </w:rPr>
              <w:t xml:space="preserve">MODULE H</w:t>
            </w:r>
            <w:r>
              <w:rPr>
                <w:rFonts w:ascii="Arial" w:cs="Arial" w:eastAsia="Arial" w:hAnsi="Arial"/>
                <w:color w:val="AAAAAA"/>
                <w:sz w:val="22"/>
                <w:szCs w:val="22"/>
              </w:rPr>
              <w:t xml:space="preserve"> — </w:t>
            </w:r>
            <w:r>
              <w:rPr>
                <w:rFonts w:ascii="Arial" w:cs="Arial" w:eastAsia="Arial" w:hAnsi="Arial"/>
                <w:color w:val="CCCCCC"/>
                <w:sz w:val="22"/>
                <w:szCs w:val="22"/>
              </w:rPr>
              <w:t xml:space="preserve">Banker's Lien • Right of Set-off • Appropriation • Relationship Termination</w:t>
            </w:r>
          </w:p>
          <w:p>
            <w:pPr>
              <w:spacing w:before="0" w:after="0"/>
            </w:pPr>
            <w:r>
              <w:rPr>
                <w:rFonts w:ascii="Arial" w:cs="Arial" w:eastAsia="Arial" w:hAnsi="Arial"/>
                <w:b/>
                <w:bCs/>
                <w:color w:val="FFFFFF"/>
                <w:sz w:val="34"/>
                <w:szCs w:val="34"/>
              </w:rPr>
              <w:t xml:space="preserve">Special Banking Concepts</w:t>
            </w:r>
          </w:p>
        </w:tc>
      </w:tr>
    </w:tbl>
    <w:p>
      <w:pPr>
        <w:spacing w:before="60" w:after="60" w:line="276"/>
        <w:jc w:val="left"/>
      </w:pPr>
      <w:r>
        <w:rPr>
          <w:rFonts w:ascii="Arial" w:cs="Arial" w:eastAsia="Arial" w:hAnsi="Arial"/>
          <w:b w:val="false"/>
          <w:bCs w:val="false"/>
          <w:i w:val="false"/>
          <w:iCs w:val="false"/>
          <w:color w:val="000000"/>
          <w:sz w:val="24"/>
          <w:szCs w:val="24"/>
        </w:rPr>
        <w:t xml:space="preserve"> </w:t>
      </w:r>
    </w:p>
    <w:p>
      <w:pPr>
        <w:spacing w:before="280" w:after="0"/>
      </w:pPr>
      <w:r>
        <w:rPr>
          <w:rFonts w:ascii="Arial" w:cs="Arial" w:eastAsia="Arial" w:hAnsi="Arial"/>
          <w:b/>
          <w:bCs/>
          <w:color w:val="8B1A1A"/>
          <w:sz w:val="28"/>
          <w:szCs w:val="28"/>
        </w:rPr>
        <w:t xml:space="preserve">প্রশ্ন H-1 | Question H-1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ব্যাংকারের দাবির অধিকার (Banker's Lien) কী? Set-off ও Appropriation-এর অধিকার কীভাবে প্রয়োগ করা হয়?</w:t>
      </w:r>
    </w:p>
    <w:p>
      <w:pPr>
        <w:spacing w:before="0" w:after="100"/>
      </w:pPr>
      <w:r>
        <w:rPr>
          <w:rFonts w:ascii="Arial" w:cs="Arial" w:eastAsia="Arial" w:hAnsi="Arial"/>
          <w:i/>
          <w:iCs/>
          <w:color w:val="555555"/>
          <w:sz w:val="22"/>
          <w:szCs w:val="22"/>
        </w:rPr>
        <w:t xml:space="preserve">What is Banker's Lien? How is the right of Set-off and Appropriation exercised?</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Banker's Lien-এর সংজ্ঞা ও প্রকার বর্ণনা করুন। কখন Lien প্রযোজ্য নয়? [১০]</w:t>
      </w:r>
    </w:p>
    <w:p>
      <w:pPr>
        <w:spacing w:before="0" w:after="80"/>
      </w:pPr>
      <w:r>
        <w:rPr>
          <w:rFonts w:ascii="Arial" w:cs="Arial" w:eastAsia="Arial" w:hAnsi="Arial"/>
          <w:i/>
          <w:iCs/>
          <w:color w:val="555555"/>
          <w:sz w:val="21"/>
          <w:szCs w:val="21"/>
        </w:rPr>
        <w:t xml:space="preserve">Define Banker's Lien and its types. When is Lien NOT applicable?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Contract Act 1872, Section 171 (General Lien); Banking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1"/>
              <w:left w:val="single" w:color="1A3A6B" w:sz="1"/>
              <w:bottom w:val="single" w:color="1A3A6B" w:sz="1"/>
              <w:right w:val="single" w:color="1A3A6B" w:sz="1"/>
            </w:tcBorders>
            <w:shd w:fill="EEF2FF" w:val="clear"/>
            <w:tcMar>
              <w:top w:type="dxa" w:w="120"/>
              <w:left w:type="dxa" w:w="180"/>
              <w:bottom w:type="dxa" w:w="120"/>
              <w:right w:type="dxa" w:w="180"/>
            </w:tcMar>
          </w:tcPr>
          <w:p>
            <w:pPr>
              <w:spacing w:before="60" w:after="40"/>
            </w:pPr>
            <w:r>
              <w:rPr>
                <w:rFonts w:ascii="Arial" w:cs="Arial" w:eastAsia="Arial" w:hAnsi="Arial"/>
                <w:b/>
                <w:bCs/>
                <w:caps/>
                <w:color w:val="1A3A6B"/>
                <w:sz w:val="22"/>
                <w:szCs w:val="22"/>
              </w:rPr>
              <w:t xml:space="preserve">📖 Banker's Lien সংজ্ঞা</w:t>
            </w:r>
          </w:p>
          <w:p>
            <w:pPr>
              <w:spacing w:before="0" w:after="40"/>
            </w:pPr>
            <w:r>
              <w:rPr>
                <w:rFonts w:ascii="Arial" w:cs="Arial" w:eastAsia="Arial" w:hAnsi="Arial"/>
                <w:color w:val="1A3A6B"/>
                <w:sz w:val="23"/>
                <w:szCs w:val="23"/>
              </w:rPr>
              <w:t xml:space="preserve">Banker's Lien হলো ব্যাংকারের অধিকার যা গ্রাহকের জিনিস ধরে রাখতে পারে — এটি Implied Pledge হিসেবে বিবেচিত কারণ শুধু ধরে রাখা নয়, বিক্রির অধিকারও আছে।</w:t>
            </w:r>
          </w:p>
          <w:p>
            <w:pPr>
              <w:spacing w:before="0" w:after="60"/>
            </w:pPr>
            <w:r>
              <w:rPr>
                <w:rFonts w:ascii="Arial" w:cs="Arial" w:eastAsia="Arial" w:hAnsi="Arial"/>
                <w:i/>
                <w:iCs/>
                <w:color w:val="444444"/>
                <w:sz w:val="22"/>
                <w:szCs w:val="22"/>
              </w:rPr>
              <w:t xml:space="preserve">→ Banker's Lien is an implied pledge — banker can not only retain but also SELL customer's goods/securities after reasonable notice.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Lien প্রযোজ্য নয় (Exceptions):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Not Applicable (Exceptions):</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Safe custody deposits — বিশেষ উদ্দেশ্যে জমা</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Safe custody deposits — for specific purpose</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নির্দিষ্ট উদ্দেশ্যে হস্তান্তরিত সম্পদ</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Securities entrusted for specific purpose</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অবহেলায় ব্যাংকারের কাছে রাখা সম্পদ</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Securities left negligently with banker</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ঋণ প্রদানের আগে জমা জামানত</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Security lodged before loan is actually granted</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ট্রাস্টি হিসেবে জমা সম্পদ</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Securities held in trust</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Right of Set-off ও Right of Appropriation-এর পার্থক্য ও প্রয়োগ বর্ণনা করুন। [১০]</w:t>
      </w:r>
    </w:p>
    <w:p>
      <w:pPr>
        <w:spacing w:before="0" w:after="80"/>
      </w:pPr>
      <w:r>
        <w:rPr>
          <w:rFonts w:ascii="Arial" w:cs="Arial" w:eastAsia="Arial" w:hAnsi="Arial"/>
          <w:i/>
          <w:iCs/>
          <w:color w:val="555555"/>
          <w:sz w:val="21"/>
          <w:szCs w:val="21"/>
        </w:rPr>
        <w:t xml:space="preserve">Describe difference and application of Right of Set-off and Right of Appropriation. [10]</w:t>
      </w:r>
    </w:p>
    <w:p>
      <w:pPr>
        <w:shd w:fill="FFF8E1" w:val="clear"/>
        <w:spacing w:before="100" w:after="100"/>
        <w:jc w:val="center"/>
      </w:pPr>
      <w:r>
        <w:rPr>
          <w:rFonts w:ascii="Arial" w:cs="Arial" w:eastAsia="Arial" w:hAnsi="Arial"/>
          <w:b/>
          <w:bCs/>
          <w:color w:val="8B1A1A"/>
          <w:sz w:val="24"/>
          <w:szCs w:val="24"/>
        </w:rPr>
        <w:t xml:space="preserve">★ উত্তর ★ | ★ Answer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বিষয়</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Set-off</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Appropriation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সংজ্ঞা</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দুটি হিসাব একত্রিত করে ডেবিট ব্যালেন্স সমন্বয়</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একাধিক ঋণে পরিশোধ কোন ঋণে প্রযোজ্য হবে নির্ধারণ</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শর্ত</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একই নামে ও একই অধিকারে হিসাব থাকতে হবে</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দেনাদার আগে বললে তার পছন্দ অনুযায়ী</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ব্যাংকের অধিকার</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Garnishee Order আগে Set-off প্রয়োগ করতে পারে</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দেনাদার না বললে ব্যাংক বিবেচনায় প্রয়োগ করে</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উদাহরণ</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SB তে ৫ লক্ষ, CC-তে ১০ লক্ষ ওভারড্রাফট → SB দিয়ে সমন্বয়</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Loan 1 ও Loan 2 থাকলে কোনটায় পরিশোধ যাবে নির্ধারণ</w:t>
            </w:r>
          </w:p>
        </w:tc>
      </w:tr>
    </w:tbl>
    <w:p>
      <w:pPr>
        <w:pBdr>
          <w:bottom w:val="single" w:color="C8860A" w:sz="6" w:space="1"/>
        </w:pBdr>
        <w:spacing w:before="120" w:after="120"/>
      </w:pPr>
    </w:p>
    <w:p>
      <w:pPr>
        <w:spacing w:before="300" w:after="0"/>
      </w:pPr>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B3E" w:sz="1"/>
              <w:left w:val="single" w:color="0D1B3E" w:sz="1"/>
              <w:bottom w:val="single" w:color="0D1B3E" w:sz="1"/>
              <w:right w:val="single" w:color="0D1B3E" w:sz="1"/>
            </w:tcBorders>
            <w:shd w:fill="0D1B3E" w:val="clear"/>
            <w:tcMar>
              <w:top w:type="dxa" w:w="160"/>
              <w:left w:type="dxa" w:w="220"/>
              <w:bottom w:type="dxa" w:w="160"/>
              <w:right w:type="dxa" w:w="220"/>
            </w:tcMar>
          </w:tcPr>
          <w:p>
            <w:pPr>
              <w:spacing w:before="0" w:after="40"/>
            </w:pPr>
            <w:r>
              <w:rPr>
                <w:rFonts w:ascii="Arial" w:cs="Arial" w:eastAsia="Arial" w:hAnsi="Arial"/>
                <w:b/>
                <w:bCs/>
                <w:caps/>
                <w:color w:val="C8860A"/>
                <w:sz w:val="22"/>
                <w:szCs w:val="22"/>
              </w:rPr>
              <w:t xml:space="preserve">MODULE I</w:t>
            </w:r>
            <w:r>
              <w:rPr>
                <w:rFonts w:ascii="Arial" w:cs="Arial" w:eastAsia="Arial" w:hAnsi="Arial"/>
                <w:color w:val="AAAAAA"/>
                <w:sz w:val="22"/>
                <w:szCs w:val="22"/>
              </w:rPr>
              <w:t xml:space="preserve"> — </w:t>
            </w:r>
            <w:r>
              <w:rPr>
                <w:rFonts w:ascii="Arial" w:cs="Arial" w:eastAsia="Arial" w:hAnsi="Arial"/>
                <w:color w:val="CCCCCC"/>
                <w:sz w:val="22"/>
                <w:szCs w:val="22"/>
              </w:rPr>
              <w:t xml:space="preserve">Cheque Crossing • Collecting Bank • Paying Bank • Material Alteration</w:t>
            </w:r>
          </w:p>
          <w:p>
            <w:pPr>
              <w:spacing w:before="0" w:after="0"/>
            </w:pPr>
            <w:r>
              <w:rPr>
                <w:rFonts w:ascii="Arial" w:cs="Arial" w:eastAsia="Arial" w:hAnsi="Arial"/>
                <w:b/>
                <w:bCs/>
                <w:color w:val="FFFFFF"/>
                <w:sz w:val="34"/>
                <w:szCs w:val="34"/>
              </w:rPr>
              <w:t xml:space="preserve">NI Act — Cheque Crossing &amp; Payment</w:t>
            </w:r>
          </w:p>
        </w:tc>
      </w:tr>
    </w:tbl>
    <w:p>
      <w:pPr>
        <w:spacing w:before="60" w:after="60" w:line="276"/>
        <w:jc w:val="left"/>
      </w:pPr>
      <w:r>
        <w:rPr>
          <w:rFonts w:ascii="Arial" w:cs="Arial" w:eastAsia="Arial" w:hAnsi="Arial"/>
          <w:b w:val="false"/>
          <w:bCs w:val="false"/>
          <w:i w:val="false"/>
          <w:iCs w:val="false"/>
          <w:color w:val="000000"/>
          <w:sz w:val="24"/>
          <w:szCs w:val="24"/>
        </w:rPr>
        <w:t xml:space="preserve"> </w:t>
      </w:r>
    </w:p>
    <w:p>
      <w:pPr>
        <w:spacing w:before="280" w:after="0"/>
      </w:pPr>
      <w:r>
        <w:rPr>
          <w:rFonts w:ascii="Arial" w:cs="Arial" w:eastAsia="Arial" w:hAnsi="Arial"/>
          <w:b/>
          <w:bCs/>
          <w:color w:val="8B1A1A"/>
          <w:sz w:val="28"/>
          <w:szCs w:val="28"/>
        </w:rPr>
        <w:t xml:space="preserve">প্রশ্ন I-1 | Question I-1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চেক ক্রসিং কী? বিভিন্ন প্রকার ক্রসিং ও এর আইনি প্রভাব বর্ণনা করুন। ব্যাংকার কখন বৈধভাবে একটি ভালো চেক পরিশোধ না করে ফেরত দিতে পারেন?</w:t>
      </w:r>
    </w:p>
    <w:p>
      <w:pPr>
        <w:spacing w:before="0" w:after="100"/>
      </w:pPr>
      <w:r>
        <w:rPr>
          <w:rFonts w:ascii="Arial" w:cs="Arial" w:eastAsia="Arial" w:hAnsi="Arial"/>
          <w:i/>
          <w:iCs/>
          <w:color w:val="555555"/>
          <w:sz w:val="22"/>
          <w:szCs w:val="22"/>
        </w:rPr>
        <w:t xml:space="preserve">What is cheque crossing? Describe types of crossing and legal effects. When can a banker legally return a valid cheque without payment?</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চেক ক্রসিং-এর সংজ্ঞা ও প্রকারভেদ বর্ণনা করুন। [১০]</w:t>
      </w:r>
    </w:p>
    <w:p>
      <w:pPr>
        <w:spacing w:before="0" w:after="80"/>
      </w:pPr>
      <w:r>
        <w:rPr>
          <w:rFonts w:ascii="Arial" w:cs="Arial" w:eastAsia="Arial" w:hAnsi="Arial"/>
          <w:i/>
          <w:iCs/>
          <w:color w:val="555555"/>
          <w:sz w:val="21"/>
          <w:szCs w:val="21"/>
        </w:rPr>
        <w:t xml:space="preserve">Define cheque crossing and describe its types.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NI Act 1881 — Sec 123 (General), Sec 123A (A/C Payee), Sec 124 (Special), Sec 125A (Material Part), Sec 130 (Not 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ক্রসিং-এর প্রকার</w:t>
            </w:r>
          </w:p>
        </w:tc>
        <w:tc>
          <w:tcPr>
            <w:tcW w:type="dxa" w:w="61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বাংলা ও English ব্যাখ্যা</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General Crossing (Sec 123)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দুটি সমান্তরাল রেখা — শুধু ব্যাংকের মাধ্যমে পরিশোধ | Two parallel lines — only through bank account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Account Payee (Sec 123A)</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নির্দিষ্ট Payee-এর হিসাবে জমা; আর নেগোসিয়েবল নয় | Payee's account only; ceases to be negotiable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Special Crossing (Sec 124)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নির্দিষ্ট ব্যাংকের নাম — শুধু সেই ব্যাংকের মাধ্যমে | Specific bank named — only that bank can collect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Not Negotiable (Sec 130)</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ধারক পূর্ববর্তীর চেয়ে ভালো মালিকানা পাবে না | Transferee gets no better title than transferor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ক্রসিং বাতিল করতে পারেন</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শুধুমাত্র Drawer বাতিল করতে পারেন — 'Pay Cash' + স্বাক্ষর | Only Drawer can cancel crossing</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ব্যাংকার কখন বৈধভাবে ভালো চেক ফেরত দিতে পারেন? উপস্থাপনের সময় সীমা কী? [১০]</w:t>
      </w:r>
    </w:p>
    <w:p>
      <w:pPr>
        <w:spacing w:before="0" w:after="80"/>
      </w:pPr>
      <w:r>
        <w:rPr>
          <w:rFonts w:ascii="Arial" w:cs="Arial" w:eastAsia="Arial" w:hAnsi="Arial"/>
          <w:i/>
          <w:iCs/>
          <w:color w:val="555555"/>
          <w:sz w:val="21"/>
          <w:szCs w:val="21"/>
        </w:rPr>
        <w:t xml:space="preserve">When can a banker legally return a valid cheque? What is the time limit for presentment? [10]</w:t>
      </w:r>
    </w:p>
    <w:p>
      <w:pPr>
        <w:shd w:fill="FFF8E1" w:val="clear"/>
        <w:spacing w:before="100" w:after="100"/>
        <w:jc w:val="center"/>
      </w:pPr>
      <w:r>
        <w:rPr>
          <w:rFonts w:ascii="Arial" w:cs="Arial" w:eastAsia="Arial" w:hAnsi="Arial"/>
          <w:b/>
          <w:bCs/>
          <w:color w:val="8B1A1A"/>
          <w:sz w:val="24"/>
          <w:szCs w:val="24"/>
        </w:rPr>
        <w:t xml:space="preserve">★ উত্তর ★ | ★ Answer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বৈধ প্রত্যাখ্যানের কারণ (বাংলা)</w:t>
            </w:r>
          </w:p>
        </w:tc>
        <w:tc>
          <w:tcPr>
            <w:tcW w:type="dxa" w:w="46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Valid Reason for Return (English)</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হিসাবে অপর্যাপ্ত তহবিল (Insufficient Funds)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Insufficient funds in account</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চেকের মেয়াদ উত্তীর্ণ — ৬ মাসের বেশি পুরনো (Sec 73)</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Stale cheque — more than 6 months old (Sec 73)</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পোস্ট-ডেটেড চেক — তারিখ এখনও হয়নি</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Post-dated cheque — date not yet reached</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Stop Payment Order — Drawer-এর নির্দেশ</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Stop payment instruction from drawer</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Garnishee Order বা আদালতের আদেশ</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Garnishee Order or court restraint order</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গ্রাহকের মৃত্যু, দেউলিয়া বা অপ্রকৃতস্থতার খবরে</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Notice of death, insolvency or insanity</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Material Alteration — পরিমাণে অমিল, তারিখ নেই</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Material alteration — figures/words differ, no date</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ব্যাংকিং ঘণ্টার বাইরে উপস্থাপন (NI Act Sec 65)</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Presented outside banking hours (Sec 65)</w:t>
            </w:r>
          </w:p>
        </w:tc>
      </w:tr>
    </w:tbl>
    <w:p>
      <w:r>
        <w:br w:type="page"/>
      </w:r>
    </w:p>
    <w:p>
      <w:pPr>
        <w:spacing w:before="300" w:after="0"/>
      </w:pPr>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B3E" w:sz="1"/>
              <w:left w:val="single" w:color="0D1B3E" w:sz="1"/>
              <w:bottom w:val="single" w:color="0D1B3E" w:sz="1"/>
              <w:right w:val="single" w:color="0D1B3E" w:sz="1"/>
            </w:tcBorders>
            <w:shd w:fill="0D1B3E" w:val="clear"/>
            <w:tcMar>
              <w:top w:type="dxa" w:w="160"/>
              <w:left w:type="dxa" w:w="220"/>
              <w:bottom w:type="dxa" w:w="160"/>
              <w:right w:type="dxa" w:w="220"/>
            </w:tcMar>
          </w:tcPr>
          <w:p>
            <w:pPr>
              <w:spacing w:before="0" w:after="40"/>
            </w:pPr>
            <w:r>
              <w:rPr>
                <w:rFonts w:ascii="Arial" w:cs="Arial" w:eastAsia="Arial" w:hAnsi="Arial"/>
                <w:b/>
                <w:bCs/>
                <w:caps/>
                <w:color w:val="C8860A"/>
                <w:sz w:val="22"/>
                <w:szCs w:val="22"/>
              </w:rPr>
              <w:t xml:space="preserve">MODULE J</w:t>
            </w:r>
            <w:r>
              <w:rPr>
                <w:rFonts w:ascii="Arial" w:cs="Arial" w:eastAsia="Arial" w:hAnsi="Arial"/>
                <w:color w:val="AAAAAA"/>
                <w:sz w:val="22"/>
                <w:szCs w:val="22"/>
              </w:rPr>
              <w:t xml:space="preserve"> — </w:t>
            </w:r>
            <w:r>
              <w:rPr>
                <w:rFonts w:ascii="Arial" w:cs="Arial" w:eastAsia="Arial" w:hAnsi="Arial"/>
                <w:color w:val="CCCCCC"/>
                <w:sz w:val="22"/>
                <w:szCs w:val="22"/>
              </w:rPr>
              <w:t xml:space="preserve">Dormant Account • Standing Instruction • Stop Payment • Digital Banking • MFS • No-Frill</w:t>
            </w:r>
          </w:p>
          <w:p>
            <w:pPr>
              <w:spacing w:before="0" w:after="0"/>
            </w:pPr>
            <w:r>
              <w:rPr>
                <w:rFonts w:ascii="Arial" w:cs="Arial" w:eastAsia="Arial" w:hAnsi="Arial"/>
                <w:b/>
                <w:bCs/>
                <w:color w:val="FFFFFF"/>
                <w:sz w:val="34"/>
                <w:szCs w:val="34"/>
              </w:rPr>
              <w:t xml:space="preserve">General Banking</w:t>
            </w:r>
          </w:p>
        </w:tc>
      </w:tr>
    </w:tbl>
    <w:p>
      <w:pPr>
        <w:spacing w:before="60" w:after="60" w:line="276"/>
        <w:jc w:val="left"/>
      </w:pPr>
      <w:r>
        <w:rPr>
          <w:rFonts w:ascii="Arial" w:cs="Arial" w:eastAsia="Arial" w:hAnsi="Arial"/>
          <w:b w:val="false"/>
          <w:bCs w:val="false"/>
          <w:i w:val="false"/>
          <w:iCs w:val="false"/>
          <w:color w:val="000000"/>
          <w:sz w:val="24"/>
          <w:szCs w:val="24"/>
        </w:rPr>
        <w:t xml:space="preserve"> </w:t>
      </w:r>
    </w:p>
    <w:p>
      <w:pPr>
        <w:spacing w:before="280" w:after="0"/>
      </w:pPr>
      <w:r>
        <w:rPr>
          <w:rFonts w:ascii="Arial" w:cs="Arial" w:eastAsia="Arial" w:hAnsi="Arial"/>
          <w:b/>
          <w:bCs/>
          <w:color w:val="8B1A1A"/>
          <w:sz w:val="28"/>
          <w:szCs w:val="28"/>
        </w:rPr>
        <w:t xml:space="preserve">প্রশ্ন J-1 | Question J-1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Standing Instruction কী? Stop Payment Instruction কীভাবে কাজ করে? Digital Bank ও প্রচলিত ব্যাংকের মধ্যে মূল পার্থক্য কী?</w:t>
      </w:r>
    </w:p>
    <w:p>
      <w:pPr>
        <w:spacing w:before="0" w:after="100"/>
      </w:pPr>
      <w:r>
        <w:rPr>
          <w:rFonts w:ascii="Arial" w:cs="Arial" w:eastAsia="Arial" w:hAnsi="Arial"/>
          <w:i/>
          <w:iCs/>
          <w:color w:val="555555"/>
          <w:sz w:val="22"/>
          <w:szCs w:val="22"/>
        </w:rPr>
        <w:t xml:space="preserve">What is Standing Instruction? How does Stop Payment Instruction work? Key differences between Digital Bank and conventional bank?</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Standing Instruction ও Stop Payment Instruction-এর পদ্ধতি বর্ণনা করুন। [১০]</w:t>
      </w:r>
    </w:p>
    <w:p>
      <w:pPr>
        <w:spacing w:before="0" w:after="80"/>
      </w:pPr>
      <w:r>
        <w:rPr>
          <w:rFonts w:ascii="Arial" w:cs="Arial" w:eastAsia="Arial" w:hAnsi="Arial"/>
          <w:i/>
          <w:iCs/>
          <w:color w:val="555555"/>
          <w:sz w:val="21"/>
          <w:szCs w:val="21"/>
        </w:rPr>
        <w:t xml:space="preserve">Describe procedures for Standing Instruction and Stop Payment Instruction. [10]</w:t>
      </w:r>
    </w:p>
    <w:p>
      <w:pPr>
        <w:shd w:fill="FFF8E1" w:val="clear"/>
        <w:spacing w:before="100" w:after="100"/>
        <w:jc w:val="center"/>
      </w:pPr>
      <w:r>
        <w:rPr>
          <w:rFonts w:ascii="Arial" w:cs="Arial" w:eastAsia="Arial" w:hAnsi="Arial"/>
          <w:b/>
          <w:bCs/>
          <w:color w:val="8B1A1A"/>
          <w:sz w:val="24"/>
          <w:szCs w:val="24"/>
        </w:rPr>
        <w:t xml:space="preserve">★ উত্তর ★ | ★ Answer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860A" w:sz="1"/>
              <w:left w:val="single" w:color="C8860A" w:sz="1"/>
              <w:bottom w:val="single" w:color="C8860A" w:sz="1"/>
              <w:right w:val="single" w:color="C8860A" w:sz="1"/>
            </w:tcBorders>
            <w:shd w:fill="FFF8E1" w:val="clear"/>
            <w:tcMar>
              <w:top w:type="dxa" w:w="120"/>
              <w:left w:type="dxa" w:w="180"/>
              <w:bottom w:type="dxa" w:w="120"/>
              <w:right w:type="dxa" w:w="180"/>
            </w:tcMar>
          </w:tcPr>
          <w:p>
            <w:pPr>
              <w:spacing w:before="60" w:after="40"/>
            </w:pPr>
            <w:r>
              <w:rPr>
                <w:rFonts w:ascii="Arial" w:cs="Arial" w:eastAsia="Arial" w:hAnsi="Arial"/>
                <w:b/>
                <w:bCs/>
                <w:caps/>
                <w:color w:val="C8860A"/>
                <w:sz w:val="22"/>
                <w:szCs w:val="22"/>
              </w:rPr>
              <w:t xml:space="preserve">📖 Standing Instruction সংজ্ঞা</w:t>
            </w:r>
          </w:p>
          <w:p>
            <w:pPr>
              <w:spacing w:before="0" w:after="40"/>
            </w:pPr>
            <w:r>
              <w:rPr>
                <w:rFonts w:ascii="Arial" w:cs="Arial" w:eastAsia="Arial" w:hAnsi="Arial"/>
                <w:color w:val="1A3A6B"/>
                <w:sz w:val="23"/>
                <w:szCs w:val="23"/>
              </w:rPr>
              <w:t xml:space="preserve">Standing Instruction হলো গ্রাহকের পূর্ব-নির্দেশনা অনুযায়ী ব্যাংক নিয়মিত বিরতিতে স্বয়ংক্রিয়ভাবে নির্দিষ্ট পরিমাণ অর্থ নির্দিষ্ট হিসাবে হস্তান্তর করে।</w:t>
            </w:r>
          </w:p>
          <w:p>
            <w:pPr>
              <w:spacing w:before="0" w:after="60"/>
            </w:pPr>
            <w:r>
              <w:rPr>
                <w:rFonts w:ascii="Arial" w:cs="Arial" w:eastAsia="Arial" w:hAnsi="Arial"/>
                <w:i/>
                <w:iCs/>
                <w:color w:val="444444"/>
                <w:sz w:val="22"/>
                <w:szCs w:val="22"/>
              </w:rPr>
              <w:t xml:space="preserve">→ Standing Instruction is an arrangement where bank automatically transfers a specified amount at regular intervals per customer's prior written instruction.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Stop Payment পদ্ধতি (বাংলা)</w:t>
            </w:r>
          </w:p>
        </w:tc>
        <w:tc>
          <w:tcPr>
            <w:tcW w:type="dxa" w:w="46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Stop Payment Procedure (English)</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Stop Payment: Drawer-এর নির্দেশে নির্দিষ্ট চেক পরিশোধ বাতিল করার আদেশ</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Stop Payment: Account holder's order to cancel payment of specific cheque</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রেজিস্টারে তারিখ, সময় ও স্বাক্ষর যাচাই করে এন্ট্রি করুন</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Register with date, time verification of signature</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Ledger-এ Stop Payment সিল দিন</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Affix stop payment seal on ledger folio</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যখন চেক আসবে: 'Payment Stopped by Drawer' বলে ফেরত</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When cheque comes: return marked 'Payment Stopped by Drawer'</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লিখিত নির্দেশ ছাড়া Stop Payment কার্যকর নয়</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Stop payment not effective without written instruction</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Digital Bank ও MFS (Mobile Financial Services) বাংলাদেশে কীভাবে কাজ করে? No-Frill Account কী? [১০]</w:t>
      </w:r>
    </w:p>
    <w:p>
      <w:pPr>
        <w:spacing w:before="0" w:after="80"/>
      </w:pPr>
      <w:r>
        <w:rPr>
          <w:rFonts w:ascii="Arial" w:cs="Arial" w:eastAsia="Arial" w:hAnsi="Arial"/>
          <w:i/>
          <w:iCs/>
          <w:color w:val="555555"/>
          <w:sz w:val="21"/>
          <w:szCs w:val="21"/>
        </w:rPr>
        <w:t xml:space="preserve">How do Digital Banking and MFS work in Bangladesh? What is No-Frill Account?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BB Digital Bank Guideline 2023; BB MFS Guideline 2011; RFFO FinTech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বিষয়</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Digital Bank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প্রচলিত ব্যাংক</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শাখা</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কোনো শারীরিক শাখা নেই</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শারীরিক শাখা আছে</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সেবা</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সম্পূর্ণ অনলাইন/অ্যাপ-ভিত্তিক</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শাখা + অনলাইন উভয়</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খরচ</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অনেক কম (Overhead নেই)</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বেশি (শাখা খরচ)</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লাইসেন্স</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BB-এর বিশেষ ডিজিটাল লাইসেন্স</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BCA 1991 অনুযায়ী</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লক্ষ্য</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আনব্যাংকড, তরুণ প্রজন্ম</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সব শ্রেণির গ্রাহক</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E30" w:sz="1"/>
              <w:left w:val="single" w:color="1A5E30" w:sz="1"/>
              <w:bottom w:val="single" w:color="1A5E30" w:sz="1"/>
              <w:right w:val="single" w:color="1A5E30" w:sz="1"/>
            </w:tcBorders>
            <w:shd w:fill="E8F5E9" w:val="clear"/>
            <w:tcMar>
              <w:top w:type="dxa" w:w="120"/>
              <w:left w:type="dxa" w:w="180"/>
              <w:bottom w:type="dxa" w:w="120"/>
              <w:right w:type="dxa" w:w="180"/>
            </w:tcMar>
          </w:tcPr>
          <w:p>
            <w:pPr>
              <w:spacing w:before="60" w:after="40"/>
            </w:pPr>
            <w:r>
              <w:rPr>
                <w:rFonts w:ascii="Arial" w:cs="Arial" w:eastAsia="Arial" w:hAnsi="Arial"/>
                <w:b/>
                <w:bCs/>
                <w:caps/>
                <w:color w:val="1A5E30"/>
                <w:sz w:val="22"/>
                <w:szCs w:val="22"/>
              </w:rPr>
              <w:t xml:space="preserve">📌 No-Frill Account বৈশিষ্ট্য</w:t>
            </w:r>
          </w:p>
          <w:p>
            <w:pPr>
              <w:spacing w:before="0" w:after="40"/>
            </w:pPr>
            <w:r>
              <w:rPr>
                <w:rFonts w:ascii="Arial" w:cs="Arial" w:eastAsia="Arial" w:hAnsi="Arial"/>
                <w:color w:val="1A3A6B"/>
                <w:sz w:val="23"/>
                <w:szCs w:val="23"/>
              </w:rPr>
              <w:t xml:space="preserve">No-Frill Account হলো দরিদ্র ও আনব্যাংকড জনগোষ্ঠীর জন্য বিশেষ হিসাব। কোনো নূন্যতম জমা নেই, কোনো চার্জ নেই। কৃষক ১০ টাকায়, গার্মেন্টস শ্রমিক ১০০ টাকায় খুলতে পারেন।</w:t>
            </w:r>
          </w:p>
          <w:p>
            <w:pPr>
              <w:spacing w:before="0" w:after="60"/>
            </w:pPr>
            <w:r>
              <w:rPr>
                <w:rFonts w:ascii="Arial" w:cs="Arial" w:eastAsia="Arial" w:hAnsi="Arial"/>
                <w:i/>
                <w:iCs/>
                <w:color w:val="444444"/>
                <w:sz w:val="22"/>
                <w:szCs w:val="22"/>
              </w:rPr>
              <w:t xml:space="preserve">→ No-Frill Account: For unbanked population. No minimum balance, no fees. Farmers open with Tk. 10, garment workers with Tk. 100.</w:t>
            </w:r>
          </w:p>
        </w:tc>
      </w:tr>
    </w:tbl>
    <w:p>
      <w:pPr>
        <w:pBdr>
          <w:bottom w:val="single" w:color="C8860A" w:sz="6" w:space="1"/>
        </w:pBdr>
        <w:spacing w:before="120" w:after="120"/>
      </w:pPr>
    </w:p>
    <w:p>
      <w:pPr>
        <w:spacing w:before="300" w:after="0"/>
      </w:pPr>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B3E" w:sz="1"/>
              <w:left w:val="single" w:color="0D1B3E" w:sz="1"/>
              <w:bottom w:val="single" w:color="0D1B3E" w:sz="1"/>
              <w:right w:val="single" w:color="0D1B3E" w:sz="1"/>
            </w:tcBorders>
            <w:shd w:fill="0D1B3E" w:val="clear"/>
            <w:tcMar>
              <w:top w:type="dxa" w:w="160"/>
              <w:left w:type="dxa" w:w="220"/>
              <w:bottom w:type="dxa" w:w="160"/>
              <w:right w:type="dxa" w:w="220"/>
            </w:tcMar>
          </w:tcPr>
          <w:p>
            <w:pPr>
              <w:spacing w:before="0" w:after="40"/>
            </w:pPr>
            <w:r>
              <w:rPr>
                <w:rFonts w:ascii="Arial" w:cs="Arial" w:eastAsia="Arial" w:hAnsi="Arial"/>
                <w:b/>
                <w:bCs/>
                <w:caps/>
                <w:color w:val="C8860A"/>
                <w:sz w:val="22"/>
                <w:szCs w:val="22"/>
              </w:rPr>
              <w:t xml:space="preserve">MODULE K</w:t>
            </w:r>
            <w:r>
              <w:rPr>
                <w:rFonts w:ascii="Arial" w:cs="Arial" w:eastAsia="Arial" w:hAnsi="Arial"/>
                <w:color w:val="AAAAAA"/>
                <w:sz w:val="22"/>
                <w:szCs w:val="22"/>
              </w:rPr>
              <w:t xml:space="preserve"> — </w:t>
            </w:r>
            <w:r>
              <w:rPr>
                <w:rFonts w:ascii="Arial" w:cs="Arial" w:eastAsia="Arial" w:hAnsi="Arial"/>
                <w:color w:val="CCCCCC"/>
                <w:sz w:val="22"/>
                <w:szCs w:val="22"/>
              </w:rPr>
              <w:t xml:space="preserve">CRR • SLR • Vault • Notes • Fake Notes • Locker • Prize Bond • IBC/OBC</w:t>
            </w:r>
          </w:p>
          <w:p>
            <w:pPr>
              <w:spacing w:before="0" w:after="0"/>
            </w:pPr>
            <w:r>
              <w:rPr>
                <w:rFonts w:ascii="Arial" w:cs="Arial" w:eastAsia="Arial" w:hAnsi="Arial"/>
                <w:b/>
                <w:bCs/>
                <w:color w:val="FFFFFF"/>
                <w:sz w:val="34"/>
                <w:szCs w:val="34"/>
              </w:rPr>
              <w:t xml:space="preserve">Cash Management</w:t>
            </w:r>
          </w:p>
        </w:tc>
      </w:tr>
    </w:tbl>
    <w:p>
      <w:pPr>
        <w:spacing w:before="60" w:after="60" w:line="276"/>
        <w:jc w:val="left"/>
      </w:pPr>
      <w:r>
        <w:rPr>
          <w:rFonts w:ascii="Arial" w:cs="Arial" w:eastAsia="Arial" w:hAnsi="Arial"/>
          <w:b w:val="false"/>
          <w:bCs w:val="false"/>
          <w:i w:val="false"/>
          <w:iCs w:val="false"/>
          <w:color w:val="000000"/>
          <w:sz w:val="24"/>
          <w:szCs w:val="24"/>
        </w:rPr>
        <w:t xml:space="preserve"> </w:t>
      </w:r>
    </w:p>
    <w:p>
      <w:pPr>
        <w:spacing w:before="280" w:after="0"/>
      </w:pPr>
      <w:r>
        <w:rPr>
          <w:rFonts w:ascii="Arial" w:cs="Arial" w:eastAsia="Arial" w:hAnsi="Arial"/>
          <w:b/>
          <w:bCs/>
          <w:color w:val="8B1A1A"/>
          <w:sz w:val="28"/>
          <w:szCs w:val="28"/>
        </w:rPr>
        <w:t xml:space="preserve">প্রশ্ন K-1 | Question K-1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ক্ষতিগ্রস্ত (Mutilated), জাল (Fake) ও অর্ধেক (Half) নোট ব্যবস্থাপনার পদ্ধতি কী? Vault Limit ও Cash Counter Limit-এর গুরুত্ব কী?</w:t>
      </w:r>
    </w:p>
    <w:p>
      <w:pPr>
        <w:spacing w:before="0" w:after="100"/>
      </w:pPr>
      <w:r>
        <w:rPr>
          <w:rFonts w:ascii="Arial" w:cs="Arial" w:eastAsia="Arial" w:hAnsi="Arial"/>
          <w:i/>
          <w:iCs/>
          <w:color w:val="555555"/>
          <w:sz w:val="22"/>
          <w:szCs w:val="22"/>
        </w:rPr>
        <w:t xml:space="preserve">What are procedures for handling Mutilated, Fake and Half notes? What is importance of Vault Limit and Cash Counter Limit?</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বিভিন্ন ধরনের নোট ব্যবস্থাপনার নিয়ম বর্ণনা করুন। [১০]</w:t>
      </w:r>
    </w:p>
    <w:p>
      <w:pPr>
        <w:spacing w:before="0" w:after="80"/>
      </w:pPr>
      <w:r>
        <w:rPr>
          <w:rFonts w:ascii="Arial" w:cs="Arial" w:eastAsia="Arial" w:hAnsi="Arial"/>
          <w:i/>
          <w:iCs/>
          <w:color w:val="555555"/>
          <w:sz w:val="21"/>
          <w:szCs w:val="21"/>
        </w:rPr>
        <w:t xml:space="preserve">Describe rules for handling different types of notes.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Bangladesh Bank (Note Refund) Regulations 2012; BB Guidelines on Fake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নোটের ধরন</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বাংলা পদ্ধতি</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English Procedure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Mutilated/ছেঁড়া নোট</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৫০%+ অক্ষত → পূর্ণ মূল্য; ৪০-৫০% → অর্ধেক মূল্য [BB Reg 2012]</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50%+ intact = full value; 40-50% = half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Half Note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দুটি অর্ধেক ক্রমিক নম্বর মিললে পূর্ণ মূল্য</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Two matching serial number halves = full 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Charred/পোড়া নোট</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মূল্যমান নির্ধারণ করে BB পরিশোধ — তদন্ত সাপেক্ষে</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BB determines value after investigation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Fake/জাল নোট</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Counter Stamp দিন → GD করুন → BB-কে জানান → মামলা</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Stamp FORGED → file GD → inform BB → file criminal case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ভেজা/নোংরা নোট</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BB নির্দেশিকা অনুযায়ী গ্রহণ বা প্রত্যাখ্যান</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Accept/reject per BB guidelines on soiled/damp notes</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Locker Management ও Prize Bond Safe Keeping-এর পদ্ধতি বর্ণনা করুন। [১০]</w:t>
      </w:r>
    </w:p>
    <w:p>
      <w:pPr>
        <w:spacing w:before="0" w:after="80"/>
      </w:pPr>
      <w:r>
        <w:rPr>
          <w:rFonts w:ascii="Arial" w:cs="Arial" w:eastAsia="Arial" w:hAnsi="Arial"/>
          <w:i/>
          <w:iCs/>
          <w:color w:val="555555"/>
          <w:sz w:val="21"/>
          <w:szCs w:val="21"/>
        </w:rPr>
        <w:t xml:space="preserve">Describe Locker Management and Prize Bond Safe Keeping procedures. [10]</w:t>
      </w:r>
    </w:p>
    <w:p>
      <w:pPr>
        <w:shd w:fill="FFF8E1" w:val="clear"/>
        <w:spacing w:before="100" w:after="100"/>
        <w:jc w:val="center"/>
      </w:pPr>
      <w:r>
        <w:rPr>
          <w:rFonts w:ascii="Arial" w:cs="Arial" w:eastAsia="Arial" w:hAnsi="Arial"/>
          <w:b/>
          <w:bCs/>
          <w:color w:val="8B1A1A"/>
          <w:sz w:val="24"/>
          <w:szCs w:val="24"/>
        </w:rPr>
        <w:t xml:space="preserve">★ উত্তর ★ | ★ Answer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Locker ও Prize Bond নিয়ম (বাংলা)</w:t>
            </w:r>
          </w:p>
        </w:tc>
        <w:tc>
          <w:tcPr>
            <w:tcW w:type="dxa" w:w="46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Locker &amp; Prize Bond Rule (English)</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দুটি চাবি — একটি গ্রাহকের, একটি ব্যাংকের (Master Key)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Two keys — one customer, one bank (Master Key)</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Locker রেজিস্টার সংরক্ষণ বাধ্যতামূলক</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Maintain Locker Register mandatorily</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বার্ষিক ভাড়া অগ্রিম পরিশোধ করতে হয়</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Annual rent must be paid in advance</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Nominee মনোনয়নের সুযোগ আছে</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Nomination facility available</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Prize Bond Stock Register সংরক্ষণ করতে হয়</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Maintain Prize Bond Stock Register</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প্রতি ৩ মাস অন্তর লটারি ড্র — BB পরিচালনা করে</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Lottery draw every 3 months — managed by BB</w:t>
            </w:r>
          </w:p>
        </w:tc>
      </w:tr>
    </w:tbl>
    <w:p>
      <w:r>
        <w:br w:type="page"/>
      </w:r>
    </w:p>
    <w:p>
      <w:pPr>
        <w:spacing w:before="300" w:after="0"/>
      </w:pPr>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B3E" w:sz="1"/>
              <w:left w:val="single" w:color="0D1B3E" w:sz="1"/>
              <w:bottom w:val="single" w:color="0D1B3E" w:sz="1"/>
              <w:right w:val="single" w:color="0D1B3E" w:sz="1"/>
            </w:tcBorders>
            <w:shd w:fill="0D1B3E" w:val="clear"/>
            <w:tcMar>
              <w:top w:type="dxa" w:w="160"/>
              <w:left w:type="dxa" w:w="220"/>
              <w:bottom w:type="dxa" w:w="160"/>
              <w:right w:type="dxa" w:w="220"/>
            </w:tcMar>
          </w:tcPr>
          <w:p>
            <w:pPr>
              <w:spacing w:before="0" w:after="40"/>
            </w:pPr>
            <w:r>
              <w:rPr>
                <w:rFonts w:ascii="Arial" w:cs="Arial" w:eastAsia="Arial" w:hAnsi="Arial"/>
                <w:b/>
                <w:bCs/>
                <w:caps/>
                <w:color w:val="C8860A"/>
                <w:sz w:val="22"/>
                <w:szCs w:val="22"/>
              </w:rPr>
              <w:t xml:space="preserve">MODULE L</w:t>
            </w:r>
            <w:r>
              <w:rPr>
                <w:rFonts w:ascii="Arial" w:cs="Arial" w:eastAsia="Arial" w:hAnsi="Arial"/>
                <w:color w:val="AAAAAA"/>
                <w:sz w:val="22"/>
                <w:szCs w:val="22"/>
              </w:rPr>
              <w:t xml:space="preserve"> — </w:t>
            </w:r>
            <w:r>
              <w:rPr>
                <w:rFonts w:ascii="Arial" w:cs="Arial" w:eastAsia="Arial" w:hAnsi="Arial"/>
                <w:color w:val="CCCCCC"/>
                <w:sz w:val="22"/>
                <w:szCs w:val="22"/>
              </w:rPr>
              <w:t xml:space="preserve">DCFCL • Morning Call • Reconciliation • Record Management • BCP</w:t>
            </w:r>
          </w:p>
          <w:p>
            <w:pPr>
              <w:spacing w:before="0" w:after="0"/>
            </w:pPr>
            <w:r>
              <w:rPr>
                <w:rFonts w:ascii="Arial" w:cs="Arial" w:eastAsia="Arial" w:hAnsi="Arial"/>
                <w:b/>
                <w:bCs/>
                <w:color w:val="FFFFFF"/>
                <w:sz w:val="34"/>
                <w:szCs w:val="34"/>
              </w:rPr>
              <w:t xml:space="preserve">Other General Banking</w:t>
            </w:r>
          </w:p>
        </w:tc>
      </w:tr>
    </w:tbl>
    <w:p>
      <w:pPr>
        <w:spacing w:before="60" w:after="60" w:line="276"/>
        <w:jc w:val="left"/>
      </w:pPr>
      <w:r>
        <w:rPr>
          <w:rFonts w:ascii="Arial" w:cs="Arial" w:eastAsia="Arial" w:hAnsi="Arial"/>
          <w:b w:val="false"/>
          <w:bCs w:val="false"/>
          <w:i w:val="false"/>
          <w:iCs w:val="false"/>
          <w:color w:val="000000"/>
          <w:sz w:val="24"/>
          <w:szCs w:val="24"/>
        </w:rPr>
        <w:t xml:space="preserve"> </w:t>
      </w:r>
    </w:p>
    <w:p>
      <w:pPr>
        <w:spacing w:before="280" w:after="0"/>
      </w:pPr>
      <w:r>
        <w:rPr>
          <w:rFonts w:ascii="Arial" w:cs="Arial" w:eastAsia="Arial" w:hAnsi="Arial"/>
          <w:b/>
          <w:bCs/>
          <w:color w:val="8B1A1A"/>
          <w:sz w:val="28"/>
          <w:szCs w:val="28"/>
        </w:rPr>
        <w:t xml:space="preserve">প্রশ্ন L-1 | Question L-1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DCFCL (Departmental Control Function Checklist) কী? ব্যাংকে এর গুরুত্ব কী? Morning Call কীভাবে ব্যাংকের ঝুঁকি কমায়?</w:t>
      </w:r>
    </w:p>
    <w:p>
      <w:pPr>
        <w:spacing w:before="0" w:after="100"/>
      </w:pPr>
      <w:r>
        <w:rPr>
          <w:rFonts w:ascii="Arial" w:cs="Arial" w:eastAsia="Arial" w:hAnsi="Arial"/>
          <w:i/>
          <w:iCs/>
          <w:color w:val="555555"/>
          <w:sz w:val="22"/>
          <w:szCs w:val="22"/>
        </w:rPr>
        <w:t xml:space="preserve">What is DCFCL? What is its importance in banking? How does Morning Call reduce bank risk?</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DCFCL-এর সংজ্ঞা, উদ্দেশ্য ও গুরুত্ব বর্ণনা করুন। [১০]</w:t>
      </w:r>
    </w:p>
    <w:p>
      <w:pPr>
        <w:spacing w:before="0" w:after="80"/>
      </w:pPr>
      <w:r>
        <w:rPr>
          <w:rFonts w:ascii="Arial" w:cs="Arial" w:eastAsia="Arial" w:hAnsi="Arial"/>
          <w:i/>
          <w:iCs/>
          <w:color w:val="555555"/>
          <w:sz w:val="21"/>
          <w:szCs w:val="21"/>
        </w:rPr>
        <w:t xml:space="preserve">Define DCFCL, describe its objectives and importance. [10]</w:t>
      </w:r>
    </w:p>
    <w:p>
      <w:pPr>
        <w:shd w:fill="FFF8E1" w:val="clear"/>
        <w:spacing w:before="100" w:after="100"/>
        <w:jc w:val="center"/>
      </w:pPr>
      <w:r>
        <w:rPr>
          <w:rFonts w:ascii="Arial" w:cs="Arial" w:eastAsia="Arial" w:hAnsi="Arial"/>
          <w:b/>
          <w:bCs/>
          <w:color w:val="8B1A1A"/>
          <w:sz w:val="24"/>
          <w:szCs w:val="24"/>
        </w:rPr>
        <w:t xml:space="preserve">★ উত্তর ★ | ★ Answer ★</w:t>
      </w:r>
    </w:p>
    <w:p>
      <w:pPr>
        <w:spacing w:before="60" w:after="60"/>
      </w:pPr>
      <w:r>
        <w:rPr>
          <w:rFonts w:ascii="Arial" w:cs="Arial" w:eastAsia="Arial" w:hAnsi="Arial"/>
          <w:sz w:val="22"/>
          <w:szCs w:val="22"/>
        </w:rPr>
        <w:t xml:space="preserve">⚖️ </w:t>
      </w:r>
      <w:r>
        <w:rPr>
          <w:rFonts w:ascii="Arial" w:cs="Arial" w:eastAsia="Arial" w:hAnsi="Arial"/>
          <w:b/>
          <w:bCs/>
          <w:color w:val="5A2D8B"/>
          <w:sz w:val="22"/>
          <w:szCs w:val="22"/>
        </w:rPr>
        <w:t xml:space="preserve">আইনি ভিত্তি: BB BRPD Circular — DCFCL; Internal Control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1"/>
              <w:left w:val="single" w:color="1A3A6B" w:sz="1"/>
              <w:bottom w:val="single" w:color="1A3A6B" w:sz="1"/>
              <w:right w:val="single" w:color="1A3A6B" w:sz="1"/>
            </w:tcBorders>
            <w:shd w:fill="EEF2FF" w:val="clear"/>
            <w:tcMar>
              <w:top w:type="dxa" w:w="120"/>
              <w:left w:type="dxa" w:w="180"/>
              <w:bottom w:type="dxa" w:w="120"/>
              <w:right w:type="dxa" w:w="180"/>
            </w:tcMar>
          </w:tcPr>
          <w:p>
            <w:pPr>
              <w:spacing w:before="60" w:after="40"/>
            </w:pPr>
            <w:r>
              <w:rPr>
                <w:rFonts w:ascii="Arial" w:cs="Arial" w:eastAsia="Arial" w:hAnsi="Arial"/>
                <w:b/>
                <w:bCs/>
                <w:caps/>
                <w:color w:val="1A3A6B"/>
                <w:sz w:val="22"/>
                <w:szCs w:val="22"/>
              </w:rPr>
              <w:t xml:space="preserve">📖 DCFCL সংজ্ঞা</w:t>
            </w:r>
          </w:p>
          <w:p>
            <w:pPr>
              <w:spacing w:before="0" w:after="40"/>
            </w:pPr>
            <w:r>
              <w:rPr>
                <w:rFonts w:ascii="Arial" w:cs="Arial" w:eastAsia="Arial" w:hAnsi="Arial"/>
                <w:color w:val="1A3A6B"/>
                <w:sz w:val="23"/>
                <w:szCs w:val="23"/>
              </w:rPr>
              <w:t xml:space="preserve">DCFCL (Departmental Control Function Checklist) হলো প্রতিটি বিভাগের নির্ধারিত পদ্ধতি ও নিয়ন্ত্রণ সঠিকভাবে অনুসরণ করা হচ্ছে কিনা তা নিশ্চিত করার জন্য একটি নির্দিষ্ট চেকলিস্ট।</w:t>
            </w:r>
          </w:p>
          <w:p>
            <w:pPr>
              <w:spacing w:before="0" w:after="60"/>
            </w:pPr>
            <w:r>
              <w:rPr>
                <w:rFonts w:ascii="Arial" w:cs="Arial" w:eastAsia="Arial" w:hAnsi="Arial"/>
                <w:i/>
                <w:iCs/>
                <w:color w:val="444444"/>
                <w:sz w:val="22"/>
                <w:szCs w:val="22"/>
              </w:rPr>
              <w:t xml:space="preserve">→ DCFCL is a checklist for reviewing/verifying departmental functions to ensure prescribed procedures are being correctly followed.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DCFCL কার্যাবলী (বাংলা)</w:t>
            </w:r>
          </w:p>
        </w:tc>
        <w:tc>
          <w:tcPr>
            <w:tcW w:type="dxa" w:w="46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DCFCL Function (English)</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দৈনিক/সাপ্তাহিক/মাসিক/ত্রৈমাসিকভাবে পর্যালোচনা করা হয়</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Reviewed daily/weekly/monthly/quarterly</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শাখা প্রধান, বিভাগীয় ব্যবস্থাপক পর্যালোচনা করেন</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Reviewed by Branch Manager, Departmental Managers</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ভবিষ্যৎ পরিদর্শনের জন্য শাখায় সংরক্ষণ বাধ্যতামূলক</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Must be retained at branch for future inspection</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প্রতারণা, ত্রুটি ও অনিয়ম প্রতিরোধ করে</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Prevents fraud, errors and irregularities</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QOR — Quarterly Operations Review-এর সাথে ব্যবহৃত</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Used alongside QOR — Quarterly Operations Review</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Reconciliation কী? Record Management ও Business Continuity Plan (BCP)-এর গুরুত্ব কী? [১০]</w:t>
      </w:r>
    </w:p>
    <w:p>
      <w:pPr>
        <w:spacing w:before="0" w:after="80"/>
      </w:pPr>
      <w:r>
        <w:rPr>
          <w:rFonts w:ascii="Arial" w:cs="Arial" w:eastAsia="Arial" w:hAnsi="Arial"/>
          <w:i/>
          <w:iCs/>
          <w:color w:val="555555"/>
          <w:sz w:val="21"/>
          <w:szCs w:val="21"/>
        </w:rPr>
        <w:t xml:space="preserve">What is Reconciliation? Importance of Record Management and Business Continuity Plan (BCP)? [10]</w:t>
      </w:r>
    </w:p>
    <w:p>
      <w:pPr>
        <w:shd w:fill="FFF8E1" w:val="clear"/>
        <w:spacing w:before="100" w:after="100"/>
        <w:jc w:val="center"/>
      </w:pPr>
      <w:r>
        <w:rPr>
          <w:rFonts w:ascii="Arial" w:cs="Arial" w:eastAsia="Arial" w:hAnsi="Arial"/>
          <w:b/>
          <w:bCs/>
          <w:color w:val="8B1A1A"/>
          <w:sz w:val="24"/>
          <w:szCs w:val="24"/>
        </w:rPr>
        <w:t xml:space="preserve">★ উত্তর ★ | ★ Answer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860A" w:sz="1"/>
              <w:left w:val="single" w:color="C8860A" w:sz="1"/>
              <w:bottom w:val="single" w:color="C8860A" w:sz="1"/>
              <w:right w:val="single" w:color="C8860A" w:sz="1"/>
            </w:tcBorders>
            <w:shd w:fill="FFF8E1" w:val="clear"/>
            <w:tcMar>
              <w:top w:type="dxa" w:w="120"/>
              <w:left w:type="dxa" w:w="180"/>
              <w:bottom w:type="dxa" w:w="120"/>
              <w:right w:type="dxa" w:w="180"/>
            </w:tcMar>
          </w:tcPr>
          <w:p>
            <w:pPr>
              <w:spacing w:before="60" w:after="40"/>
            </w:pPr>
            <w:r>
              <w:rPr>
                <w:rFonts w:ascii="Arial" w:cs="Arial" w:eastAsia="Arial" w:hAnsi="Arial"/>
                <w:b/>
                <w:bCs/>
                <w:caps/>
                <w:color w:val="C8860A"/>
                <w:sz w:val="22"/>
                <w:szCs w:val="22"/>
              </w:rPr>
              <w:t xml:space="preserve">📖 Reconciliation সংজ্ঞা</w:t>
            </w:r>
          </w:p>
          <w:p>
            <w:pPr>
              <w:spacing w:before="0" w:after="40"/>
            </w:pPr>
            <w:r>
              <w:rPr>
                <w:rFonts w:ascii="Arial" w:cs="Arial" w:eastAsia="Arial" w:hAnsi="Arial"/>
                <w:color w:val="1A3A6B"/>
                <w:sz w:val="23"/>
                <w:szCs w:val="23"/>
              </w:rPr>
              <w:t xml:space="preserve">Reconciliation হলো ব্যাংকের দুটি পৃথক রেকর্ড (যেমন Core Banking System ও Manual Register) মধ্যে সামঞ্জস্য নিশ্চিত করার প্রক্রিয়া। প্রতারণা ও অনিয়ম শনাক্ত করে।</w:t>
            </w:r>
          </w:p>
          <w:p>
            <w:pPr>
              <w:spacing w:before="0" w:after="60"/>
            </w:pPr>
            <w:r>
              <w:rPr>
                <w:rFonts w:ascii="Arial" w:cs="Arial" w:eastAsia="Arial" w:hAnsi="Arial"/>
                <w:i/>
                <w:iCs/>
                <w:color w:val="444444"/>
                <w:sz w:val="22"/>
                <w:szCs w:val="22"/>
              </w:rPr>
              <w:t xml:space="preserve">→ Reconciliation is the process of confirming that two separate records match (e.g., CBS vs TP system). Detects fraud and irregularities.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Record Management ও BCP (বাংলা)</w:t>
            </w:r>
          </w:p>
        </w:tc>
        <w:tc>
          <w:tcPr>
            <w:tcW w:type="dxa" w:w="46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Record Management &amp; BCP (English)</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Electronic Records সংরক্ষণ: ন্যূনতম ৫ বছর [ICT Act 2006, Sec 9]</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Electronic records retention: Min 5 years [ICT Act 2006, Sec 9]</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STR/CTR রেকর্ড: ন্যূনতম ৫ বছর [MLPA 2012, Sec 25]</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STR/CTR records: Min 5 years [MLPA 2012, Sec 25]</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Ledger/Day Book/Cash Book: BB নির্দেশনা অনুযায়ী</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Ledger/Day Book/Cash Book: Per BB directive</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BCP: জরুরি পরিস্থিতিতে ব্যাংকের মূল কার্যক্রম অব্যাহত রাখার পরিকল্পনা</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BCP: Plan to maintain essential operations during emergency</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BCP অন্তর্ভুক্ত: Data Center ব্যাকআপ, DR Site, সিস্টেম পুনরুদ্ধার</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BCP includes: Data backup, DR site, system recovery procedures</w:t>
            </w:r>
          </w:p>
        </w:tc>
      </w:tr>
    </w:tbl>
    <w:p>
      <w:pPr>
        <w:pBdr>
          <w:bottom w:val="single" w:color="C8860A" w:sz="6" w:space="1"/>
        </w:pBdr>
        <w:spacing w:before="120" w:after="120"/>
      </w:pPr>
    </w:p>
    <w:p>
      <w:pPr>
        <w:spacing w:before="280" w:after="0"/>
      </w:pPr>
      <w:r>
        <w:rPr>
          <w:rFonts w:ascii="Arial" w:cs="Arial" w:eastAsia="Arial" w:hAnsi="Arial"/>
          <w:b/>
          <w:bCs/>
          <w:color w:val="8B1A1A"/>
          <w:sz w:val="28"/>
          <w:szCs w:val="28"/>
        </w:rPr>
        <w:t xml:space="preserve">প্রশ্ন L-2 | Question L-2  </w:t>
      </w:r>
      <w:r>
        <w:rPr>
          <w:rFonts w:ascii="Arial" w:cs="Arial" w:eastAsia="Arial" w:hAnsi="Arial"/>
          <w:b/>
          <w:bCs/>
          <w:color w:val="C8860A"/>
          <w:sz w:val="22"/>
          <w:szCs w:val="22"/>
        </w:rPr>
        <w:t xml:space="preserve">[মার্কস: 20 | Marks: 20]</w:t>
      </w:r>
    </w:p>
    <w:p>
      <w:pPr>
        <w:spacing w:before="80" w:after="60"/>
      </w:pPr>
      <w:r>
        <w:rPr>
          <w:rFonts w:ascii="Arial" w:cs="Arial" w:eastAsia="Arial" w:hAnsi="Arial"/>
          <w:b/>
          <w:bCs/>
          <w:color w:val="0D1B3E"/>
          <w:sz w:val="24"/>
          <w:szCs w:val="24"/>
        </w:rPr>
        <w:t xml:space="preserve">Morning Call কী? ব্যাংকের ঝুঁকি ব্যবস্থাপনায় এর ভূমিকা কী? ব্যাংকের Internal Control-এর মূল স্তম্ভগুলো কী?</w:t>
      </w:r>
    </w:p>
    <w:p>
      <w:pPr>
        <w:spacing w:before="0" w:after="100"/>
      </w:pPr>
      <w:r>
        <w:rPr>
          <w:rFonts w:ascii="Arial" w:cs="Arial" w:eastAsia="Arial" w:hAnsi="Arial"/>
          <w:i/>
          <w:iCs/>
          <w:color w:val="555555"/>
          <w:sz w:val="22"/>
          <w:szCs w:val="22"/>
        </w:rPr>
        <w:t xml:space="preserve">What is Morning Call? Its role in bank risk management? What are main pillars of bank's Internal Control system?</w:t>
      </w:r>
    </w:p>
    <w:p>
      <w:pPr>
        <w:spacing w:before="200" w:after="40"/>
      </w:pPr>
      <w:r>
        <w:rPr>
          <w:rFonts w:ascii="Arial" w:cs="Arial" w:eastAsia="Arial" w:hAnsi="Arial"/>
          <w:b/>
          <w:bCs/>
          <w:color w:val="8B1A1A"/>
          <w:sz w:val="24"/>
          <w:szCs w:val="24"/>
        </w:rPr>
        <w:t xml:space="preserve">(ক)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Morning Call-এর সংজ্ঞা, উদ্দেশ্য ও ব্যাংকের ঝুঁকি কমানোয় ভূমিকা বর্ণনা করুন। [১০]</w:t>
      </w:r>
    </w:p>
    <w:p>
      <w:pPr>
        <w:spacing w:before="0" w:after="80"/>
      </w:pPr>
      <w:r>
        <w:rPr>
          <w:rFonts w:ascii="Arial" w:cs="Arial" w:eastAsia="Arial" w:hAnsi="Arial"/>
          <w:i/>
          <w:iCs/>
          <w:color w:val="555555"/>
          <w:sz w:val="21"/>
          <w:szCs w:val="21"/>
        </w:rPr>
        <w:t xml:space="preserve">Define Morning Call, its objectives and role in reducing bank risk. [10]</w:t>
      </w:r>
    </w:p>
    <w:p>
      <w:pPr>
        <w:shd w:fill="FFF8E1" w:val="clear"/>
        <w:spacing w:before="100" w:after="100"/>
        <w:jc w:val="center"/>
      </w:pPr>
      <w:r>
        <w:rPr>
          <w:rFonts w:ascii="Arial" w:cs="Arial" w:eastAsia="Arial" w:hAnsi="Arial"/>
          <w:b/>
          <w:bCs/>
          <w:color w:val="8B1A1A"/>
          <w:sz w:val="24"/>
          <w:szCs w:val="24"/>
        </w:rPr>
        <w:t xml:space="preserve">★ উত্তর ★ | ★ Answer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Morning Call-এর ভূমিকা (বাংলা)</w:t>
            </w:r>
          </w:p>
        </w:tc>
        <w:tc>
          <w:tcPr>
            <w:tcW w:type="dxa" w:w="46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Morning Call Role (English)</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আগের দিনের সকল লেনদেন পর্যালোচনা</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Review all previous day's transactions at day start</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অস্বাভাবিক বা সন্দেহজনক লেনদেন তাৎক্ষণিক শনাক্ত</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Immediately identify unusual/suspicious transactions</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Cash Position ও Vault Limit যাচাই</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Verify cash position and vault limit</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কর্মকর্তাদের সাথে সমন্বয় ও নির্দেশনা প্রদান</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Coordination and direction to officers</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অপারেশনাল ঝুঁকি আগাম মোকাবেলা সম্ভব</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Proactive management of operational risks</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অভিযোগ ও সমস্যার দ্রুত সমাধান</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Quick resolution of complaints and problems</w:t>
            </w:r>
          </w:p>
        </w:tc>
      </w:tr>
    </w:tbl>
    <w:p>
      <w:pPr>
        <w:spacing w:before="200" w:after="40"/>
      </w:pPr>
      <w:r>
        <w:rPr>
          <w:rFonts w:ascii="Arial" w:cs="Arial" w:eastAsia="Arial" w:hAnsi="Arial"/>
          <w:b/>
          <w:bCs/>
          <w:color w:val="8B1A1A"/>
          <w:sz w:val="24"/>
          <w:szCs w:val="24"/>
        </w:rPr>
        <w:t xml:space="preserve">(খ)  </w:t>
      </w:r>
      <w:r>
        <w:rPr>
          <w:rFonts w:ascii="Arial" w:cs="Arial" w:eastAsia="Arial" w:hAnsi="Arial"/>
          <w:color w:val="C8860A"/>
          <w:sz w:val="22"/>
          <w:szCs w:val="22"/>
        </w:rPr>
        <w:t xml:space="preserve">[১০]</w:t>
      </w:r>
    </w:p>
    <w:p>
      <w:pPr>
        <w:spacing w:before="0" w:after="30"/>
      </w:pPr>
      <w:r>
        <w:rPr>
          <w:rFonts w:ascii="Arial" w:cs="Arial" w:eastAsia="Arial" w:hAnsi="Arial"/>
          <w:b/>
          <w:bCs/>
          <w:color w:val="1A3A6B"/>
          <w:sz w:val="23"/>
          <w:szCs w:val="23"/>
        </w:rPr>
        <w:t xml:space="preserve">ব্যাংকের Internal Control-এর মূল স্তম্ভ ও IBC/OBC কী? [১০]</w:t>
      </w:r>
    </w:p>
    <w:p>
      <w:pPr>
        <w:spacing w:before="0" w:after="80"/>
      </w:pPr>
      <w:r>
        <w:rPr>
          <w:rFonts w:ascii="Arial" w:cs="Arial" w:eastAsia="Arial" w:hAnsi="Arial"/>
          <w:i/>
          <w:iCs/>
          <w:color w:val="555555"/>
          <w:sz w:val="21"/>
          <w:szCs w:val="21"/>
        </w:rPr>
        <w:t xml:space="preserve">Main pillars of bank's Internal Control system and what are IBC/OBC? [10]</w:t>
      </w:r>
    </w:p>
    <w:p>
      <w:pPr>
        <w:shd w:fill="FFF8E1" w:val="clear"/>
        <w:spacing w:before="100" w:after="100"/>
        <w:jc w:val="center"/>
      </w:pPr>
      <w:r>
        <w:rPr>
          <w:rFonts w:ascii="Arial" w:cs="Arial" w:eastAsia="Arial" w:hAnsi="Arial"/>
          <w:b/>
          <w:bCs/>
          <w:color w:val="8B1A1A"/>
          <w:sz w:val="24"/>
          <w:szCs w:val="24"/>
        </w:rPr>
        <w:t xml:space="preserve">★ উত্তর ★ | ★ Answer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Internal Control স্তম্ভ (বাংলা)</w:t>
            </w:r>
          </w:p>
        </w:tc>
        <w:tc>
          <w:tcPr>
            <w:tcW w:type="dxa" w:w="46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Pillar (English)</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Segregation of Duties — কাজ ভাগ করা</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Segregation of Duties — distribute responsibilities</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Dual Control — দুজনের যাচাই বাধ্যতামূলক</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Dual Control — two-person verification mandatory</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DCFCL — নিয়মিত চেকলিস্ট পর্যালোচনা</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DCFCL — regular checklist review</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Internal Audit — স্বাধীন পরীক্ষা</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Internal Audit — independent examination</w:t>
            </w:r>
          </w:p>
        </w:tc>
      </w:tr>
      <w:tr>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IT Audit — সিস্টেম নিরাপত্তা নিশ্চিত</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IT Audit — ensure system security</w:t>
            </w:r>
          </w:p>
        </w:tc>
      </w:tr>
      <w:tr>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OBC: গ্রাহকের বিল সংগ্রহের জন্য পাঠানো | IBC: অন্য শাখা থেকে আসা বিল পরিশোধ</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2"/>
                <w:szCs w:val="22"/>
              </w:rPr>
              <w:t xml:space="preserve">OBC: Bills sent for collection | IBC: Bills received for payment</w:t>
            </w:r>
          </w:p>
        </w:tc>
      </w:tr>
    </w:tbl>
    <w:p>
      <w:r>
        <w:br w:type="page"/>
      </w:r>
    </w:p>
    <w:p>
      <w:pPr>
        <w:pStyle w:val="Heading1"/>
        <w:spacing w:before="280" w:after="140"/>
      </w:pPr>
      <w:r>
        <w:rPr>
          <w:rFonts w:ascii="Arial" w:cs="Arial" w:eastAsia="Arial" w:hAnsi="Arial"/>
          <w:b/>
          <w:bCs/>
          <w:color w:val="0D1B3E"/>
          <w:sz w:val="36"/>
          <w:szCs w:val="36"/>
        </w:rPr>
        <w:t xml:space="preserve">⚡ দ্রুত রেফারেন্স টেবিল | Quick Reference Table — সব গুরুত্বপূর্ণ সময়সীমা ও আইন</w:t>
      </w:r>
    </w:p>
    <w:p>
      <w:pPr>
        <w:spacing w:before="60" w:after="60" w:line="276"/>
        <w:jc w:val="left"/>
      </w:pPr>
      <w:r>
        <w:rPr>
          <w:rFonts w:ascii="Arial" w:cs="Arial" w:eastAsia="Arial" w:hAnsi="Arial"/>
          <w:b w:val="false"/>
          <w:bCs w:val="false"/>
          <w:i w:val="false"/>
          <w:iCs w:val="false"/>
          <w:color w:val="000000"/>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2200"/>
        <w:gridCol w:w="1460"/>
      </w:tblGrid>
      <w:tr>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বিষয় | Subject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সময়সীমা | Time Limit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আইন | Law</w:t>
            </w:r>
          </w:p>
        </w:tc>
        <w:tc>
          <w:tcPr>
            <w:tcW w:type="dxa" w:w="1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ধারা | Section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চেক বৈধতা (Stale Cheque)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৬ মাস</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NI Act 1881</w:t>
            </w:r>
          </w:p>
        </w:tc>
        <w:tc>
          <w:tcPr>
            <w:tcW w:type="dxa" w:w="1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Sec 73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Sec 138 — নোটিশ পাঠানোর সময়</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ফেরতের ৩০ দিনের মধ্যে</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NI Act 1881</w:t>
            </w:r>
          </w:p>
        </w:tc>
        <w:tc>
          <w:tcPr>
            <w:tcW w:type="dxa" w:w="1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Sec 138</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Sec 138 — পরিশোধের সময়</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নোটিশের ১৫ দিন</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NI Act 1881</w:t>
            </w:r>
          </w:p>
        </w:tc>
        <w:tc>
          <w:tcPr>
            <w:tcW w:type="dxa" w:w="1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Sec 138</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Artho Rin — লিখিত জবাব</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৪০ দিন (+২০ দিন)</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Artha Rin Adalat Ain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Sec 10</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Artho Rin — নিষ্পত্তির মেয়াদ</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৯০ দিন</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Artha Rin Adalat Ain</w:t>
            </w:r>
          </w:p>
        </w:tc>
        <w:tc>
          <w:tcPr>
            <w:tcW w:type="dxa" w:w="1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Sec 17</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Artho Rin — নিষ্পত্তি মামলা</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৩৬০ দিন</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Artha Rin Adalat Ain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Sec 28</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Bankruptcy — Creditor মামলা</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১ বছর</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Bankruptcy Act 1997</w:t>
            </w:r>
          </w:p>
        </w:tc>
        <w:tc>
          <w:tcPr>
            <w:tcW w:type="dxa" w:w="1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Sec 12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Bankruptcy — নূন্যতম দাবি (Creditor)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৫ লক্ষ টাকা</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Bankruptcy Act 1997</w:t>
            </w:r>
          </w:p>
        </w:tc>
        <w:tc>
          <w:tcPr>
            <w:tcW w:type="dxa" w:w="1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Sec 9(1)</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STR জমার সময়</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যত দ্রুত সম্ভব</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MLPA 2012</w:t>
            </w:r>
          </w:p>
        </w:tc>
        <w:tc>
          <w:tcPr>
            <w:tcW w:type="dxa" w:w="1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Sec 25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CTR জমার সময়</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৩ কার্যদিবস</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MLPA 2012 + BFIU</w:t>
            </w:r>
          </w:p>
        </w:tc>
        <w:tc>
          <w:tcPr>
            <w:tcW w:type="dxa" w:w="1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Sec 25</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CTR-এর থ্রেশহোল্ড</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৭০ লক্ষ টাকার উপরে</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BFIU Guidelines</w:t>
            </w:r>
          </w:p>
        </w:tc>
        <w:tc>
          <w:tcPr>
            <w:tcW w:type="dxa" w:w="1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Dormant — Current/SND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৬ মাস → Dormant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BB BRPD Circular</w:t>
            </w:r>
          </w:p>
        </w:tc>
        <w:tc>
          <w:tcPr>
            <w:tcW w:type="dxa" w:w="1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23/2021</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Dormant — Savings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১৮ মাস → Dormant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BB BRPD Circular</w:t>
            </w:r>
          </w:p>
        </w:tc>
        <w:tc>
          <w:tcPr>
            <w:tcW w:type="dxa" w:w="1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23/2021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Unclaimed → BB</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১০ বছর পরে</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BCA 1991</w:t>
            </w:r>
          </w:p>
        </w:tc>
        <w:tc>
          <w:tcPr>
            <w:tcW w:type="dxa" w:w="1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Sec 35</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Electronic Record সংরক্ষণ</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ন্যূনতম ৫ বছর</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ICT Act 2006</w:t>
            </w:r>
          </w:p>
        </w:tc>
        <w:tc>
          <w:tcPr>
            <w:tcW w:type="dxa" w:w="1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Sec 9</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CAR — ন্যূনতম (মূল)</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১০%</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BCA 1991</w:t>
            </w:r>
          </w:p>
        </w:tc>
        <w:tc>
          <w:tcPr>
            <w:tcW w:type="dxa" w:w="1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Sec 13</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CAR — Buffer সহ</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১২.৫%</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BB RBCA Guidelines</w:t>
            </w:r>
          </w:p>
        </w:tc>
        <w:tc>
          <w:tcPr>
            <w:tcW w:type="dxa" w:w="1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2014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CRR (Conventional)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৪% avg, ৩.৫% daily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BCA 1991</w:t>
            </w:r>
          </w:p>
        </w:tc>
        <w:tc>
          <w:tcPr>
            <w:tcW w:type="dxa" w:w="1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Sec 25</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SLR (Conventional)</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১৩% daily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BCA 1991</w:t>
            </w:r>
          </w:p>
        </w:tc>
        <w:tc>
          <w:tcPr>
            <w:tcW w:type="dxa" w:w="1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Sec 33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SLR (Islamic Bank)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৫.৫% daily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BCA 1991</w:t>
            </w:r>
          </w:p>
        </w:tc>
        <w:tc>
          <w:tcPr>
            <w:tcW w:type="dxa" w:w="1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Sec 33</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TDS — TIN আছে</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১০%</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NBR Rules</w:t>
            </w:r>
          </w:p>
        </w:tc>
        <w:tc>
          <w:tcPr>
            <w:tcW w:type="dxa" w:w="1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TDS — TIN নেই</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১৫%</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NBR Rules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Positive Pay — বাধ্যতামূলক</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৫ লক্ষ টাকার উপরে</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BB Circular</w:t>
            </w:r>
          </w:p>
        </w:tc>
        <w:tc>
          <w:tcPr>
            <w:tcW w:type="dxa" w:w="1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নাবালকের সংজ্ঞা</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১৮ বছরের কম</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Majority Act 1875</w:t>
            </w:r>
          </w:p>
        </w:tc>
        <w:tc>
          <w:tcPr>
            <w:tcW w:type="dxa" w:w="1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Sec 3</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FIA 1993 — লাইসেন্স ছাড়া শাস্তি</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৫ বছর বা ৫ লক্ষ টাকা</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FIA 1993</w:t>
            </w:r>
          </w:p>
        </w:tc>
        <w:tc>
          <w:tcPr>
            <w:tcW w:type="dxa" w:w="1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11111"/>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FERA লঙ্ঘনের শাস্তি</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সর্বোচ্চ ৭ বছর</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FERA 1947</w:t>
            </w:r>
          </w:p>
        </w:tc>
        <w:tc>
          <w:tcPr>
            <w:tcW w:type="dxa" w:w="1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w:t>
            </w:r>
          </w:p>
        </w:tc>
      </w:tr>
    </w:tbl>
    <w:p>
      <w:pPr>
        <w:spacing w:before="60" w:after="60" w:line="276"/>
        <w:jc w:val="left"/>
      </w:pPr>
      <w:r>
        <w:rPr>
          <w:rFonts w:ascii="Arial" w:cs="Arial" w:eastAsia="Arial" w:hAnsi="Arial"/>
          <w:b w:val="false"/>
          <w:bCs w:val="false"/>
          <w:i w:val="false"/>
          <w:iCs w:val="false"/>
          <w:color w:val="000000"/>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860A" w:sz="1"/>
              <w:left w:val="single" w:color="C8860A" w:sz="1"/>
              <w:bottom w:val="single" w:color="C8860A" w:sz="1"/>
              <w:right w:val="single" w:color="C8860A" w:sz="1"/>
            </w:tcBorders>
            <w:shd w:fill="0D1B3E" w:val="clear"/>
            <w:tcMar>
              <w:top w:type="dxa" w:w="160"/>
              <w:left w:type="dxa" w:w="220"/>
              <w:bottom w:type="dxa" w:w="160"/>
              <w:right w:type="dxa" w:w="220"/>
            </w:tcMar>
          </w:tcPr>
          <w:p>
            <w:pPr>
              <w:spacing w:before="0" w:after="60"/>
              <w:jc w:val="center"/>
            </w:pPr>
            <w:r>
              <w:rPr>
                <w:rFonts w:ascii="Arial" w:cs="Arial" w:eastAsia="Arial" w:hAnsi="Arial"/>
                <w:b/>
                <w:bCs/>
                <w:color w:val="C8860A"/>
                <w:sz w:val="32"/>
                <w:szCs w:val="32"/>
              </w:rPr>
              <w:t xml:space="preserve">পরীক্ষার জন্য শুভকামনা! | Best of Luck for the Examination!</w:t>
            </w:r>
          </w:p>
          <w:p>
            <w:pPr>
              <w:spacing w:before="0" w:after="0"/>
              <w:jc w:val="center"/>
            </w:pPr>
            <w:r>
              <w:rPr>
                <w:rFonts w:ascii="Arial" w:cs="Arial" w:eastAsia="Arial" w:hAnsi="Arial"/>
                <w:color w:val="AAAAAA"/>
                <w:sz w:val="22"/>
                <w:szCs w:val="22"/>
              </w:rPr>
              <w:t xml:space="preserve">JAIBB — Laws and Practice of General Banking (LPGB) | 7th Banking Professional Examination 2025</w:t>
            </w:r>
          </w:p>
        </w:tc>
      </w:tr>
    </w:tbl>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860A" w:sz="6" w:space="1"/>
      </w:pBdr>
      <w:tabs>
        <w:tab w:val="right" w:pos="9026"/>
      </w:tabs>
      <w:spacing w:before="80" w:after="0"/>
    </w:pPr>
    <w:r>
      <w:rPr>
        <w:rFonts w:ascii="Arial" w:cs="Arial" w:eastAsia="Arial" w:hAnsi="Arial"/>
        <w:color w:val="888888"/>
        <w:sz w:val="18"/>
        <w:szCs w:val="18"/>
      </w:rPr>
      <w:t xml:space="preserve">Laws and Practice of General Banking (LPGB) | Subject Code: 104</w:t>
    </w:r>
    <w:r>
      <w:rPr>
        <w:rFonts w:ascii="Arial" w:cs="Arial" w:eastAsia="Arial" w:hAnsi="Arial"/>
        <w:color w:val="888888"/>
        <w:sz w:val="18"/>
        <w:szCs w:val="18"/>
      </w:rPr>
      <w:t xml:space="preserve">	Part A Broad Questions | Module 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860A" w:sz="6" w:space="1"/>
      </w:pBdr>
      <w:tabs>
        <w:tab w:val="right" w:pos="9026"/>
      </w:tabs>
      <w:spacing w:before="0" w:after="80"/>
    </w:pPr>
    <w:r>
      <w:rPr>
        <w:rFonts w:ascii="Arial" w:cs="Arial" w:eastAsia="Arial" w:hAnsi="Arial"/>
        <w:color w:val="1A3A6B"/>
        <w:sz w:val="20"/>
        <w:szCs w:val="20"/>
      </w:rPr>
      <w:t xml:space="preserve">JAIBB | LPGB — Part A Broad Questions Guide</w:t>
    </w:r>
    <w:r>
      <w:rPr>
        <w:rFonts w:ascii="Arial" w:cs="Arial" w:eastAsia="Arial" w:hAnsi="Arial"/>
        <w:color w:val="888888"/>
        <w:sz w:val="20"/>
        <w:szCs w:val="20"/>
      </w:rPr>
      <w:t xml:space="preserve">	7th Banking Professional Examination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80"/>
      <w:outlineLvl w:val="0"/>
    </w:pPr>
    <w:rPr>
      <w:rFonts w:ascii="Arial" w:cs="Arial" w:eastAsia="Arial" w:hAnsi="Arial"/>
      <w:b/>
      <w:bCs/>
      <w:color w:val="0D1B3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3A6B"/>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8B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2026-03-30T15:23:48.186Z</dcterms:created>
  <dcterms:modified xsi:type="dcterms:W3CDTF">2026-03-30T15:23:48.188Z</dcterms:modified>
</cp:coreProperties>
</file>

<file path=docProps/custom.xml><?xml version="1.0" encoding="utf-8"?>
<Properties xmlns="http://schemas.openxmlformats.org/officeDocument/2006/custom-properties" xmlns:vt="http://schemas.openxmlformats.org/officeDocument/2006/docPropsVTypes"/>
</file>