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1A3A5C"/>
          <w:sz w:val="36"/>
          <w:szCs w:val="36"/>
        </w:rPr>
        <w:t xml:space="preserve">BANKING PROFESSIONAL EXAMINATION</w:t>
      </w:r>
    </w:p>
    <w:p>
      <w:pPr>
        <w:spacing w:before="200"/>
        <w:jc w:val="center"/>
      </w:pPr>
      <w:r>
        <w:rPr>
          <w:rFonts w:ascii="Times New Roman" w:cs="Times New Roman" w:eastAsia="Times New Roman" w:hAnsi="Times New Roman"/>
          <w:color w:val="2B547E"/>
          <w:sz w:val="28"/>
          <w:szCs w:val="28"/>
        </w:rPr>
        <w:t xml:space="preserve">(LPGB - Laws and Practice of General Banking)</w:t>
      </w:r>
    </w:p>
    <w:p>
      <w:pPr>
        <w:spacing w:before="600"/>
      </w:pPr>
    </w:p>
    <w:p>
      <w:pPr>
        <w:jc w:val="center"/>
      </w:pPr>
      <w:r>
        <w:rPr>
          <w:rFonts w:ascii="Times New Roman" w:cs="Times New Roman" w:eastAsia="Times New Roman" w:hAnsi="Times New Roman"/>
          <w:b/>
          <w:bCs/>
          <w:color w:val="1A3A5C"/>
          <w:sz w:val="72"/>
          <w:szCs w:val="72"/>
        </w:rPr>
        <w:t xml:space="preserve">PART C</w:t>
      </w:r>
    </w:p>
    <w:p>
      <w:pPr>
        <w:spacing w:before="200"/>
        <w:jc w:val="center"/>
      </w:pPr>
      <w:r>
        <w:rPr>
          <w:rFonts w:ascii="Times New Roman" w:cs="Times New Roman" w:eastAsia="Times New Roman" w:hAnsi="Times New Roman"/>
          <w:b/>
          <w:bCs/>
          <w:color w:val="2B547E"/>
          <w:sz w:val="48"/>
          <w:szCs w:val="48"/>
        </w:rPr>
        <w:t xml:space="preserve">Case Studies</w:t>
      </w:r>
    </w:p>
    <w:p>
      <w:pPr>
        <w:spacing w:before="200"/>
        <w:jc w:val="center"/>
      </w:pPr>
      <w:r>
        <w:rPr>
          <w:rFonts w:ascii="Times New Roman" w:cs="Times New Roman" w:eastAsia="Times New Roman" w:hAnsi="Times New Roman"/>
          <w:b/>
          <w:bCs/>
          <w:color w:val="2B547E"/>
          <w:sz w:val="40"/>
          <w:szCs w:val="40"/>
        </w:rPr>
        <w:t xml:space="preserve">কেস স্টাডি সমাধান</w:t>
      </w:r>
    </w:p>
    <w:p>
      <w:pPr>
        <w:spacing w:before="800"/>
      </w:pPr>
    </w:p>
    <w:p>
      <w:pPr>
        <w:jc w:val="center"/>
      </w:pPr>
      <w:r>
        <w:rPr>
          <w:rFonts w:ascii="Times New Roman" w:cs="Times New Roman" w:eastAsia="Times New Roman" w:hAnsi="Times New Roman"/>
          <w:i/>
          <w:iCs/>
          <w:color w:val="333333"/>
          <w:sz w:val="28"/>
          <w:szCs w:val="28"/>
        </w:rPr>
        <w:t xml:space="preserve">Complete Guide with FIRAC Method Analysis</w:t>
      </w:r>
    </w:p>
    <w:p>
      <w:pPr>
        <w:spacing w:before="100"/>
        <w:jc w:val="center"/>
      </w:pPr>
      <w:r>
        <w:rPr>
          <w:rFonts w:ascii="Times New Roman" w:cs="Times New Roman" w:eastAsia="Times New Roman" w:hAnsi="Times New Roman"/>
          <w:i/>
          <w:iCs/>
          <w:color w:val="333333"/>
          <w:sz w:val="26"/>
          <w:szCs w:val="26"/>
        </w:rPr>
        <w:t xml:space="preserve">FIRAC পদ্ধতিতে বিশ্লেষণ সহ সম্পূর্ণ গাইড</w:t>
      </w:r>
    </w:p>
    <w:p>
      <w:pPr>
        <w:spacing w:before="1200"/>
      </w:pPr>
    </w:p>
    <w:p>
      <w:pPr>
        <w:jc w:val="center"/>
      </w:pPr>
      <w:r>
        <w:rPr>
          <w:rFonts w:ascii="Times New Roman" w:cs="Times New Roman" w:eastAsia="Times New Roman" w:hAnsi="Times New Roman"/>
          <w:color w:val="333333"/>
          <w:sz w:val="24"/>
          <w:szCs w:val="24"/>
        </w:rPr>
        <w:t xml:space="preserve">Based on 6th Examination Format</w:t>
      </w:r>
    </w:p>
    <w:p>
      <w:pPr>
        <w:spacing w:before="100"/>
        <w:jc w:val="center"/>
      </w:pPr>
      <w:r>
        <w:rPr>
          <w:rFonts w:ascii="Times New Roman" w:cs="Times New Roman" w:eastAsia="Times New Roman" w:hAnsi="Times New Roman"/>
          <w:color w:val="333333"/>
          <w:sz w:val="22"/>
          <w:szCs w:val="22"/>
        </w:rPr>
        <w:t xml:space="preserve">৬ষ্ঠ পরীক্ষার ফরম্যাট অনুযায়ী</w:t>
      </w:r>
    </w:p>
    <w:p>
      <w:pPr>
        <w:spacing w:before="400"/>
      </w:pPr>
    </w:p>
    <w:p>
      <w:pPr>
        <w:jc w:val="center"/>
      </w:pPr>
      <w:r>
        <w:rPr>
          <w:rFonts w:ascii="Times New Roman" w:cs="Times New Roman" w:eastAsia="Times New Roman" w:hAnsi="Times New Roman"/>
          <w:b/>
          <w:bCs/>
          <w:color w:val="2E7D32"/>
          <w:sz w:val="22"/>
          <w:szCs w:val="22"/>
        </w:rPr>
        <w:t xml:space="preserve">Bilingual Edition (Bengali + English)</w:t>
      </w:r>
    </w:p>
    <w:p>
      <w:pPr>
        <w:spacing w:before="100"/>
        <w:jc w:val="center"/>
      </w:pPr>
      <w:r>
        <w:rPr>
          <w:rFonts w:ascii="Times New Roman" w:cs="Times New Roman" w:eastAsia="Times New Roman" w:hAnsi="Times New Roman"/>
          <w:b/>
          <w:bCs/>
          <w:color w:val="2E7D32"/>
          <w:sz w:val="20"/>
          <w:szCs w:val="20"/>
        </w:rPr>
        <w:t xml:space="preserve">দ্বিভাষিক সংস্করণ (বাংলা + ইংরেজি)</w:t>
      </w:r>
    </w:p>
    <w:p>
      <w:pPr>
        <w:spacing w:before="600"/>
      </w:pPr>
    </w:p>
    <w:p>
      <w:pPr>
        <w:jc w:val="center"/>
      </w:pPr>
      <w:r>
        <w:rPr>
          <w:rFonts w:ascii="Times New Roman" w:cs="Times New Roman" w:eastAsia="Times New Roman" w:hAnsi="Times New Roman"/>
          <w:b/>
          <w:bCs/>
          <w:color w:val="1A3A5C"/>
          <w:sz w:val="24"/>
          <w:szCs w:val="24"/>
        </w:rPr>
        <w:t xml:space="preserve">20 Comprehensive Case Studies</w:t>
      </w:r>
    </w:p>
    <w:p>
      <w:pPr>
        <w:spacing w:before="100"/>
        <w:jc w:val="center"/>
      </w:pPr>
      <w:r>
        <w:rPr>
          <w:rFonts w:ascii="Times New Roman" w:cs="Times New Roman" w:eastAsia="Times New Roman" w:hAnsi="Times New Roman"/>
          <w:b/>
          <w:bCs/>
          <w:color w:val="1A3A5C"/>
          <w:sz w:val="22"/>
          <w:szCs w:val="22"/>
        </w:rPr>
        <w:t xml:space="preserve">২০টি বিস্তারিত কেস স্টাডি</w:t>
      </w:r>
    </w:p>
    <w:p>
      <w:pPr>
        <w:sectPr>
          <w:pgSz w:w="11906" w:h="16838" w:orient="portrait"/>
          <w:pgMar w:top="0" w:right="0" w:bottom="0" w:left="0" w:header="708" w:footer="708" w:gutter="0"/>
          <w:pgNumType/>
          <w:docGrid w:linePitch="360"/>
        </w:sectPr>
      </w:pPr>
    </w:p>
    <w:p>
      <w:pPr>
        <w:pStyle w:val="Heading1"/>
      </w:pPr>
      <w:r>
        <w:rPr>
          <w:rFonts w:ascii="Times New Roman" w:cs="Times New Roman" w:eastAsia="Times New Roman" w:hAnsi="Times New Roman"/>
        </w:rPr>
        <w:t xml:space="preserve">Table of Contents | সূচিপত্র</w:t>
      </w:r>
    </w:p>
    <w:sdt>
      <w:sdtPr>
        <w:alias w:val="Table of Contents"/>
      </w:sdtPr>
      <w:sdtContent>
        <w:p>
          <w:r>
            <w:fldChar w:fldCharType="begin" w:dirty="true"/>
            <w:instrText xml:space="preserve">TOC \h \o "1-3"</w:instrText>
            <w:fldChar w:fldCharType="separate"/>
          </w:r>
        </w:p>
        <w:p>
          <w:pPr>
            <w:pStyle w:val="9"/>
            <w:tabs>
              <w:tab w:val="right" w:leader="dot" w:pos="9026"/>
            </w:tabs>
          </w:pPr>
          <w:r>
            <w:t>FIRAC METHOD EXPLAINED</w:t>
          </w:r>
          <w:r>
            <w:tab/>
          </w:r>
          <w:r>
            <w:t>1</w:t>
          </w:r>
        </w:p>
        <w:p>
          <w:pPr>
            <w:pStyle w:val="9"/>
            <w:tabs>
              <w:tab w:val="right" w:leader="dot" w:pos="9026"/>
            </w:tabs>
          </w:pPr>
          <w:r>
            <w:t>MODULE 1: Negotiable Instruments</w:t>
          </w:r>
          <w:r>
            <w:tab/>
          </w:r>
          <w:r>
            <w:t>2</w:t>
          </w:r>
        </w:p>
        <w:p>
          <w:pPr>
            <w:pStyle w:val="9"/>
            <w:tabs>
              <w:tab w:val="right" w:leader="dot" w:pos="9026"/>
            </w:tabs>
          </w:pPr>
          <w:r>
            <w:t>MODULE 2: Banker-Customer Relationship</w:t>
          </w:r>
          <w:r>
            <w:tab/>
          </w:r>
          <w:r>
            <w:t>4</w:t>
          </w:r>
        </w:p>
        <w:p>
          <w:pPr>
            <w:pStyle w:val="9"/>
            <w:tabs>
              <w:tab w:val="right" w:leader="dot" w:pos="9026"/>
            </w:tabs>
          </w:pPr>
          <w:r>
            <w:t>MODULE 3: Loans and Advances</w:t>
          </w:r>
          <w:r>
            <w:tab/>
          </w:r>
          <w:r>
            <w:t>5</w:t>
          </w:r>
        </w:p>
        <w:p>
          <w:pPr>
            <w:pStyle w:val="9"/>
            <w:tabs>
              <w:tab w:val="right" w:leader="dot" w:pos="9026"/>
            </w:tabs>
          </w:pPr>
          <w:r>
            <w:t>MODULE 4: Priority Sector &amp; Agricultural Credit</w:t>
          </w:r>
          <w:r>
            <w:tab/>
          </w:r>
          <w:r>
            <w:t>7</w:t>
          </w:r>
        </w:p>
        <w:p>
          <w:pPr>
            <w:pStyle w:val="9"/>
            <w:tabs>
              <w:tab w:val="right" w:leader="dot" w:pos="9026"/>
            </w:tabs>
          </w:pPr>
          <w:r>
            <w:t>MODULE 5: KYC &amp; Anti-Money Laundering</w:t>
          </w:r>
          <w:r>
            <w:tab/>
          </w:r>
          <w:r>
            <w:t>8</w:t>
          </w:r>
        </w:p>
        <w:p>
          <w:pPr>
            <w:pStyle w:val="9"/>
            <w:tabs>
              <w:tab w:val="right" w:leader="dot" w:pos="9026"/>
            </w:tabs>
          </w:pPr>
          <w:r>
            <w:t>MODULE 6: Foreign Exchange</w:t>
          </w:r>
          <w:r>
            <w:tab/>
          </w:r>
          <w:r>
            <w:t>10</w:t>
          </w:r>
        </w:p>
        <w:p>
          <w:pPr>
            <w:pStyle w:val="9"/>
            <w:tabs>
              <w:tab w:val="right" w:leader="dot" w:pos="9026"/>
            </w:tabs>
          </w:pPr>
          <w:r>
            <w:t>MODULE 7: NPA Management</w:t>
          </w:r>
          <w:r>
            <w:tab/>
          </w:r>
          <w:r>
            <w:t>11</w:t>
          </w:r>
        </w:p>
        <w:p>
          <w:pPr>
            <w:pStyle w:val="9"/>
            <w:tabs>
              <w:tab w:val="right" w:leader="dot" w:pos="9026"/>
            </w:tabs>
          </w:pPr>
          <w:r>
            <w:t>MODULE 8: Consumer Protection</w:t>
          </w:r>
          <w:r>
            <w:tab/>
          </w:r>
          <w:r>
            <w:t>13</w:t>
          </w:r>
        </w:p>
        <w:p>
          <w:pPr>
            <w:pStyle w:val="9"/>
            <w:tabs>
              <w:tab w:val="right" w:leader="dot" w:pos="9026"/>
            </w:tabs>
          </w:pPr>
          <w:r>
            <w:t>MODULE 9: Banking Operations</w:t>
          </w:r>
          <w:r>
            <w:tab/>
          </w:r>
          <w:r>
            <w:t>14</w:t>
          </w:r>
        </w:p>
        <w:p>
          <w:pPr>
            <w:pStyle w:val="9"/>
            <w:tabs>
              <w:tab w:val="right" w:leader="dot" w:pos="9026"/>
            </w:tabs>
          </w:pPr>
          <w:r>
            <w:t>KEY LEGAL PROVISIONS SUMMARY</w:t>
          </w:r>
          <w:r>
            <w:tab/>
          </w:r>
          <w:r>
            <w:t>17</w:t>
          </w:r>
        </w:p>
        <w:p>
          <w:r>
            <w:fldChar w:fldCharType="end"/>
          </w:r>
        </w:p>
      </w:sdtContent>
    </w:sdt>
    <w:p>
      <w:pPr>
        <w:spacing w:after="300" w:before="100"/>
        <w:jc w:val="center"/>
      </w:pPr>
      <w:r>
        <w:rPr>
          <w:rFonts w:ascii="Times New Roman" w:cs="Times New Roman" w:eastAsia="Times New Roman" w:hAnsi="Times New Roman"/>
          <w:i/>
          <w:iCs/>
          <w:color w:val="999999"/>
          <w:sz w:val="18"/>
          <w:szCs w:val="18"/>
        </w:rPr>
        <w:t xml:space="preserve">Note: Right-click and select 'Update Field' to refresh page numbers</w:t>
      </w:r>
    </w:p>
    <w:p>
      <w:r>
        <w:br w:type="page"/>
      </w:r>
    </w:p>
    <w:p>
      <w:pPr>
        <w:pStyle w:val="Heading1"/>
      </w:pPr>
      <w:r>
        <w:rPr>
          <w:rFonts w:ascii="Times New Roman" w:cs="Times New Roman" w:eastAsia="Times New Roman" w:hAnsi="Times New Roman"/>
        </w:rPr>
        <w:t xml:space="preserve">FIRAC METHOD EXPLAINED | FIRAC পদ্ধতি ব্যাখ্যা</w:t>
      </w:r>
    </w:p>
    <w:p>
      <w:pPr>
        <w:spacing w:after="200"/>
      </w:pPr>
      <w:r>
        <w:rPr>
          <w:rFonts w:ascii="Times New Roman" w:cs="Times New Roman" w:eastAsia="Times New Roman" w:hAnsi="Times New Roman"/>
          <w:sz w:val="24"/>
          <w:szCs w:val="24"/>
        </w:rPr>
        <w:t xml:space="preserve">The FIRAC method is a systematic approach for analyzing legal case studies. It helps structure your answer in a logical and comprehensive manner.</w:t>
      </w:r>
    </w:p>
    <w:p>
      <w:pPr>
        <w:spacing w:after="200"/>
      </w:pPr>
      <w:r>
        <w:rPr>
          <w:rFonts w:ascii="Times New Roman" w:cs="Times New Roman" w:eastAsia="Times New Roman" w:hAnsi="Times New Roman"/>
          <w:i/>
          <w:iCs/>
          <w:color w:val="333333"/>
          <w:sz w:val="22"/>
          <w:szCs w:val="22"/>
        </w:rPr>
        <w:t xml:space="preserve">FIRAC পদ্ধতি হলো আইনি কেস স্টাডি বিশ্লেষণের একটি পদ্ধতিগত পন্থা। এটি আপনার উত্তরকে যৌক্তিক এবং বিস্তৃতভাবে গঠন করতে সাহায্য করে।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Element | উপাদান</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Description | বিবরণ</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What to Include | কী অন্তর্ভুক্ত করবেন</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 - Fact | ঘটনা</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The actual events of the case</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Who, what, when, where, how</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I - Issue | বিষয়</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The legal question to be resolved</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The core dispute or problem</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 - Rule | বিধি</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Relevant laws, regulations, sections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Banking laws, Bangladesh Bank guidelines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 - Analysis | বিশ্লেষণ</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Application of rules to facts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Logical reasoning, precedents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 - Conclusion | সিদ্ধান্ত</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Final decision or recommendation</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Clear, definitive answer</w:t>
            </w:r>
          </w:p>
        </w:tc>
      </w:tr>
    </w:tbl>
    <w:p>
      <w:pPr>
        <w:spacing w:after="200" w:before="100"/>
        <w:jc w:val="center"/>
      </w:pPr>
      <w:r>
        <w:rPr>
          <w:rFonts w:ascii="Times New Roman" w:cs="Times New Roman" w:eastAsia="Times New Roman" w:hAnsi="Times New Roman"/>
          <w:i/>
          <w:iCs/>
          <w:color w:val="666666"/>
          <w:sz w:val="18"/>
          <w:szCs w:val="18"/>
        </w:rPr>
        <w:t xml:space="preserve">Table 1: FIRAC Method Components | FIRAC পদ্ধতির উপাদান</w:t>
      </w:r>
    </w:p>
    <w:p>
      <w:pPr>
        <w:pStyle w:val="Heading1"/>
      </w:pPr>
      <w:r>
        <w:rPr>
          <w:rFonts w:ascii="Times New Roman" w:cs="Times New Roman" w:eastAsia="Times New Roman" w:hAnsi="Times New Roman"/>
        </w:rPr>
        <w:t xml:space="preserve">MODULE 1: Negotiable Instruments | নগদানযোগ্য দলিল</w:t>
      </w:r>
    </w:p>
    <w:p>
      <w:pPr>
        <w:pStyle w:val="Heading2"/>
      </w:pPr>
      <w:r>
        <w:rPr>
          <w:rFonts w:ascii="Times New Roman" w:cs="Times New Roman" w:eastAsia="Times New Roman" w:hAnsi="Times New Roman"/>
        </w:rPr>
        <w:t xml:space="preserve">Case Study 1: Dishonor of Cheque | চেক অসম্মান</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Mr. Rahim issued a cheque of BDT 5,00,000 in favor of Mr. Karim from his current account. When Mr. Karim presented the cheque for encashment, it was dishonored by the bank with the remark 'Insufficient Fund'. Mr. Karim issued a legal notice to Mr. Rahim but received no response within 30 days. Mr. Karim now wants to file a case under the Negotiable Instruments Act.</w:t>
      </w:r>
    </w:p>
    <w:p>
      <w:pPr>
        <w:spacing w:after="200"/>
      </w:pPr>
      <w:r>
        <w:rPr>
          <w:rFonts w:ascii="Times New Roman" w:cs="Times New Roman" w:eastAsia="Times New Roman" w:hAnsi="Times New Roman"/>
          <w:i/>
          <w:iCs/>
          <w:color w:val="333333"/>
          <w:sz w:val="22"/>
          <w:szCs w:val="22"/>
        </w:rPr>
        <w:t xml:space="preserve">জনাব রহিম তার চলতি হিসাব থেকে জনাব করিমের নামে ৫,০০,০০০ টাকার একটি চেক ইস্যু করেন। জনাব করিম চেকটি নগদায়নের জন্য উপস্থাপন করলে ব্যাংক 'অপর্যাপ্ত অর্থ' কারণ দেখিয়ে চেকটি অসম্মান করে। জনাব করিম জনাব রহিমকে আইনি নোটিশ প্রেরণ করলেও ৩০ দিনের মধ্যে কোনো সাড়া পাননি।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Mr. Rahim issued a cheque of BDT 5,00,000 to Mr. Karim. The cheque was dishonored due to 'Insufficient Fund'. Legal notice was served but no response received within 30 days. | জনাব রহিম ৫,০০,০০০ টাকার চেক ইস্যু করেন। 'অপর্যাপ্ত অর্থ' কারণে চেক অসম্মান হয়। আইনি নোটিশ জারি করা হয়েছে।</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Whether Mr. Karim can file a criminal case under Negotiable Instruments Act? What are the legal remedies available? | জনাব করিম কি Negotiable Instruments Act-এর অধীনে ফৌজদারি মামলা দায়ের করতে পারেন? আইনি প্রতিকার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Section 138 of Negotiable Instruments Act, 1881 - Dishonor of cheque for insufficiency of funds. Punishment: Imprisonment up to 1 year or fine up to double the amount or both. Notice period: 30 days for payment. Filing period: 45 days from notice expiry. | নগদানযোগ্য দলিল আইন, ১৮৮১-এর ধারা ১৩৮। শাস্তি: ১ বছর পর্যন্ত কারাদণ্ড বা দ্বিগুণ পরিমাণ জরিমানা বা উভয়।</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All conditions of Section 138 are satisfied: cheque issued, dishonored for insufficient fund, notice served within 30 days, no payment received. 2. Mr. Karim has completed the mandatory notice period. 3. He can file criminal complaint within 45 days. 4. Under Section 147, offence is compoundable. 5. Presumption under Section 139 favors the complainant. | ধারা ১৩৮-এর সকল শর্ত পূরণ হয়েছে। ফৌজদারি অভিযোগ ৪৫ দিনের মধ্যে দায়ের করা যাবে।</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Mr. Karim CAN file a criminal case under Section 138 of Negotiable Instruments Act, 1881. He must file the complaint within 45 days from the date of notice expiry. The court may punish Mr. Rahim with imprisonment up to 1 year or fine or both. | জনাব করিম নগদানযোগ্য দলিল আইনের ধারা ১৩৮-এর অধীনে ফৌজদারি মামলা দায়ের করতে পারেন।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Legal Provision | আইনি বিধান</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Time Limit | সময়সীমা</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Consequence | ফলাফল</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Section 138 | ধারা ১৩৮</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Notice: 30 days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Criminal liability</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Section 139 | ধারা ১৩৯</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Filing: 45 days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Presumption against drawer</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Section 147 | ধারা ১৪৭</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Compoundable</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Can be settled</w:t>
            </w:r>
          </w:p>
        </w:tc>
      </w:tr>
    </w:tbl>
    <w:p>
      <w:pPr>
        <w:spacing w:after="200" w:before="100"/>
        <w:jc w:val="center"/>
      </w:pPr>
      <w:r>
        <w:rPr>
          <w:rFonts w:ascii="Times New Roman" w:cs="Times New Roman" w:eastAsia="Times New Roman" w:hAnsi="Times New Roman"/>
          <w:i/>
          <w:iCs/>
          <w:color w:val="666666"/>
          <w:sz w:val="18"/>
          <w:szCs w:val="18"/>
        </w:rPr>
        <w:t xml:space="preserve">Table 2: Key Legal Provisions | মূল আইনি বিধান</w:t>
      </w:r>
    </w:p>
    <w:p>
      <w:pPr>
        <w:pStyle w:val="Heading2"/>
      </w:pPr>
      <w:r>
        <w:rPr>
          <w:rFonts w:ascii="Times New Roman" w:cs="Times New Roman" w:eastAsia="Times New Roman" w:hAnsi="Times New Roman"/>
        </w:rPr>
        <w:t xml:space="preserve">Case Study 2: Stale Cheque | মেয়াদোত্তীর্ণ চেক</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customer deposited a cheque dated 6 months ago. The bank refused to pay stating it is a 'stale cheque'. The customer argues that the cheque is still valid as there is no expiry date mentioned on the instrument.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A cheque was presented for payment after 6 months from its date. Bank refused payment calling it 'stale cheque'. Customer claims validity as no expiry is mentioned on cheque. | একটি চেক ইস্যুর তারিখ থেকে ৬ মাস পর পেমেন্টের জন্য উপস্থাপন করা হয়েছে।</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Whether the bank's refusal to pay a stale cheque is legally justified? What is the validity period of a cheque? | ব্যাংকের মেয়াদোত্তীর্ণ চেক প্রদানে অস্বীকৃতি কি আইনত সঠিক?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Section 35A of Banking Regulation Act, 1949 - Bank's discretion on stale cheques. Bangladesh Bank guidelines: Validity period is 6 months from date of issue. After 6 months, cheque becomes stale. | ব্যাংকিং রেগুলেশন আইন, ১৯৪৯-এর ধারা ৩৫এ। বাংলাদেশ ব্যাংক গাইডলাইন: চেকের বৈধতার মেয়াদ ৬ মাস।</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As per Bangladesh Bank guidelines, a cheque is valid for 6 months from the date of issue. 2. After 6 months, it becomes 'stale cheque'. 3. Banks have the right to refuse payment of stale cheques. 4. The customer's argument about expiry date on instrument is not valid - legal validity is 6 months. 5. Customer needs to get a fresh cheque from the drawer. | বাংলাদেশ ব্যাংক গাইডলাইন অনুযায়ী চেকের বৈধতা ৬ মাস। এরপর এটি 'মেয়াদোত্তীর্ণ' হয়।</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Bank's refusal is LEGALLY JUSTIFIED. A cheque becomes stale after 6 months from the date of issue. The customer should obtain a fresh cheque from the drawer. | ব্যাংকের প্রত্যাখ্যান আইনত সঠিক। ৬ মাস পর চেক মেয়াদোত্তীর্ণ হয়। নতুন চেক নিতে হবে।</w:t>
            </w:r>
          </w:p>
        </w:tc>
      </w:tr>
    </w:tbl>
    <w:p>
      <w:pPr>
        <w:pStyle w:val="Heading1"/>
      </w:pPr>
      <w:r>
        <w:rPr>
          <w:rFonts w:ascii="Times New Roman" w:cs="Times New Roman" w:eastAsia="Times New Roman" w:hAnsi="Times New Roman"/>
        </w:rPr>
        <w:t xml:space="preserve">MODULE 2: Banker-Customer Relationship | ব্যাংকার-গ্রাহক সম্পর্ক</w:t>
      </w:r>
    </w:p>
    <w:p>
      <w:pPr>
        <w:pStyle w:val="Heading2"/>
      </w:pPr>
      <w:r>
        <w:rPr>
          <w:rFonts w:ascii="Times New Roman" w:cs="Times New Roman" w:eastAsia="Times New Roman" w:hAnsi="Times New Roman"/>
        </w:rPr>
        <w:t xml:space="preserve">Case Study 3: Banker's Duty of Secrecy | ব্যাংকারের গোপনীয়তার দায়িত্ব</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bank disclosed the account details of Mr. X to his estranged wife who is involved in a divorce case. Mr. X wants to sue the bank for breach of confidentiality. The bank claims it was a court-ordered disclosure but fails to produce any court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Bank disclosed Mr. X's account details to his wife in divorce case without court order. Mr. X claims breach of banker's duty of secrecy. Bank claims court order but cannot produce it. | ব্যাংক কোনো আদালতের আদেশ ছাড়াই জনাব এক্স-এর হিসাবের তথ্য তার স্ত্রীকে প্রকাশ করেছে।</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Whether the bank violated the duty of secrecy owed to the customer? What are the exceptions to banker's duty of secrecy? | ব্যাংক কি গ্রাহকের প্রতি গোপনীয়তার দায়িত্ব লঙ্ঘন করেছে? ব্যাংকারের গোপনীয়তার ব্যতিক্রম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Tournier v. National Provincial Bank (1924) established banker's duty of secrecy. Exceptions: (1) Law compels disclosure, (2) Public duty, (3) Bank's interest, (4) Customer's consent. Bank Companies Act, 1991 Section 35 - Restrictions on disclosure. | টুর্নিয়ার বনাম ন্যাশনাল প্রোভিন্সিয়াল ব্যাংক (১৯২৪) মামলায় ব্যাংকারের গোপনীয়তার দায়িত্ব প্রতিষ্ঠিত।</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Banker-customer relationship imposes duty of secrecy. 2. None of the four exceptions apply - no law compelled disclosure, no public duty, not bank's interest, no customer consent. 3. Bank failed to produce court order. 4. This is unauthorized disclosure of confidential information. 5. Mr. X can claim damages for breach of confidentiality. | চারটি ব্যতিক্রমের কোনোটিই প্রযোজ্য নয়। এটি অননুমোদিত তথ্য প্রকাশ।</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is LIABLE for breach of duty of secrecy. Mr. X can file suit for damages. The disclosure was unauthorized as no court order existed. | ব্যাংক গোপনীয়তার দায়িত্ব লঙ্ঘনের জন্য দায়ী। জনাব এক্স ক্ষতিপূরণের মামলা করতে পারেন।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Exception | ব্যতিক্রম</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Example | উদাহরণ</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Conditions | শর্ত</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Law compels | আইন বাধ্য করে</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Court order, RBI directive</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Written order required</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Public duty | জনস্বার্থ</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Fraud, money laundering</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Genuine suspicion</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Bank's interest | ব্যাংকের স্বার্থ</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Recovery suit against customer</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Only relevant facts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Customer consent | গ্রাহকের সম্মতি</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Reference check</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Express/implied consent</w:t>
            </w:r>
          </w:p>
        </w:tc>
      </w:tr>
    </w:tbl>
    <w:p>
      <w:pPr>
        <w:spacing w:after="200" w:before="100"/>
        <w:jc w:val="center"/>
      </w:pPr>
      <w:r>
        <w:rPr>
          <w:rFonts w:ascii="Times New Roman" w:cs="Times New Roman" w:eastAsia="Times New Roman" w:hAnsi="Times New Roman"/>
          <w:i/>
          <w:iCs/>
          <w:color w:val="666666"/>
          <w:sz w:val="18"/>
          <w:szCs w:val="18"/>
        </w:rPr>
        <w:t xml:space="preserve">Table 3: Exceptions to Duty of Secrecy | গোপনীয়তার দায়িত্বের ব্যতিক্রম</w:t>
      </w:r>
    </w:p>
    <w:p>
      <w:pPr>
        <w:pStyle w:val="Heading2"/>
      </w:pPr>
      <w:r>
        <w:rPr>
          <w:rFonts w:ascii="Times New Roman" w:cs="Times New Roman" w:eastAsia="Times New Roman" w:hAnsi="Times New Roman"/>
        </w:rPr>
        <w:t xml:space="preserve">Case Study 4: Right of Set-Off | সেট-অফের অধিকার</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Mr. Ahmed has a savings account with credit balance of BDT 3,00,000 and a loan account with debit balance of BDT 5,00,000. The loan is overdue. Without notice, the bank set-off the savings account balance against the loan. Mr. Ahmed objects to this 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Mr. Ahmed has savings A/c (credit 3,00,000) and loan A/c (debit 5,00,000). Loan overdue. Bank set-off savings balance against loan without notice. Customer objects. | জনাব আহমেদের সঞ্চয়ী হিসাবে ৩,০০,০০০ টাকা আছে এবং ঋণ হিসাবে ৫,০০,০০০ টাকা বকেয়া।</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Whether the bank can exercise right of set-off without prior notice to customer? What are the conditions for valid set-off? | ব্যাংক কি গ্রাহককে পূর্ব নোটিশ ছাড়া সেট-অফ করতে পারে?</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Right of set-off is a banker's right to combine accounts. Conditions: (1) Accounts in same name, (2) Same capacity, (3) No agreement against set-off, (4) Proper notice (usually required). Section 83 of Companies Act restricts set-off for companies. | সেট-অফ হলো ব্যাংকারের হিসাব সমন্বয়ের অধিকার। একই নামে একই সক্ষমতায় হিসাব থাকতে হবে।</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Both accounts are in same name and same capacity - condition satisfied. 2. No mention of agreement against set-off. 3. However, banker should give reasonable notice before set-off. 4. Notice allows customer to make alternative arrangements. 5. While set-off is a right, exercise without notice may be challenged as unfair practice. | সেট-অফের অধিকার আছে, কিন্তু নোটিশ ছাড়া প্রয়োগ অন্যায্য প্রথা হতে পারে।</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has RIGHT of set-off as both accounts are in same name and capacity. However, bank should have given notice. Customer can request for time to arrange funds, but set-off is legally valid. | ব্যাংকের সেট-অফের অধিকার আছে। তবে নোটিশ দেওয়া উচিত ছিল। সেট-অফ আইনত বৈধ।</w:t>
            </w:r>
          </w:p>
        </w:tc>
      </w:tr>
    </w:tbl>
    <w:p>
      <w:pPr>
        <w:pStyle w:val="Heading1"/>
      </w:pPr>
      <w:r>
        <w:rPr>
          <w:rFonts w:ascii="Times New Roman" w:cs="Times New Roman" w:eastAsia="Times New Roman" w:hAnsi="Times New Roman"/>
        </w:rPr>
        <w:t xml:space="preserve">MODULE 3: Loans and Advances | ঋণ ও অগ্রিম</w:t>
      </w:r>
    </w:p>
    <w:p>
      <w:pPr>
        <w:pStyle w:val="Heading2"/>
      </w:pPr>
      <w:r>
        <w:rPr>
          <w:rFonts w:ascii="Times New Roman" w:cs="Times New Roman" w:eastAsia="Times New Roman" w:hAnsi="Times New Roman"/>
        </w:rPr>
        <w:t xml:space="preserve">Case Study 5: Mortgage and Foreclosure | বন্ধক ও ফোরক্লোজার</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ABC Bank sanctioned a term loan of BDT 50,00,000 to Mr. Hasan against mortgage of his house property. After 2 years, Mr. Hasan defaulted on EMI payments for 6 consecutive months. The bank wants to initiate SARFAESI proceedings for recovery.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ABC Bank gave term loan of 50,00,000 to Mr. Hasan against house mortgage. Default occurred - 6 months EMI unpaid. Bank wants to initiate SARFAESI proceedings. | এবিসি ব্যাংক জনাব হাসানকে বাড়ি বন্ধক রেখে ৫০,০০,০০০ টাকার ঋণ দিয়েছে। ৬ মাস কিস্তি বকেয়া।</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Can the bank initiate SARFAESI proceedings? What is the procedure under SARFAESI Act? | ব্যাংক কি SARFAESI আইনের অধীনে পদক্ষেপ নিতে পারে? প্রক্রিয়া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SARFAESI Act, 2002 (Securitisation and Reconstruction of Financial Assets). Section 13: Enforcement of security interest. NPA classification required before action. Notice period: 60 days. Borrower can object within 60 days. | SARFAESI আইন, ২০০২। ধারা ১৩: সিকিউরিটি বা জামানতের বাস্তবায়ন। ৬০ দিনের নোটিশ প্রয়োজন।</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Loan is secured by mortgage - SARFAESI applicable. 2. 6 months default means loan is classified as NPA. 3. Bank can issue demand notice under Section 13(2). 4. Borrower has 60 days to clear dues or object. 5. After 60 days, bank can take possession under Section 13(4). 6. Bank can also appoint manager for the secured asset. | ঋণ বন্ধক দ্বারা সুরক্ষিত - SARFAESI প্রযোজ্য। ৬ মাস ডিফল্ট = NPA। ধারা ১৩(২)-এ নোটিশ দেওয়া যাবে।</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CAN initiate SARFAESI proceedings. Step 1: Classify as NPA. Step 2: Issue 60-day demand notice. Step 3: If no response, take possession. Step 4: Sell/auction the asset for recovery. | ব্যাংক SARFAESI প্রক্রিয়া শুরু করতে পারে। প্রথমে NPA শ্রেণীবিভাগ, তারপর ৬০ দিনের নোটিশ।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Step | ধাপ</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Action | কার্যক্রম</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Time | সময়</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 NPA Classification</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Classify account as NPA</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After 90 days default</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2. Notice u/s 13(2)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Demand notice to borrower</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60 days to respond</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3. Possession u/s 13(4)</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Take over secured asset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After notice period</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4. Sale/Auction</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Sell asset for recovery</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Public auction</w:t>
            </w:r>
          </w:p>
        </w:tc>
      </w:tr>
    </w:tbl>
    <w:p>
      <w:pPr>
        <w:spacing w:after="200" w:before="100"/>
        <w:jc w:val="center"/>
      </w:pPr>
      <w:r>
        <w:rPr>
          <w:rFonts w:ascii="Times New Roman" w:cs="Times New Roman" w:eastAsia="Times New Roman" w:hAnsi="Times New Roman"/>
          <w:i/>
          <w:iCs/>
          <w:color w:val="666666"/>
          <w:sz w:val="18"/>
          <w:szCs w:val="18"/>
        </w:rPr>
        <w:t xml:space="preserve">Table 4: SARFAESI Proceedings Steps | SARFAESI প্রক্রিয়ার ধাপ</w:t>
      </w:r>
    </w:p>
    <w:p>
      <w:pPr>
        <w:pStyle w:val="Heading2"/>
      </w:pPr>
      <w:r>
        <w:rPr>
          <w:rFonts w:ascii="Times New Roman" w:cs="Times New Roman" w:eastAsia="Times New Roman" w:hAnsi="Times New Roman"/>
        </w:rPr>
        <w:t xml:space="preserve">Case Study 6: Guarantee Invocation | গ্যারান্টি বাস্তবায়ন</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XYZ Bank sanctioned a cash credit loan of BDT 20,00,000 to M/s ABC Traders with Mr. Suresh as guarantor. The borrower defaulted. The bank demanded payment from the guarantor without exhausting remedies against the principal borrower. Mr. Suresh refuses to pay.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XYZ Bank gave CC loan of 20,00,000 to ABC Traders with Mr. Suresh as guarantor. Borrower defaulted. Bank demanded payment from guarantor without proceeding against borrower first. Guarantor refuses. | এক্সওয়াইজেড ব্যাংক এবিসি ট্রেডার্সকে জনাব সুরেশকে গ্যারান্টার রেখে ২০,০০,০০০ টাকার ঋণ দিয়েছে।</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Can the bank proceed against the guarantor without first exhausting remedies against principal borrower? What is the liability of a guarantor? | ব্যাংক কি প্রধান ঋণগ্রহীতার বিরুদ্ধে পদক্ষেপ ছাড়াই গ্যারান্টারের বিরুদ্ধে যেতে পারে?</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Contract Act, 1872 - Sections 126-147 on Guarantee. Section 128: Surety's liability is co-extensive with principal debtor. Section 140: Surety's right to benefit of creditor's securities. In continuing guarantee, guarantor can be proceeded against directly. | চুক্তি আইন, ১৮৭২ - ধারা ১২৬-১৪৭। ধারা ১২৮: গ্যারান্টারের দায় প্রধান ঋণগ্রহীতার সমান।</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Check the guarantee deed for type of guarantee - continuing or conditional. 2. If continuing guarantee, bank can proceed against guarantor directly. 3. Under Section 128, surety's liability is co-extensive with principal debtor. 4. Bank is not required to exhaust remedies against borrower first. 5. However, guarantor has right to require creditor to first proceed against principal debtor's assets (Section 140). 6. Guarantor cannot simply refuse if guarantee is valid and invoked. | যদি কন্টিনিউিং গ্যারান্টি হয়, ব্যাংক সরাসরি গ্যারান্টারের বিরুদ্ধে যেতে পারে।</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CAN proceed against the guarantor. Guarantor's liability is co-extensive with principal debtor. Mr. Suresh cannot refuse payment if guarantee deed is valid and properly invoked. | ব্যাংক গ্যারান্টারের বিরুদ্ধে পদক্ষেপ নিতে পারে। জনাব সুরেশ প্রদান করতে বাধ্য।</w:t>
            </w:r>
          </w:p>
        </w:tc>
      </w:tr>
    </w:tbl>
    <w:p>
      <w:pPr>
        <w:pStyle w:val="Heading1"/>
      </w:pPr>
      <w:r>
        <w:rPr>
          <w:rFonts w:ascii="Times New Roman" w:cs="Times New Roman" w:eastAsia="Times New Roman" w:hAnsi="Times New Roman"/>
        </w:rPr>
        <w:t xml:space="preserve">MODULE 4: Priority Sector &amp; Agricultural Credit | অগ্রাধিকার খাত ও কৃষি ঋণ</w:t>
      </w:r>
    </w:p>
    <w:p>
      <w:pPr>
        <w:pStyle w:val="Heading2"/>
      </w:pPr>
      <w:r>
        <w:rPr>
          <w:rFonts w:ascii="Times New Roman" w:cs="Times New Roman" w:eastAsia="Times New Roman" w:hAnsi="Times New Roman"/>
        </w:rPr>
        <w:t xml:space="preserve">Case Study 7: Agricultural Loan Waiver | কৃষি ঋণ মকুব</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farmer took agricultural loan of BDT 1,00,000. Due to natural calamity (flood), his crops were completely destroyed. He could not repay the loan. Government announced loan waiver scheme for affected farmers. The farmer's name was missing from the beneficiary 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Farmer took agricultural loan of 1,00,000. Flood destroyed crops completely. Could not repay. Government announced waiver scheme for affected farmers. Farmer's name missing from list. | কৃষক ১,০০,০০০ টাকার কৃষি ঋণ নিয়েছিল। বন্যায় ফসল নষ্ট। সরকার মকুব ঘোষণা করেছে কিন্তু তার নাম নেই।</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What are the remedies available to the farmer? How can he get his name included in the waiver scheme? | কৃষকের জন্য কী প্রতিকার আছে? কীভাবে তার নাম তালিকায় অন্তর্ভুক্ত করাবে?</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Agricultural Credit Policy of Bangladesh Bank. Government loan waiver schemes for natural calamity affected farmers. Right to be heard (natural justice). Farmers have right to inclusion if eligible. Bank has duty to forward names of affected borrowers. | বাংলাদেশ ব্যাংকের কৃষি ঋণ নীতি। প্রাকৃতিক দুর্যোগে সরকারি মকুব স্কিম। স্বাভাবিক ন্যায়বিচারের অধিকার।</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Farmer is affected by natural calamity - eligible for waiver. 2. Bank has responsibility to include eligible farmers' names. 3. Exclusion may be due to administrative error. 4. Farmer can approach bank with proof of crop damage. 5. Can also approach District Agriculture Office for certification. 6. If still not included, can approach Banking Ombudsman or court. 7. Right to fair treatment under citizen charter. | কৃষক প্রাকৃতিক দুর্যোগে ক্ষতিগ্রস্ত - মকুবের যোগ্য। ব্যাংকের দায়িত্ব নাম অন্তর্ভুক্ত করা।</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Farmer should first approach the bank with proof of crop damage and request inclusion. If refused, can approach Banking Ombudsman. He has right to be included if eligible under the scheme. | কৃষক ব্যাংকে ফসল ক্ষতির প্রমাণসহ আবেদন করবেন। প্রত্যাখ্যান হলে ব্যাংকিং অম্বudsman-এ যেতে পারেন।</w:t>
            </w:r>
          </w:p>
        </w:tc>
      </w:tr>
    </w:tbl>
    <w:p>
      <w:pPr>
        <w:pStyle w:val="Heading1"/>
      </w:pPr>
      <w:r>
        <w:rPr>
          <w:rFonts w:ascii="Times New Roman" w:cs="Times New Roman" w:eastAsia="Times New Roman" w:hAnsi="Times New Roman"/>
        </w:rPr>
        <w:t xml:space="preserve">MODULE 5: KYC &amp; Anti-Money Laundering | কেওয়াইসি ও অর্থ পাচার প্রতিরোধ</w:t>
      </w:r>
    </w:p>
    <w:p>
      <w:pPr>
        <w:pStyle w:val="Heading2"/>
      </w:pPr>
      <w:r>
        <w:rPr>
          <w:rFonts w:ascii="Times New Roman" w:cs="Times New Roman" w:eastAsia="Times New Roman" w:hAnsi="Times New Roman"/>
        </w:rPr>
        <w:t xml:space="preserve">Case Study 8: Suspicious Transaction | সন্দেহজনক লেনদেন</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customer maintains a small savings account with average balance of BDT 10,000. Suddenly, he receives BDT 50,00,000 through wire transfer from overseas and immediately transfers the entire amount to three different accounts in other banks within 24 hours. The Branch Manager is suspicious.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Customer has small savings A/c (avg balance 10,000). Suddenly receives 50,00,000 via wire transfer from overseas. Transfers entire amount to 3 different banks within 24 hours. Branch Manager suspicious. | গ্রাহকের ছোট সঞ্চয়ী হিসাব। হঠাৎ ৫০,০০,০০০ টাকা বিদেশ থেকে আসে এবং ২৪ ঘণ্টায় ৩টি ব্যাংকে স্থানান্তর।</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What should the bank do? Is this a suspicious transaction requiring STR reporting? What are the AML obligations? | ব্যাংক কী করবে? এটি কি STR রিপোর্টিং প্রয়োজন? AML বাধ্যবাধকতা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Money Laundering Prevention Act, 2012. Bangladesh Bank AML Guidelines. Suspicious Transaction Report (STR) requirements. KYC/AML obligations. Red flags for money laundering. | অর্থ পাচার প্রতিরোধ আইন, ২০১২। বাংলাদেশ ব্যাংক AML গাইডলাইন। সন্দেহজনক লেনদেন রিপোর্ট।</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This is a classic red flag for money laundering - sudden large transaction inconsistent with profile. 2. Immediate transfer to multiple accounts is suspicious structuring. 3. Bank should: (a) Not alert the customer, (b) File STR with BFIU within 7 days, (c) Preserve all records, (d) Conduct Enhanced Due Diligence. 4. Cannot close account or refuse transactions without BFIU approval. 5. Bank should not inform customer about STR filing. | এটি মানি লন্ডারিংয়ের ক্লাসিক রেড ফ্ল্যাগ। ৭ দিনের মধ্যে BFIU-তে STR দাখিল করতে হবে।</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MUST file Suspicious Transaction Report (STR) with BFIU immediately. Do NOT alert the customer. Preserve all transaction records. This is a suspicious transaction requiring mandatory reporting. | ব্যাংক অবশ্যই BFIU-তে STR দাখিল করবে। গ্রাহককে সতর্ক করবেন না। রেকর্ড সংরক্ষণ করুন।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Red Flag | সতর্ক সংকেত</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Description | বিবরণ</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Action | পদক্ষেপ</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Profile inconsistency</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Transaction not matching customer profile</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EDD required</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Rapid movement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Quick transfer of large funds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Monitor closely</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Structuring</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Breaking into multiple transactions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Report as suspicious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Wire transfer</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International fund movement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Verify source</w:t>
            </w:r>
          </w:p>
        </w:tc>
      </w:tr>
    </w:tbl>
    <w:p>
      <w:pPr>
        <w:spacing w:after="200" w:before="100"/>
        <w:jc w:val="center"/>
      </w:pPr>
      <w:r>
        <w:rPr>
          <w:rFonts w:ascii="Times New Roman" w:cs="Times New Roman" w:eastAsia="Times New Roman" w:hAnsi="Times New Roman"/>
          <w:i/>
          <w:iCs/>
          <w:color w:val="666666"/>
          <w:sz w:val="18"/>
          <w:szCs w:val="18"/>
        </w:rPr>
        <w:t xml:space="preserve">Table 5: AML Red Flags | AML সতর্ক সংকেত</w:t>
      </w:r>
    </w:p>
    <w:p>
      <w:pPr>
        <w:pStyle w:val="Heading2"/>
      </w:pPr>
      <w:r>
        <w:rPr>
          <w:rFonts w:ascii="Times New Roman" w:cs="Times New Roman" w:eastAsia="Times New Roman" w:hAnsi="Times New Roman"/>
        </w:rPr>
        <w:t xml:space="preserve">Case Study 9: KYC Non-Compliance | কেওয়াইসি অসম্মতি</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customer refuses to provide updated KYC documents despite repeated requests from the bank. The account has been operating for 10 years. The bank wants to freeze the account for non-compliance. Customer threatens legal 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Customer operating account for 10 years. Refuses to provide updated KYC documents despite repeated requests. Bank wants to freeze account. Customer threatens legal action. | গ্রাহক ১০ বছর ধরে হিসাব পরিচালনা করছে। বারবার অনুরোধ সত্ত্বেও আপডেটেড KYC দিতে অস্বীকার।</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Can the bank freeze the account for KYC non-compliance? What is the procedure? | ব্যাংক কি KYC অসম্মতির জন্য হিসাব ফ্রিজ করতে পারে? প্রক্রিয়া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Bangladesh Bank KYC/AML Guidelines. Prevention of Money Laundering Rules. Banks have obligation to maintain updated KYC. Customer has duty to provide documents. Non-compliance can lead to account restrictions. | বাংলাদেশ ব্যাংক KYC/AML গাইডলাইন। ব্যাংকের আপডেটেড KYC রাখার বাধ্যবাধকতা। অসম্মতিতে হিসাবের সীমাবদ্ধতা হতে পারে।</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KYC is mandatory for all accounts under AML guidelines. 2. Bank must give reasonable notice and opportunity to comply. 3. Procedure: (a) Send notice with deadline, (b) Reminders, (c) Final notice with warning of restrictions, (d) Partial freeze initially, (e) Full freeze if still non-compliant. 4. Bank's action is regulatory requirement, not arbitrary. 5. Customer cannot claim right to operate without KYC compliance. | KYC সব হিসাবের জন্য বাধ্যতামূলক। যুক্তিসঙ্গত নোটিশ ও সুযোগ দিতে হবে। তারপর ফ্রিজ করা যায়।</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CAN freeze the account after following due process: proper notice, reasonable time, and graduated restrictions. Customer's legal threat is not valid as KYC compliance is mandatory. | যথাযথ প্রক্রিয়া অনুসরণ করে ব্যাংক হিসাব ফ্রিজ করতে পারে। KYC সম্মতি বাধ্যতামূলক।</w:t>
            </w:r>
          </w:p>
        </w:tc>
      </w:tr>
    </w:tbl>
    <w:p>
      <w:pPr>
        <w:pStyle w:val="Heading1"/>
      </w:pPr>
      <w:r>
        <w:rPr>
          <w:rFonts w:ascii="Times New Roman" w:cs="Times New Roman" w:eastAsia="Times New Roman" w:hAnsi="Times New Roman"/>
        </w:rPr>
        <w:t xml:space="preserve">MODULE 6: Foreign Exchange | বৈদেশিক বিনিময়</w:t>
      </w:r>
    </w:p>
    <w:p>
      <w:pPr>
        <w:pStyle w:val="Heading2"/>
      </w:pPr>
      <w:r>
        <w:rPr>
          <w:rFonts w:ascii="Times New Roman" w:cs="Times New Roman" w:eastAsia="Times New Roman" w:hAnsi="Times New Roman"/>
        </w:rPr>
        <w:t xml:space="preserve">Case Study 10: Import Letter of Credit | আমদানি এলসি</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An importer opened an irrevocable LC for importing machinery. The exporter shipped goods and presented documents with discrepancies. The importer wants to refuse payment due to discrepancies. The bank has already accepted the documents with discrepancies.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Importer opened irrevocable LC for machinery import. Exporter shipped goods but documents had discrepancies. Importer wants to refuse payment. Bank already accepted documents with discrepancies. | আমদানিকারক অপরিবর্তনীয় এলসি খুলেছে। রপ্তানিকারক পণ্য পাঠিয়েছে কিন্তু দলিলে অসঙ্গতি। আমদানিকারক পেমেন্ট প্রত্যাখ্যান চায়।</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Can the importer refuse payment? What are the rights and obligations under irrevocable LC? What is the role of UCP 600? | আমদানিকারক কি পেমেন্ট প্রত্যাখ্যান করতে পারে? অপরিবর্তনীয় এলসির অধিকার ও বাধ্যবাধকতা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UCP 600 (Uniform Customs and Practice for Documentary Credits). Article 5: Banks deal with documents, not goods. Article 14: Banks have 5 days to examine documents. Article 16: Discrepant documents notice. Article 7: Issuing bank's undertaking in irrevocable LC. | UCP 600। অনুচ্ছেদ ৫: ব্যাংক দলিল নিয়ে কাজ করে, পণ্য নিয়ে নয়। অনুচ্ছেদ ৭: অপরিবর্তনীয় এলসিতে ইস্যুকারী ব্যাংকের বাধ্যবাধকতা।</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Irrevocable LC means issuing bank's commitment is irrevocable. 2. Under UCP 600, banks deal with documents, not goods. 3. If bank accepted documents with discrepancies, it is bound to pay. 4. Importer's refusal is not valid once bank has accepted. 5. Bank's acceptance with discrepancies creates obligation to pay. 6. Importer's remedy is against exporter for defective goods, not against bank. 7. Importer should have instructed bank to refuse discrepant documents within 5 days. | অপরিবর্তনীয় এলসি মানে ব্যাংকের প্রতিশ্রুতি অপরিবর্তনীয়। ব্যাংক দলিল নিয়ে কাজ করে।</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Importer CANNOT refuse payment once bank has accepted discrepant documents. Bank is bound to pay under UCP 600. Importer's remedy is against exporter for goods, not against bank for LC. | ব্যাংক অসঙ্গত দলিল গ্রহণ করলে আমদানিকারক পেমেন্ট প্রত্যাখ্যান করতে পারে না।</w:t>
            </w:r>
          </w:p>
        </w:tc>
      </w:tr>
    </w:tbl>
    <w:p>
      <w:pPr>
        <w:pStyle w:val="Heading2"/>
      </w:pPr>
      <w:r>
        <w:rPr>
          <w:rFonts w:ascii="Times New Roman" w:cs="Times New Roman" w:eastAsia="Times New Roman" w:hAnsi="Times New Roman"/>
        </w:rPr>
        <w:t xml:space="preserve">Case Study 11: Export Realization | রপ্তানি আয় প্রত্যাবর্তন</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Bangladeshi exporter shipped goods worth USD 100,000 to a US buyer. The agreed payment term was 180 days. However, even after 210 days, the exporter has not realized the export proceeds. Bangladesh Bank has issued show cause notice.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Exporter shipped goods worth USD 100,000 to US buyer. Payment term: 180 days. After 210 days, no export proceeds realized. Bangladesh Bank issued show cause notice. | রপ্তানিকারক ১,০০,০০০ ডলারের পণ্য মার্কিন ক্রেতাকে পাঠিয়েছে। ১৮০ দিনের পেমেন্ট টার্ম। ২১০ দিনেও টাকা আসেনি।</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What are the FEMA regulations on export realization? What are the consequences of delay? How should the exporter respond? | রপ্তানি আয় প্রত্যাবর্তনের FEMA বিধান কী? বিলম্বের পরিণতি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Foreign Exchange Regulation Act, 1947. Export realization period: Maximum 180 days from date of shipment. Extension possible with valid reasons. Penalty for delay: Up to 3 times the amount involved. | বৈদেশিক বিনিময় নিয়ন্ত্রণ আইন, ১৯৪৭। রপ্তানি আয়ের মেয়াদ: চালানের তারিখ থেকে সর্বোচ্চ ১৮০ দিন। বিলম্বের জরিমানা: জড়িত অঙ্কের ৩ গুণ পর্যন্ত।</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Exporter has violated the 180-day realization period. 2. Show cause notice requires explanation within specified time. 3. Valid reasons for extension: buyer's default, force majeure, banking delays. 4. Exporter should: (a) Respond to notice with documentary evidence, (b) Apply for extension with justification, (c) Show efforts to recover dues. 5. If no valid reason, penalty can be imposed. 6. May also affect future export license. | রপ্তানিকারক ১৮০ দিনের বিধি লঙ্ঘন করেছে। বৈধ কারণ দেখাতে হবে। এক্সটেনশনের জন্য আবেদন করতে হবে।</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Exporter must respond to show cause notice with valid reasons and documentary evidence. Should apply for extension if delay is due to buyer's default. Non-compliance can result in penalty up to 3 times the amount. | রপ্তানিকারক বৈধ কারণ ও প্রমাণসহ শো কজ নোটিশের জবাব দিতে হবে।</w:t>
            </w:r>
          </w:p>
        </w:tc>
      </w:tr>
    </w:tbl>
    <w:p>
      <w:pPr>
        <w:pStyle w:val="Heading1"/>
      </w:pPr>
      <w:r>
        <w:rPr>
          <w:rFonts w:ascii="Times New Roman" w:cs="Times New Roman" w:eastAsia="Times New Roman" w:hAnsi="Times New Roman"/>
        </w:rPr>
        <w:t xml:space="preserve">MODULE 7: NPA Management | অ-সম্পাদনকারী সম্পদ ব্যবস্থাপনা</w:t>
      </w:r>
    </w:p>
    <w:p>
      <w:pPr>
        <w:pStyle w:val="Heading2"/>
      </w:pPr>
      <w:r>
        <w:rPr>
          <w:rFonts w:ascii="Times New Roman" w:cs="Times New Roman" w:eastAsia="Times New Roman" w:hAnsi="Times New Roman"/>
        </w:rPr>
        <w:t xml:space="preserve">Case Study 12: NPA Classification Dispute | NPA শ্রেণীবিভাগ বিরোধ</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borrower's account was classified as NPA by the bank. The borrower claims that he had deposited the installment on the last day but the bank did not credit it on time due to system error. The bank still maintains NPA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Borrower's account classified as NPA. Borrower claims installment was deposited on last day but bank didn't credit due to system error. Bank maintains NPA classification. | ঋণগ্রহীতার হিসাব NPA হিসেবে শ্রেণীবদ্ধ। ঋণগ্রহীতা দাবি করেন শেষ দিনে কিস্তি জমা দিয়েছিলেন কিন্তু ব্যাংকের সিস্টেম এররে ক্রেডিট হয়নি।</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Was the NPA classification justified? What are the borrower's remedies? Can bank be held responsible for system error? | NPA শ্রেণীবিভাগ কি ন্যায্য? ঋণগ্রহীতার প্রতিকার কী? সিস্টেম এররের জন্য কি ব্যাংক দায়ী?</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Bangladesh Bank Asset Classification Guidelines. NPA classification rules: 3 months overdue for classification. Date of deposit is crucial for classification. Bank's responsibility for operational errors. Borrower's right to fair treatment. | বাংলাদেশ ব্যাংক অ্যাসেট ক্লাসিফিকেশন গাইডলাইন। জমার তারিখ শ্রেণীবিভাগের জন্য গুরুত্বপূর্ণ।</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If borrower deposited on the last day, date of deposit should be considered. 2. Bank's system error cannot be attributed to borrower. 3. Bank has duty to correct its own operational errors. 4. Borrower should provide proof of deposit (receipt, counterfoil). 5. Bank should reclassify account if error is proved. 6. Continued NPA classification despite evidence is unfair. 7. Borrower can approach Banking Ombudsman or court. | যদি ঋণগ্রহীতা শেষ দিনে জমা দিয়ে থাকেন, জমার তারিখ বিবেচনা করতে হবে। ব্যাংকের সিস্টেম এরর ঋণগ্রহীতার দোষ নয়।</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NPA classification is NOT justified if deposit was made on time and bank's system error caused delay. Bank should rectify classification on proof of deposit. Borrower can escalate if bank refuses. | যদি সময়মতো জমা হয়ে থাকে এবং ব্যাংকের এররে বিলম্ব হয়, NPA শ্রেণীবিভাগ ন্যায্য নয়।</w:t>
            </w:r>
          </w:p>
        </w:tc>
      </w:tr>
    </w:tbl>
    <w:p>
      <w:pPr>
        <w:pStyle w:val="Heading2"/>
      </w:pPr>
      <w:r>
        <w:rPr>
          <w:rFonts w:ascii="Times New Roman" w:cs="Times New Roman" w:eastAsia="Times New Roman" w:hAnsi="Times New Roman"/>
        </w:rPr>
        <w:t xml:space="preserve">Case Study 13: One-Time Settlement | এককালীন নিষ্পত্তি</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borrower with NPA account of BDT 20,00,000 (principal 15,00,000 + interest 5,00,000) applies for One-Time Settlement. The bank offers settlement at 100% principal + 50% interest. Borrower wants 75% principal only. Negotiations are ongoing.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NPA account: Total dues 20,00,000 (Principal 15,00,000 + Interest 5,00,000). Bank offers OTS: 100% Principal + 50% Interest. Borrower wants: 75% Principal only. Negotiations ongoing. | NPA হিসাব: মোট বকেয়া ২০,০০,০০০ (মূল ১৫,০০,০০০ + সুদ ৫,০০,০০০)। ব্যাংক ১০০% মূল + ৫০% সুদ চায়। ঋণগ্রহীতা মাত্র ৭৫% মূল দিতে চান।</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What factors should be considered in OTS? What is the bank's discretion? Can borrower negotiate further? | OTS-এ কী বিষয় বিবেচনা করবে? ব্যাংকের বিবেচনা কী? আরো আলোচনা সম্ভব?</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Bangladesh Bank OTS Guidelines. Banks have discretionary power in OTS. Factors: Recovery prospects, security value, borrower's financial position, cost of litigation. Banks Board approval for waivers above certain limits. | বাংলাদেশ ব্যাংক OTS গাইডলাইন। ব্যাংকের OTS-এ বিবেচনাধীন ক্ষমতা আছে। বিবেচ্য বিষয়: আদায়ের সম্ভাবনা, জামানতের মূল্য, ঋণগ্রহীতার আর্থিক অবস্থা।</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OTS is a compromise settlement to recover stuck funds. 2. Bank's offer of 100% principal + 50% interest is reasonable. 3. Borrower's counter of 75% principal is very low. 4. Bank should consider: (a) Realizable value of security, (b) Borrower's repayment capacity, (c) Time value of money, (d) Administrative costs. 5. Negotiation is part of OTS process. 6. Final settlement requires bank's Board approval for waivers. 7. If borrower genuinely cannot pay more, bank may consider. 8. Alternative: Auction of security for recovery. | OTS হলো আটকা পড়া টাকা আদায়ের সমঝোতা। ব্যাংকের অফার যুক্তিসঙ্গত। আলোচনা চলতে পারে।</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OTS is negotiable. Both parties should negotiate in good faith. Bank may consider borrower's genuine inability but 75% principal only is likely too low. Security value and recovery prospects should guide decision. | OTS আলোচনাযোগ্য। উভয় পক্ষের সৎ বিশ্বাসে আলোচনা করা উচিত। জামানতের মূল্য ও আদায়ের সম্ভাবনা বিবেচনা করবে।</w:t>
            </w:r>
          </w:p>
        </w:tc>
      </w:tr>
    </w:tbl>
    <w:p>
      <w:pPr>
        <w:pStyle w:val="Heading1"/>
      </w:pPr>
      <w:r>
        <w:rPr>
          <w:rFonts w:ascii="Times New Roman" w:cs="Times New Roman" w:eastAsia="Times New Roman" w:hAnsi="Times New Roman"/>
        </w:rPr>
        <w:t xml:space="preserve">MODULE 8: Consumer Protection | ভোক্তা সুরক্ষা</w:t>
      </w:r>
    </w:p>
    <w:p>
      <w:pPr>
        <w:pStyle w:val="Heading2"/>
      </w:pPr>
      <w:r>
        <w:rPr>
          <w:rFonts w:ascii="Times New Roman" w:cs="Times New Roman" w:eastAsia="Times New Roman" w:hAnsi="Times New Roman"/>
        </w:rPr>
        <w:t xml:space="preserve">Case Study 14: Unauthorized Transactions | অননুমোদিত লেনদেন</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customer discovered that BDT 2,00,000 was debited from his account through online banking without his knowledge. The customer had not shared his OTP or password with anyone. He reported to the bank within 2 hours. The bank is investigating but has not credited the amount 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BDT 2,00,000 debited through online banking without customer's knowledge. Customer never shared OTP/password. Reported to bank within 2 hours. Bank investigating but not crediting back. | ২,০০,০০০ টাকা অনলাইন ব্যাংকিংয়ের মাধ্যমে গ্রাহকের অজান্তে ডেবিট হয়েছে। OTP/পাসওয়ার্ড শেয়ার করেনি। ২ ঘণ্টায় রিপোর্ট করেছে।</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What is the bank's liability for unauthorized transactions? What is the customer's right? What is the time limit for resolution? | অননুমোদিত লেনদেনের জন্য ব্যাংকের দায় কী? গ্রাহকের অধিকার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Bangladesh Bank Guidelines on Electronic Banking. RBI Circular on Unauthorized Electronic Transactions. Customer liability is limited if reported promptly. Bank's responsibility to secure systems. Maximum 3 working days for provisional credit. | বাংলাদেশ ব্যাংকের ইলেকট্রনিক ব্যাংকিং গাইডলাইন। দ্রুত রিপোর্ট করলে গ্রাহকের দায় সীমিত। সর্বোচ্চ ৩ কর্মদিবসে প্রভিশনাল ক্রেডিট।</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Customer reported within 2 hours - within reasonable time. 2. Customer never shared credentials - no contributory negligence. 3. Bank has duty to secure electronic systems. 4. Under guidelines, customer's liability is ZERO if reported promptly and no negligence. 5. Bank should provide provisional credit within 3 working days. 6. Investigation should be completed within specified time. 7. If bank's system was compromised, full liability on bank. | গ্রাহক ২ ঘণ্টায় রিপোর্ট করেছে - যুক্তিসঙ্গত সময়। ক্রেডেনশিয়াল শেয়ার করেনি - কোনো অবহেলা নেই।</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is LIABLE to credit the amount. Customer has ZERO liability as he reported promptly and did not share credentials. Bank should provide provisional credit within 3 working days and complete investigation within stipulated time. | ব্যাংক টাকা ক্রেডিট করতে বাধ্য। গ্রাহকের দায় শূন্য। ৩ কর্মদিবসে প্রভিশনাল ক্রেডিট দিতে হবে।</w:t>
            </w:r>
          </w:p>
        </w:tc>
      </w:tr>
    </w:tbl>
    <w:p>
      <w:pPr>
        <w:pStyle w:val="Heading2"/>
      </w:pPr>
      <w:r>
        <w:rPr>
          <w:rFonts w:ascii="Times New Roman" w:cs="Times New Roman" w:eastAsia="Times New Roman" w:hAnsi="Times New Roman"/>
        </w:rPr>
        <w:t xml:space="preserve">Case Study 15: Mis-selling of Insurance | বীমা মিস-সেলিং</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bank employee sold an insurance policy to an elderly customer claiming it is a 'high-return fixed deposit'. The customer later discovered it was a 15-year insurance policy with limited returns and wants to cancel it. The free-look period of 15 days has passed.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Bank employee sold insurance as 'high-return FD' to elderly customer. Customer discovered it was 15-year insurance policy. Wants to cancel. Free-look period (15 days) passed. | ব্যাংক কর্মী বয়স্ক গ্রাহককে 'হাই-রিটার্ন এফডি' বলে বীমা বিক্রি করেছে। গ্রাহক দেখলো এটি ১৫ বছরের বীমা পলিসি। ফ্রি-লুক পিরিয়ড পার।</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Can the customer cancel the policy after free-look period? What are the remedies for mis-selling? What is bank's liability? | ফ্রি-লুক পিরিয়ডের পর কি পলিসি বাতিল করা যায়? মিস-সেলিংয়ের প্রতিকার কী?</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Insurance Act, 1938 - Free-look period 15 days. IRDAI Guidelines on mis-selling. Banking Codes and Standards Board of India (BCSBI). Unfair Trade Practices. Consumer Protection Act, 2019. | বীমা আইন, ১৯৩৮ - ফ্রি-লুক পিরিয়ড ১৫ দিন। IRDAI মিস-সেলিং গাইডলাইন। ভোক্তা সুরক্ষা আইন, ২০১৯।</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Mis-selling is an unfair trade practice. 2. Sales as FD when it is insurance is clear misrepresentation. 3. Free-look period is for genuine cases, not for fraud. 4. Customer can approach: (a) Bank's grievance cell, (b) Insurance Ombudsman, (c) IRDAI, (d) Consumer Forum. 5. Bank is vicariously liable for employee's mis-selling. 6. Elderly customer deserves special consideration. 7. Policy should be cancelled with refund of premium. 8. Bank may face regulatory action. | মিস-সেলিং অন্যায্য বাণিজ্য অভ্যাস। FD বলে বীমা বিক্রি স্পষ্ট মিথ্যা প্রতিনিধিত্ব।</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Customer CAN get relief despite free-look period expiry due to mis-selling. Should file complaint with Bank Grievance, then Insurance Ombudsman. Bank is liable for employee's misrepresentation. Policy should be cancelled. | মিস-সেলিংয়ের কারণে ফ্রি-লুক পিরিয়ড পার হলেও গ্রাহক প্রতিকার পেতে পারেন। ব্যাংক দায়ী।</w:t>
            </w:r>
          </w:p>
        </w:tc>
      </w:tr>
    </w:tbl>
    <w:p>
      <w:pPr>
        <w:pStyle w:val="Heading1"/>
      </w:pPr>
      <w:r>
        <w:rPr>
          <w:rFonts w:ascii="Times New Roman" w:cs="Times New Roman" w:eastAsia="Times New Roman" w:hAnsi="Times New Roman"/>
        </w:rPr>
        <w:t xml:space="preserve">MODULE 9: Banking Operations | ব্যাংকিং কার্যক্রম</w:t>
      </w:r>
    </w:p>
    <w:p>
      <w:pPr>
        <w:pStyle w:val="Heading2"/>
      </w:pPr>
      <w:r>
        <w:rPr>
          <w:rFonts w:ascii="Times New Roman" w:cs="Times New Roman" w:eastAsia="Times New Roman" w:hAnsi="Times New Roman"/>
        </w:rPr>
        <w:t xml:space="preserve">Case Study 16: Joint Account Operation | যৌথ হিসাব পরিচালনা</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joint account is operated by Mr. A and Mrs. A with 'either or survivor' instruction. Mr. A passes away. Mrs. A wants to operate the account. The bank refuses to allow operation without succession certificate. The account has balance of BDT 5,00,000.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Joint account with 'either or survivor' clause. Mr. A dies. Mrs. A wants to operate. Bank refuses without succession certificate. Balance: BDT 5,00,000. | 'হয় বা বেঁচে থাকবে' শর্তে যৌথ হিসাব। জনাব এ মারা গেছেন। জনাব এ' হিসাব চালাতে চান। ব্যাংক সাকসেশন সার্টিফিকেট চায়।</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Is the bank's demand for succession certificate valid in 'either or survivor' account? What is the survivor's right? | 'হয় বা বেঁচে থাকবে' হিসাবে সাকসেশন সার্টিফিকেটের দাবি কি বৈধ?</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Banking practice on joint accounts. 'Either or survivor' means either can operate, survivor gets full rights. Nomination vs Survivorship. For amounts up to certain limit, banks can release without succession certificate. | 'হয় বা বেঁচে থাকবে' মানে যেকেউ চালাতে পারে, বেঁচে থাকলে পূর্ণ অধিকার। নির্দিষ্ট সীমা পর্যন্ত সাকসেশন ছাড়াই টাকা দেওয়া যায়।</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'Either or survivor' clause gives survivor complete rights. 2. Survivor can operate account immediately on death of other holder. 3. Bank should allow operation on proof of death. 4. Succession certificate is NOT required for survivor operation. 5. Succession certificate is needed only when there is dispute. 6. Bank's refusal is against the account opening terms. 7. Survivor should submit: Death certificate + Indemnity bond. 8. Nomination, if any, also helps in claim settlement. | 'হয় বা বেঁচে থাকবে' শর্তে বেঁচে থাকা ব্যক্তির পূর্ণ অধিকার। সাকসেশন সার্টিফিকেট প্রয়োজন নেই।</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Bank's demand is NOT valid. 'Either or survivor' clause allows survivor to operate immediately. Survivor needs to submit death certificate and claim form. Succession certificate is required only for legal heirs, not for survivors in joint accounts. | ব্যাংকের দাবি বৈধ নয়। বেঁচে থাকা ব্যক্তি মৃত্যু সনদ ও ক্লেইম ফর্ম জমা দিয়ে হিসাব চালাতে পারেন।</w:t>
            </w:r>
          </w:p>
        </w:tc>
      </w:tr>
    </w:tbl>
    <w:p>
      <w:pPr>
        <w:pStyle w:val="Heading2"/>
      </w:pPr>
      <w:r>
        <w:rPr>
          <w:rFonts w:ascii="Times New Roman" w:cs="Times New Roman" w:eastAsia="Times New Roman" w:hAnsi="Times New Roman"/>
        </w:rPr>
        <w:t xml:space="preserve">Case Study 17: Locker Operation | লকার পরিচালনা</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bank locker hirer died. The nominee approaches the bank with death certificate to operate the locker. The bank refuses stating that there are other legal heirs and nominee is only a trustee. The locker contains valuables worth several lakhs.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Locker hirer died. Nominee approaches with death certificate to operate locker. Bank refuses, stating nominee is only trustee and other legal heirs exist. Valuables worth several lakhs in locker. | লকার ভাড়াটিয়া মারা গেছেন। নমিনি মৃত্যু সনদ নিয়ে এসেছেন। ব্যাংক অস্বীকার করছে, বলছে নমিনি শুধু ট্রাস্টি।</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Can the nominee access the locker contents? What is the role of nominee - beneficiary or trustee? What are bank's obligations? | নমিনি কি লকারের বিষয়বস্তু অ্যাক্সেস করতে পারে? নমিনি উপকারভোগী নাকি ট্রাস্টি?</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Banking Regulation Act, Section 45ZA - Nomination. Nominee is trustee for legal heirs (Supreme Court judgments). Bank can release contents to nominee on death. Bank is discharged of liability on release to nominee. | ব্যাংকিং রেগুলেশন আইন, ধারা ৪৫ZA। নমিনি আইনি উত্তরাধিকারীদের ট্রাস্টি (সুপ্রিম কোর্টের রায়)। ব্যাংক নমিনিকে বিষয়বস্তু দিতে পারে।</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Under Banking Regulation Act, bank can release locker contents to nominee. 2. Bank is discharged of liability when released to nominee. 3. Nominee holds contents as trustee for legal heirs. 4. Dispute between nominee and legal heirs is civil matter. 5. Bank should not refuse nominee access. 6. Bank can take indemnity from nominee. 7. Legal heirs, if they have objection, should get court order. 8. Bank's role is limited - verify nomination and release. | ব্যাংকিং রেগুলেশন আইনে ব্যাংক নমিনিকে লকারের বিষয়বস্তু দিতে পারে। নমিনি ট্রাস্টি হিসেবে রাখেন। বিরোধ দেওয়ানি বিষয়।</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SHOULD allow nominee to access locker contents with proper verification. Bank is discharged of liability. Disputes between nominee and legal heirs are civil matters to be resolved in court. | ব্যাংক নমিনিকে যথাযথ যাচাইকরণে লকার অ্যাক্সেস দেবে। ব্যাংকের দায়িত্ব শেষ। নমিনি-উত্তরাধিকারী বিরোধ আদালতে।</w:t>
            </w:r>
          </w:p>
        </w:tc>
      </w:tr>
    </w:tbl>
    <w:p>
      <w:pPr>
        <w:pStyle w:val="Heading2"/>
      </w:pPr>
      <w:r>
        <w:rPr>
          <w:rFonts w:ascii="Times New Roman" w:cs="Times New Roman" w:eastAsia="Times New Roman" w:hAnsi="Times New Roman"/>
        </w:rPr>
        <w:t xml:space="preserve">Case Study 18: Forged Signature | জাল স্বাক্ষর</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customer's cheque was encashed with forged signature. The customer discovered this after 3 months when he received the statement. He demands refund from the bank. The bank argues that customer should have checked statement earlier.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Customer's cheque encashed with forged signature. Customer discovered after 3 months on receiving statement. Demands refund. Bank says customer should have checked statement earlier. | গ্রাহকের চেক জাল স্বাক্ষরে নগদায়ন হয়েছে। গ্রাহক ৩ মাস পর স্টেটমেন্টে দেখেছেন। রিফান্ড চান।</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Is the bank liable for payment on forged signature? Does customer's delay in checking statement absolve bank? | জাল স্বাক্ষরে পেমেন্টের জন্য কি ব্যাংক দায়ী? গ্রাহকের বিলম্ব কি ব্যাংককে মুক্ত করে?</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Negotiable Instruments Act - Forged signature is nullity. 'Falsus in uno, falsus in omnibus'. Bank's duty to verify signature. Customer's duty to examine statements. Time limitation for reporting fraud. Bank cannot debit on forged signature. | নগদানযোগ্য দলিল আইন - জাল স্বাক্ষর শূন্য। ব্যাংকের স্বাক্ষর যাচাইয়ের দায়িত্ব। জাল স্বাক্ষরে ডেবিট করা যায় না।</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Payment on forged signature is NO payment in the eyes of law. 2. Bank is primarily liable for paying on forged signature. 3. Bank's defense of customer's negligence is limited. 4. Customer's delay of 3 months may be reasonable for statement checking. 5. Even if customer delayed, it doesn't validate forgery. 6. Bank should have verified signature before payment. 7. Bank can pursue recovery from forger. 8. Customer entitled to refund. | জাল স্বাক্ষরে পেমেন্ট আইনের দৃষ্টিতে কোনো পেমেন্ট নয়। ব্যাংক প্রাথমিকভাবে দায়ী। ৩ মাস বিলম্ব যুক্তিসঙ্গত হতে পারে।</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IS LIABLE for payment on forged signature. Customer's delay in reporting does not absolve bank's primary duty to verify signature. Bank must refund the amount and can pursue the forger for recovery. | ব্যাংক জাল স্বাক্ষরে পেমেন্টের জন্য দায়ী। গ্রাহকের বিলম্ব ব্যাংকের দায় মোচন করে না। রিফান্ড দিতে হবে।</w:t>
            </w:r>
          </w:p>
        </w:tc>
      </w:tr>
    </w:tbl>
    <w:p>
      <w:pPr>
        <w:pStyle w:val="Heading2"/>
      </w:pPr>
      <w:r>
        <w:rPr>
          <w:rFonts w:ascii="Times New Roman" w:cs="Times New Roman" w:eastAsia="Times New Roman" w:hAnsi="Times New Roman"/>
        </w:rPr>
        <w:t xml:space="preserve">Case Study 19: Force Majeure in Banking | অনিবার্য পরিস্থিতি</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During a political strike (hartal), bank branches remained closed for 3 consecutive days. A customer's cheque could not be presented and became time-barred. The customer holds the bank responsible for the loss.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During political strike (hartal), banks closed for 3 consecutive days. Customer's cheque could not be presented, became time-barred. Customer holds bank responsible for loss. | রাজনৈতিক হরতালে ব্যাংক ৩ দিন বন্ধ ছিল। গ্রাহকের চেক উপস্থাপন হয়নি, মেয়াদ শেষ। গ্রাহক ব্যাংককে দায়ী করছেন।</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Is the bank liable for closure due to hartal? Does force majeure protect the bank? | হরতালে বন্ধের জন্য কি ব্যাংক দায়ী? ফোর্স মাজেউর কি ব্যাংককে রক্ষা করে?</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Force Majeure clause in banking contracts. Act of God vs Act of Man. Hartal is man-made, not natural calamity. Bank's duty to provide services. Definition of force majeure in legal terms. | ব্যাংকিং চুক্তিতে ফোর্স মাজেউর শর্ত। আইন অনুযায়ী হরতাল মানুষের তৈরি, প্রাকৃতিক নয়। ব্যাংকের সেবা দেওয়ার দায়িত্ব।</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Force majeure covers events beyond control - natural disasters, war. 2. Hartal is man-made disruption, arguably not force majeure. 3. However, banks cannot operate in unsafe conditions. 4. Customer should have anticipated delay due to hartal. 5. Cheque validity is 6 months - 3 days delay should not make it time-barred. 6. If cheque became stale, customer can get fresh cheque. 7. Bank is not liable for circumstances beyond control. 8. Banking services have inherent operational constraints. | ফোর্স মাজেউর নিয়ন্ত্রণের বাইরের ঘটনা কভার করে। হরতাল মানুষের তৈরি। তবে অনিরাপদ পরিস্থিতিতে ব্যাংক চালাতে পারে না।</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Bank is NOT liable. Closure due to hartal is beyond bank's control. Customer cannot hold bank responsible for circumstances beyond control. Cheque being time-barred after 3 days is unlikely as validity is 6 months. | ব্যাংক দায়ী নয়। হরতালের কারণে বন্ধ ব্যাংকের নিয়ন্ত্রণের বাইরে। ৩ দিনে চেক মেয়াদোত্তীর্ণ হওয়ার সম্ভাবনা কম।</w:t>
            </w:r>
          </w:p>
        </w:tc>
      </w:tr>
    </w:tbl>
    <w:p>
      <w:pPr>
        <w:pStyle w:val="Heading2"/>
      </w:pPr>
      <w:r>
        <w:rPr>
          <w:rFonts w:ascii="Times New Roman" w:cs="Times New Roman" w:eastAsia="Times New Roman" w:hAnsi="Times New Roman"/>
        </w:rPr>
        <w:t xml:space="preserve">Case Study 20: Digital Banking Fraud | ডিজিটাল ব্যাংকিং জালিয়াতি</w:t>
      </w:r>
    </w:p>
    <w:p>
      <w:pPr>
        <w:shd w:fill="E8F4F8" w:val="clear"/>
        <w:spacing w:after="200"/>
      </w:pPr>
      <w:r>
        <w:rPr>
          <w:rFonts w:ascii="Times New Roman" w:cs="Times New Roman" w:eastAsia="Times New Roman" w:hAnsi="Times New Roman"/>
          <w:b/>
          <w:bCs/>
          <w:sz w:val="24"/>
          <w:szCs w:val="24"/>
        </w:rPr>
        <w:t xml:space="preserve">Case Scenario | কেস পরিস্থিতি: </w:t>
      </w:r>
      <w:r>
        <w:rPr>
          <w:rFonts w:ascii="Times New Roman" w:cs="Times New Roman" w:eastAsia="Times New Roman" w:hAnsi="Times New Roman"/>
          <w:sz w:val="24"/>
          <w:szCs w:val="24"/>
        </w:rPr>
        <w:t xml:space="preserve">A customer received a call from someone claiming to be from the bank, asking for OTP to 'verify' his account. The customer shared the OTP and immediately BDT 1,50,000 was debited from his account. The customer reported to bank after 1 hour.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FFF3E0" w:val="clear"/>
          </w:tcPr>
          <w:p>
            <w:pPr>
              <w:spacing w:after="50"/>
            </w:pPr>
            <w:r>
              <w:rPr>
                <w:rFonts w:ascii="Times New Roman" w:cs="Times New Roman" w:eastAsia="Times New Roman" w:hAnsi="Times New Roman"/>
                <w:b/>
                <w:bCs/>
                <w:color w:val="1A3A5C"/>
                <w:sz w:val="24"/>
                <w:szCs w:val="24"/>
              </w:rPr>
              <w:t xml:space="preserve">F - FACT | ঘটনা:</w:t>
            </w:r>
          </w:p>
          <w:p>
            <w:r>
              <w:rPr>
                <w:rFonts w:ascii="Times New Roman" w:cs="Times New Roman" w:eastAsia="Times New Roman" w:hAnsi="Times New Roman"/>
                <w:sz w:val="22"/>
                <w:szCs w:val="22"/>
              </w:rPr>
              <w:t xml:space="preserve">Customer received call from fake bank official asking OTP for 'verification'. Customer shared OTP. BDT 1,50,000 debited immediately. Reported to bank after 1 hour. | গ্রাহক ভুয়া ব্যাংক কর্মীর কল পেয়ে OTP শেয়ার করেন। ১,৫০,০০০ টাকা ডেবিট হয়। ১ ঘণ্টা পর ব্যাংককে জানান।</w:t>
            </w:r>
          </w:p>
        </w:tc>
      </w:tr>
      <w:tr>
        <w:tc>
          <w:tcPr>
            <w:tcW w:type="dxa" w:w="9360"/>
            <w:tcBorders>
              <w:top w:val="single" w:color="1A3A5C" w:sz="2"/>
              <w:left w:val="single" w:color="1A3A5C" w:sz="2"/>
              <w:bottom w:val="single" w:color="1A3A5C" w:sz="2"/>
              <w:right w:val="single" w:color="1A3A5C" w:sz="2"/>
            </w:tcBorders>
            <w:shd w:fill="E3F2FD" w:val="clear"/>
          </w:tcPr>
          <w:p>
            <w:pPr>
              <w:spacing w:after="50"/>
            </w:pPr>
            <w:r>
              <w:rPr>
                <w:rFonts w:ascii="Times New Roman" w:cs="Times New Roman" w:eastAsia="Times New Roman" w:hAnsi="Times New Roman"/>
                <w:b/>
                <w:bCs/>
                <w:color w:val="1A3A5C"/>
                <w:sz w:val="24"/>
                <w:szCs w:val="24"/>
              </w:rPr>
              <w:t xml:space="preserve">I - ISSUE | বিষয়:</w:t>
            </w:r>
          </w:p>
          <w:p>
            <w:r>
              <w:rPr>
                <w:rFonts w:ascii="Times New Roman" w:cs="Times New Roman" w:eastAsia="Times New Roman" w:hAnsi="Times New Roman"/>
                <w:sz w:val="22"/>
                <w:szCs w:val="22"/>
              </w:rPr>
              <w:t xml:space="preserve">What is the customer's liability? What is bank's responsibility? Can the amount be recovered? | গ্রাহকের দায় কী? ব্যাংকের দায়িত্ব কী? টাকা কি ফেরত পাওয়া যাবে?</w:t>
            </w:r>
          </w:p>
        </w:tc>
      </w:tr>
      <w:tr>
        <w:tc>
          <w:tcPr>
            <w:tcW w:type="dxa" w:w="9360"/>
            <w:tcBorders>
              <w:top w:val="single" w:color="1A3A5C" w:sz="2"/>
              <w:left w:val="single" w:color="1A3A5C" w:sz="2"/>
              <w:bottom w:val="single" w:color="1A3A5C" w:sz="2"/>
              <w:right w:val="single" w:color="1A3A5C" w:sz="2"/>
            </w:tcBorders>
            <w:shd w:fill="E8F5E9" w:val="clear"/>
          </w:tcPr>
          <w:p>
            <w:pPr>
              <w:spacing w:after="50"/>
            </w:pPr>
            <w:r>
              <w:rPr>
                <w:rFonts w:ascii="Times New Roman" w:cs="Times New Roman" w:eastAsia="Times New Roman" w:hAnsi="Times New Roman"/>
                <w:b/>
                <w:bCs/>
                <w:color w:val="1A3A5C"/>
                <w:sz w:val="24"/>
                <w:szCs w:val="24"/>
              </w:rPr>
              <w:t xml:space="preserve">R - RULE | বিধি:</w:t>
            </w:r>
          </w:p>
          <w:p>
            <w:r>
              <w:rPr>
                <w:rFonts w:ascii="Times New Roman" w:cs="Times New Roman" w:eastAsia="Times New Roman" w:hAnsi="Times New Roman"/>
                <w:sz w:val="22"/>
                <w:szCs w:val="22"/>
              </w:rPr>
              <w:t xml:space="preserve">Bangladesh Bank Guidelines on Digital Banking Fraud. Customer liability in OTP sharing cases. Bank's duty to create awareness. Limited liability framework. Zero liability if prompt reporting. | বাংলাদেশ ব্যাংকের ডিজিটাল ব্যাংকিং জালিয়াতি গাইডলাইন। OTP শেয়ারে গ্রাহকের দায়। দ্রুত রিপোর্টে সীমিত দায়।</w:t>
            </w:r>
          </w:p>
        </w:tc>
      </w:tr>
      <w:tr>
        <w:tc>
          <w:tcPr>
            <w:tcW w:type="dxa" w:w="9360"/>
            <w:tcBorders>
              <w:top w:val="single" w:color="1A3A5C" w:sz="2"/>
              <w:left w:val="single" w:color="1A3A5C" w:sz="2"/>
              <w:bottom w:val="single" w:color="1A3A5C" w:sz="2"/>
              <w:right w:val="single" w:color="1A3A5C" w:sz="2"/>
            </w:tcBorders>
            <w:shd w:fill="FFF8E1" w:val="clear"/>
          </w:tcPr>
          <w:p>
            <w:pPr>
              <w:spacing w:after="50"/>
            </w:pPr>
            <w:r>
              <w:rPr>
                <w:rFonts w:ascii="Times New Roman" w:cs="Times New Roman" w:eastAsia="Times New Roman" w:hAnsi="Times New Roman"/>
                <w:b/>
                <w:bCs/>
                <w:color w:val="1A3A5C"/>
                <w:sz w:val="24"/>
                <w:szCs w:val="24"/>
              </w:rPr>
              <w:t xml:space="preserve">A - ANALYSIS | বিশ্লেষণ:</w:t>
            </w:r>
          </w:p>
          <w:p>
            <w:r>
              <w:rPr>
                <w:rFonts w:ascii="Times New Roman" w:cs="Times New Roman" w:eastAsia="Times New Roman" w:hAnsi="Times New Roman"/>
                <w:sz w:val="22"/>
                <w:szCs w:val="22"/>
              </w:rPr>
              <w:t xml:space="preserve">1. Customer shared OTP - this is contributory negligence. 2. Banks never ask for OTP - customer should have known. 3. However, customer reported within 1 hour - prompt reporting. 4. Under limited liability framework, customer may bear some liability. 5. Bank should have sent fraud alert messages. 6. Bank should try to recover from beneficiary account. 7. Customer's liability may be limited to a percentage. 8. Banks must create awareness about not sharing OTP. | গ্রাহক OTP শেয়ার করেছে - এটি অবহেলা। তবে ১ ঘণ্টায় রিপোর্ট করেছে - দ্রুত। সীমিত দায়ের ফ্রেমওয়ার্ক প্রযোজ্য।</w:t>
            </w:r>
          </w:p>
        </w:tc>
      </w:tr>
      <w:tr>
        <w:tc>
          <w:tcPr>
            <w:tcW w:type="dxa" w:w="9360"/>
            <w:tcBorders>
              <w:top w:val="single" w:color="1A3A5C" w:sz="2"/>
              <w:left w:val="single" w:color="1A3A5C" w:sz="2"/>
              <w:bottom w:val="single" w:color="1A3A5C" w:sz="2"/>
              <w:right w:val="single" w:color="1A3A5C" w:sz="2"/>
            </w:tcBorders>
            <w:shd w:fill="FCE4EC" w:val="clear"/>
          </w:tcPr>
          <w:p>
            <w:pPr>
              <w:spacing w:after="50"/>
            </w:pPr>
            <w:r>
              <w:rPr>
                <w:rFonts w:ascii="Times New Roman" w:cs="Times New Roman" w:eastAsia="Times New Roman" w:hAnsi="Times New Roman"/>
                <w:b/>
                <w:bCs/>
                <w:color w:val="1A3A5C"/>
                <w:sz w:val="24"/>
                <w:szCs w:val="24"/>
              </w:rPr>
              <w:t xml:space="preserve">C - CONCLUSION | সিদ্ধান্ত:</w:t>
            </w:r>
          </w:p>
          <w:p>
            <w:r>
              <w:rPr>
                <w:rFonts w:ascii="Times New Roman" w:cs="Times New Roman" w:eastAsia="Times New Roman" w:hAnsi="Times New Roman"/>
                <w:color w:val="2E7D32"/>
                <w:sz w:val="22"/>
                <w:szCs w:val="22"/>
              </w:rPr>
              <w:t xml:space="preserve">Customer has CONTRIBUTORY LIABILITY for sharing OTP. However, bank should try to recover funds from beneficiary account. Customer may get partial refund based on bank policy. Important lesson: Never share OTP with anyone. | গ্রাহক OTP শেয়ারের জন্য আংশিক দায়ী। ব্যাংক টাকা পুনরুদ্ধারের চেষ্টা করবে। আংশিক ফেরত সম্ভব। শিক্ষা: OTP কারো সাথে শেয়ার করবেন না।</w:t>
            </w:r>
          </w:p>
        </w:tc>
      </w:tr>
    </w:tbl>
    <w:p>
      <w:pPr>
        <w:pStyle w:val="Heading1"/>
      </w:pPr>
      <w:r>
        <w:rPr>
          <w:rFonts w:ascii="Times New Roman" w:cs="Times New Roman" w:eastAsia="Times New Roman" w:hAnsi="Times New Roman"/>
        </w:rPr>
        <w:t xml:space="preserve">KEY LEGAL PROVISIONS SUMMARY | মূল আইনি বিধান সারসংক্ষেপ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Act/Law | আইন</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Key Section | ধারা</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Application | প্রয়োগ</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Negotiable Instruments Act, 1881</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Section 138</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Cheque dishonor</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Banking Regulation Act, 1949</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Section 35A</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Stale cheque, secrecy</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Contract Act, 1872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Section 126-147</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Guarantee</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SARFAESI Act, 2002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Section 13</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NPA recovery</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Money Laundering Prevention Act, 2012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Various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AML compliance</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Foreign Exchange Regulation Act, 1947</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Various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Export realization</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Consumer Protection Act, 2019</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Various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Mis-selling</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UCP 600</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Articles 5, 7, 14, 16</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Letter of Credit</w:t>
            </w:r>
          </w:p>
        </w:tc>
      </w:tr>
    </w:tbl>
    <w:p>
      <w:pPr>
        <w:spacing w:after="200" w:before="100"/>
        <w:jc w:val="center"/>
      </w:pPr>
      <w:r>
        <w:rPr>
          <w:rFonts w:ascii="Times New Roman" w:cs="Times New Roman" w:eastAsia="Times New Roman" w:hAnsi="Times New Roman"/>
          <w:i/>
          <w:iCs/>
          <w:color w:val="666666"/>
          <w:sz w:val="18"/>
          <w:szCs w:val="18"/>
        </w:rPr>
        <w:t xml:space="preserve">Table 6: Important Legal References | গুরুত্বপূর্ণ আইনি রেফারেন্স</w:t>
      </w:r>
    </w:p>
    <w:p>
      <w:pPr>
        <w:pStyle w:val="Heading2"/>
        <w:spacing w:before="400"/>
      </w:pPr>
      <w:r>
        <w:rPr>
          <w:rFonts w:ascii="Times New Roman" w:cs="Times New Roman" w:eastAsia="Times New Roman" w:hAnsi="Times New Roman"/>
        </w:rPr>
        <w:t xml:space="preserve">FIRAC Method Quick Reference | FIRAC পদ্ধতি দ্রুত রেফারেন্স</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Element | উপাদান</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What to Write | কী লিখবেন</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Tips | টিপস</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 - Fact | ঘটনা</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Brief factual summary</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Be objective, no opinion</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I - Issue | বিষয়</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Legal question(s)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Frame as questions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 - Rule | বিধি</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Relevant laws &amp; sections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Quote exact provisions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 - Analysis | বিশ্লেষণ</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Apply rules to facts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Use logical reasoning</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 - Conclusion | সিদ্ধান্ত</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Clear answer to issue</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Be definitive</w:t>
            </w:r>
          </w:p>
        </w:tc>
      </w:tr>
    </w:tbl>
    <w:p>
      <w:pPr>
        <w:spacing w:after="200" w:before="100"/>
        <w:jc w:val="center"/>
      </w:pPr>
      <w:r>
        <w:rPr>
          <w:rFonts w:ascii="Times New Roman" w:cs="Times New Roman" w:eastAsia="Times New Roman" w:hAnsi="Times New Roman"/>
          <w:i/>
          <w:iCs/>
          <w:color w:val="666666"/>
          <w:sz w:val="18"/>
          <w:szCs w:val="18"/>
        </w:rPr>
        <w:t xml:space="preserve">Table 7: FIRAC Writing Guide | FIRAC লেখার গাইড</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LPGB Part C - Case Studies | কেস স্টাডি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3A5C"/>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3A5C"/>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547E"/>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2026-03-27T14:08:08.887Z</dcterms:created>
  <dcterms:modified xsi:type="dcterms:W3CDTF">2026-03-27T14:08:08.887Z</dcterms:modified>
</cp:coreProperties>
</file>

<file path=docProps/custom.xml><?xml version="1.0" encoding="utf-8"?>
<Properties xmlns="http://schemas.openxmlformats.org/officeDocument/2006/custom-properties" xmlns:vt="http://schemas.openxmlformats.org/officeDocument/2006/docPropsVTypes"/>
</file>