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A3A5C"/>
          <w:sz w:val="36"/>
          <w:szCs w:val="36"/>
        </w:rPr>
        <w:t xml:space="preserve">BANKING PROFESSIONAL EXAMINATION</w:t>
      </w:r>
    </w:p>
    <w:p>
      <w:pPr>
        <w:spacing w:before="200"/>
        <w:jc w:val="center"/>
      </w:pPr>
      <w:r>
        <w:rPr>
          <w:rFonts w:ascii="Times New Roman" w:cs="Times New Roman" w:eastAsia="Times New Roman" w:hAnsi="Times New Roman"/>
          <w:color w:val="2B547E"/>
          <w:sz w:val="28"/>
          <w:szCs w:val="28"/>
        </w:rPr>
        <w:t xml:space="preserve">(LPGB - Laws and Practice of General Banking)</w:t>
      </w:r>
    </w:p>
    <w:p>
      <w:pPr>
        <w:spacing w:before="600"/>
      </w:pPr>
    </w:p>
    <w:p>
      <w:pPr>
        <w:jc w:val="center"/>
      </w:pPr>
      <w:r>
        <w:rPr>
          <w:rFonts w:ascii="Times New Roman" w:cs="Times New Roman" w:eastAsia="Times New Roman" w:hAnsi="Times New Roman"/>
          <w:b/>
          <w:bCs/>
          <w:color w:val="1A3A5C"/>
          <w:sz w:val="72"/>
          <w:szCs w:val="72"/>
        </w:rPr>
        <w:t xml:space="preserve">PART D</w:t>
      </w:r>
    </w:p>
    <w:p>
      <w:pPr>
        <w:spacing w:before="200"/>
        <w:jc w:val="center"/>
      </w:pPr>
      <w:r>
        <w:rPr>
          <w:rFonts w:ascii="Times New Roman" w:cs="Times New Roman" w:eastAsia="Times New Roman" w:hAnsi="Times New Roman"/>
          <w:b/>
          <w:bCs/>
          <w:color w:val="2B547E"/>
          <w:sz w:val="48"/>
          <w:szCs w:val="48"/>
        </w:rPr>
        <w:t xml:space="preserve">Descriptive Questions</w:t>
      </w:r>
    </w:p>
    <w:p>
      <w:pPr>
        <w:spacing w:before="200"/>
        <w:jc w:val="center"/>
      </w:pPr>
      <w:r>
        <w:rPr>
          <w:rFonts w:ascii="Times New Roman" w:cs="Times New Roman" w:eastAsia="Times New Roman" w:hAnsi="Times New Roman"/>
          <w:b/>
          <w:bCs/>
          <w:color w:val="2B547E"/>
          <w:sz w:val="40"/>
          <w:szCs w:val="40"/>
        </w:rPr>
        <w:t xml:space="preserve">বিস্তারিত প্রশ্ন ও উত্তর</w:t>
      </w:r>
    </w:p>
    <w:p>
      <w:pPr>
        <w:spacing w:before="800"/>
      </w:pPr>
    </w:p>
    <w:p>
      <w:pPr>
        <w:jc w:val="center"/>
      </w:pPr>
      <w:r>
        <w:rPr>
          <w:rFonts w:ascii="Times New Roman" w:cs="Times New Roman" w:eastAsia="Times New Roman" w:hAnsi="Times New Roman"/>
          <w:i/>
          <w:iCs/>
          <w:color w:val="333333"/>
          <w:sz w:val="28"/>
          <w:szCs w:val="28"/>
        </w:rPr>
        <w:t xml:space="preserve">Complete Guide with Detailed Answers</w:t>
      </w:r>
    </w:p>
    <w:p>
      <w:pPr>
        <w:spacing w:before="100"/>
        <w:jc w:val="center"/>
      </w:pPr>
      <w:r>
        <w:rPr>
          <w:rFonts w:ascii="Times New Roman" w:cs="Times New Roman" w:eastAsia="Times New Roman" w:hAnsi="Times New Roman"/>
          <w:i/>
          <w:iCs/>
          <w:color w:val="333333"/>
          <w:sz w:val="26"/>
          <w:szCs w:val="26"/>
        </w:rPr>
        <w:t xml:space="preserve">বিস্তারিত উত্তর সহ সম্পূর্ণ গাইড</w:t>
      </w:r>
    </w:p>
    <w:p>
      <w:pPr>
        <w:spacing w:before="1200"/>
      </w:pPr>
    </w:p>
    <w:p>
      <w:pPr>
        <w:jc w:val="center"/>
      </w:pPr>
      <w:r>
        <w:rPr>
          <w:rFonts w:ascii="Times New Roman" w:cs="Times New Roman" w:eastAsia="Times New Roman" w:hAnsi="Times New Roman"/>
          <w:color w:val="333333"/>
          <w:sz w:val="24"/>
          <w:szCs w:val="24"/>
        </w:rPr>
        <w:t xml:space="preserve">Based on 6th Examination Format</w:t>
      </w:r>
    </w:p>
    <w:p>
      <w:pPr>
        <w:spacing w:before="100"/>
        <w:jc w:val="center"/>
      </w:pPr>
      <w:r>
        <w:rPr>
          <w:rFonts w:ascii="Times New Roman" w:cs="Times New Roman" w:eastAsia="Times New Roman" w:hAnsi="Times New Roman"/>
          <w:color w:val="333333"/>
          <w:sz w:val="22"/>
          <w:szCs w:val="22"/>
        </w:rPr>
        <w:t xml:space="preserve">৬ষ্ঠ পরীক্ষার ফরম্যাট অনুযায়ী</w:t>
      </w:r>
    </w:p>
    <w:p>
      <w:pPr>
        <w:spacing w:before="400"/>
      </w:pPr>
    </w:p>
    <w:p>
      <w:pPr>
        <w:jc w:val="center"/>
      </w:pPr>
      <w:r>
        <w:rPr>
          <w:rFonts w:ascii="Times New Roman" w:cs="Times New Roman" w:eastAsia="Times New Roman" w:hAnsi="Times New Roman"/>
          <w:b/>
          <w:bCs/>
          <w:color w:val="2E7D32"/>
          <w:sz w:val="22"/>
          <w:szCs w:val="22"/>
        </w:rPr>
        <w:t xml:space="preserve">Bilingual Edition (Bengali + English)</w:t>
      </w:r>
    </w:p>
    <w:p>
      <w:pPr>
        <w:spacing w:before="400"/>
      </w:pPr>
    </w:p>
    <w:p>
      <w:pPr>
        <w:jc w:val="center"/>
      </w:pPr>
      <w:r>
        <w:rPr>
          <w:rFonts w:ascii="Times New Roman" w:cs="Times New Roman" w:eastAsia="Times New Roman" w:hAnsi="Times New Roman"/>
          <w:b/>
          <w:bCs/>
          <w:color w:val="1A3A5C"/>
          <w:sz w:val="24"/>
          <w:szCs w:val="24"/>
        </w:rPr>
        <w:t xml:space="preserve">50+ Comprehensive Questions</w:t>
      </w:r>
    </w:p>
    <w:p>
      <w:pPr>
        <w:spacing w:before="100"/>
        <w:jc w:val="center"/>
      </w:pPr>
      <w:r>
        <w:rPr>
          <w:rFonts w:ascii="Times New Roman" w:cs="Times New Roman" w:eastAsia="Times New Roman" w:hAnsi="Times New Roman"/>
          <w:b/>
          <w:bCs/>
          <w:color w:val="1A3A5C"/>
          <w:sz w:val="22"/>
          <w:szCs w:val="22"/>
        </w:rPr>
        <w:t xml:space="preserve">৫০টিরও বেশি বিস্তারিত প্রশ্ন</w:t>
      </w:r>
    </w:p>
    <w:p>
      <w:pPr>
        <w:sectPr>
          <w:pgSz w:w="11906" w:h="16838" w:orient="portrait"/>
          <w:pgMar w:top="0" w:right="0" w:bottom="0" w:left="0" w:header="708" w:footer="708" w:gutter="0"/>
          <w:pgNumType/>
          <w:docGrid w:linePitch="360"/>
        </w:sectPr>
      </w:pPr>
    </w:p>
    <w:p>
      <w:pPr>
        <w:pStyle w:val="Heading1"/>
      </w:pPr>
      <w:r>
        <w:rPr>
          <w:rFonts w:ascii="Times New Roman" w:cs="Times New Roman" w:eastAsia="Times New Roman" w:hAnsi="Times New Roman"/>
        </w:rPr>
        <w:t xml:space="preserve">Table of Contents | সূচিপত্র</w:t>
      </w:r>
    </w:p>
    <w:sdt>
      <w:sdtPr>
        <w:alias w:val="Table of Contents"/>
      </w:sdtPr>
      <w:sdtContent>
        <w:p>
          <w:r>
            <w:fldChar w:fldCharType="begin" w:dirty="true"/>
            <w:instrText xml:space="preserve">TOC \h \o "1-3"</w:instrText>
            <w:fldChar w:fldCharType="separate"/>
          </w:r>
        </w:p>
        <w:p>
          <w:pPr>
            <w:pStyle w:val="9"/>
            <w:tabs>
              <w:tab w:val="right" w:leader="dot" w:pos="9026"/>
            </w:tabs>
          </w:pPr>
          <w:r>
            <w:t>MODULE 1: Negotiable Instruments</w:t>
          </w:r>
          <w:r>
            <w:tab/>
          </w:r>
          <w:r>
            <w:t>1</w:t>
          </w:r>
        </w:p>
        <w:p>
          <w:pPr>
            <w:pStyle w:val="9"/>
            <w:tabs>
              <w:tab w:val="right" w:leader="dot" w:pos="9026"/>
            </w:tabs>
          </w:pPr>
          <w:r>
            <w:t>MODULE 2: Banker-Customer Relationship</w:t>
          </w:r>
          <w:r>
            <w:tab/>
          </w:r>
          <w:r>
            <w:t>3</w:t>
          </w:r>
        </w:p>
        <w:p>
          <w:pPr>
            <w:pStyle w:val="9"/>
            <w:tabs>
              <w:tab w:val="right" w:leader="dot" w:pos="9026"/>
            </w:tabs>
          </w:pPr>
          <w:r>
            <w:t>MODULE 3: Loans and Advances</w:t>
          </w:r>
          <w:r>
            <w:tab/>
          </w:r>
          <w:r>
            <w:t>5</w:t>
          </w:r>
        </w:p>
        <w:p>
          <w:pPr>
            <w:pStyle w:val="9"/>
            <w:tabs>
              <w:tab w:val="right" w:leader="dot" w:pos="9026"/>
            </w:tabs>
          </w:pPr>
          <w:r>
            <w:t>MODULE 4: NPA Management</w:t>
          </w:r>
          <w:r>
            <w:tab/>
          </w:r>
          <w:r>
            <w:t>7</w:t>
          </w:r>
        </w:p>
        <w:p>
          <w:pPr>
            <w:pStyle w:val="9"/>
            <w:tabs>
              <w:tab w:val="right" w:leader="dot" w:pos="9026"/>
            </w:tabs>
          </w:pPr>
          <w:r>
            <w:t>MODULE 5: Priority Sector Lending</w:t>
          </w:r>
          <w:r>
            <w:tab/>
          </w:r>
          <w:r>
            <w:t>8</w:t>
          </w:r>
        </w:p>
        <w:p>
          <w:pPr>
            <w:pStyle w:val="9"/>
            <w:tabs>
              <w:tab w:val="right" w:leader="dot" w:pos="9026"/>
            </w:tabs>
          </w:pPr>
          <w:r>
            <w:t>MODULE 6: KYC &amp; Anti-Money Laundering</w:t>
          </w:r>
          <w:r>
            <w:tab/>
          </w:r>
          <w:r>
            <w:t>9</w:t>
          </w:r>
        </w:p>
        <w:p>
          <w:pPr>
            <w:pStyle w:val="9"/>
            <w:tabs>
              <w:tab w:val="right" w:leader="dot" w:pos="9026"/>
            </w:tabs>
          </w:pPr>
          <w:r>
            <w:t>MODULE 7: Foreign Exchange</w:t>
          </w:r>
          <w:r>
            <w:tab/>
          </w:r>
          <w:r>
            <w:t>10</w:t>
          </w:r>
        </w:p>
        <w:p>
          <w:pPr>
            <w:pStyle w:val="9"/>
            <w:tabs>
              <w:tab w:val="right" w:leader="dot" w:pos="9026"/>
            </w:tabs>
          </w:pPr>
          <w:r>
            <w:t>MODULE 8: Banking Regulations</w:t>
          </w:r>
          <w:r>
            <w:tab/>
          </w:r>
          <w:r>
            <w:t>11</w:t>
          </w:r>
        </w:p>
        <w:p>
          <w:pPr>
            <w:pStyle w:val="9"/>
            <w:tabs>
              <w:tab w:val="right" w:leader="dot" w:pos="9026"/>
            </w:tabs>
          </w:pPr>
          <w:r>
            <w:t>MODULE 9: Banking Technology</w:t>
          </w:r>
          <w:r>
            <w:tab/>
          </w:r>
          <w:r>
            <w:t>13</w:t>
          </w:r>
        </w:p>
        <w:p>
          <w:pPr>
            <w:pStyle w:val="9"/>
            <w:tabs>
              <w:tab w:val="right" w:leader="dot" w:pos="9026"/>
            </w:tabs>
          </w:pPr>
          <w:r>
            <w:t>MODULE 10: Banking Laws</w:t>
          </w:r>
          <w:r>
            <w:tab/>
          </w:r>
          <w:r>
            <w:t>14</w:t>
          </w:r>
        </w:p>
        <w:p>
          <w:pPr>
            <w:pStyle w:val="9"/>
            <w:tabs>
              <w:tab w:val="right" w:leader="dot" w:pos="9026"/>
            </w:tabs>
          </w:pPr>
          <w:r>
            <w:t>MODULE 11: Financial Inclusion</w:t>
          </w:r>
          <w:r>
            <w:tab/>
          </w:r>
          <w:r>
            <w:t>16</w:t>
          </w:r>
        </w:p>
        <w:p>
          <w:pPr>
            <w:pStyle w:val="9"/>
            <w:tabs>
              <w:tab w:val="right" w:leader="dot" w:pos="9026"/>
            </w:tabs>
          </w:pPr>
          <w:r>
            <w:t>IMPORTANT ACTS &amp; SECTIONS</w:t>
          </w:r>
          <w:r>
            <w:tab/>
          </w:r>
          <w:r>
            <w:t>17</w:t>
          </w:r>
        </w:p>
        <w:p>
          <w:r>
            <w:fldChar w:fldCharType="end"/>
          </w:r>
        </w:p>
      </w:sdtContent>
    </w:sdt>
    <w:p>
      <w:pPr>
        <w:spacing w:after="300" w:before="100"/>
        <w:jc w:val="center"/>
      </w:pPr>
      <w:r>
        <w:rPr>
          <w:rFonts w:ascii="Times New Roman" w:cs="Times New Roman" w:eastAsia="Times New Roman" w:hAnsi="Times New Roman"/>
          <w:i/>
          <w:iCs/>
          <w:color w:val="999999"/>
          <w:sz w:val="18"/>
          <w:szCs w:val="18"/>
        </w:rPr>
        <w:t xml:space="preserve">Note: Right-click and select 'Update Field' to refresh page numbers</w:t>
      </w:r>
    </w:p>
    <w:p>
      <w:r>
        <w:br w:type="page"/>
      </w:r>
    </w:p>
    <w:p>
      <w:pPr>
        <w:pStyle w:val="Heading1"/>
      </w:pPr>
      <w:r>
        <w:rPr>
          <w:rFonts w:ascii="Times New Roman" w:cs="Times New Roman" w:eastAsia="Times New Roman" w:hAnsi="Times New Roman"/>
        </w:rPr>
        <w:t xml:space="preserve">MODULE 1: Negotiable Instruments | নগদানযোগ্য দলিল</w:t>
      </w:r>
    </w:p>
    <w:p>
      <w:pPr>
        <w:pStyle w:val="Heading2"/>
      </w:pPr>
      <w:r>
        <w:rPr>
          <w:rFonts w:ascii="Times New Roman" w:cs="Times New Roman" w:eastAsia="Times New Roman" w:hAnsi="Times New Roman"/>
        </w:rPr>
        <w:t xml:space="preserve">Question 1: Definition and Types of Negotiable Instruments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Define Negotiable Instruments. What are the different types of Negotiable Instruments under the Negotiable Instruments Act, 1881? Explain the characteristics of each type. | নগদানযোগ্য দলিলের সংজ্ঞা দিন। নগদানযোগ্য দলিল আইন, ১৮৮১ অনুযায়ী নগদানযোগ্য দলিলের বিভিন্ন প্রকারভেদ কী? প্রতিটির বৈশিষ্ট্য ব্যাখ্যা করুন।</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A Negotiable Instrument is a written document that creates a right in favor of a person and is transferable by delivery or endorsement. According to Section 13 of the Negotiable Instruments Act, 1881, a negotiable instrument means a promissory note, bill of exchange, or cheque payable either to order or to bearer. The term 'negotiable' means transferable, and 'instrument' means a written document. These instruments enable free transfer of money and provide a safe and convenient mode of payment. The main characteristic is that a bona fide transferee for value gets a good title even if the transferor's title was defective. | নগদানযোগ্য দলিল হলো একটি লিখিত দলিল যা কোনো ব্যক্তির পক্ষে অধিকার সৃষ্টি করে এবং হস্তান্তর বা এন্ডোর্সমেন্টের মাধ্যমে স্থানান্তরযোগ্য। নগদানযোগ্য দলিল আইন, ১৮৮১-এর ধারা ১৩ অনুযায়ী, নগদানযোগ্য দলিল বলতে প্রমিসরি নোট, বিল অফ এক্সচেঞ্জ বা চেককে বোঝায় যা আদেশে বা বাহককে পরিশোধযোগ্য।</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Promissory Note (প্রমিসরি নোট): Section 4 - Written promise to pay, Two parties (Maker &amp; Payee)</w:t>
            </w:r>
          </w:p>
          <w:p>
            <w:r>
              <w:rPr>
                <w:rFonts w:ascii="Times New Roman" w:cs="Times New Roman" w:eastAsia="Times New Roman" w:hAnsi="Times New Roman"/>
                <w:sz w:val="20"/>
                <w:szCs w:val="20"/>
              </w:rPr>
              <w:t xml:space="preserve">• Bill of Exchange (বিল অফ এক্সচেঞ্জ): Section 5 - Written order to pay, Three parties (Drawer, Drawee, Payee)</w:t>
            </w:r>
          </w:p>
          <w:p>
            <w:r>
              <w:rPr>
                <w:rFonts w:ascii="Times New Roman" w:cs="Times New Roman" w:eastAsia="Times New Roman" w:hAnsi="Times New Roman"/>
                <w:sz w:val="20"/>
                <w:szCs w:val="20"/>
              </w:rPr>
              <w:t xml:space="preserve">• Cheque (চেক): Section 6 - Bill of exchange drawn on banker, Always payable on demand</w:t>
            </w:r>
          </w:p>
          <w:p>
            <w:r>
              <w:rPr>
                <w:rFonts w:ascii="Times New Roman" w:cs="Times New Roman" w:eastAsia="Times New Roman" w:hAnsi="Times New Roman"/>
                <w:sz w:val="20"/>
                <w:szCs w:val="20"/>
              </w:rPr>
              <w:t xml:space="preserve">• Characteristics: Transferability, Negotiability, Presumption of consideration, Presumption of date</w:t>
            </w:r>
          </w:p>
        </w:tc>
      </w:tr>
    </w:tbl>
    <w:p>
      <w:pPr>
        <w:spacing w:after="200"/>
      </w:pPr>
    </w:p>
    <w:p>
      <w:pPr>
        <w:pStyle w:val="Heading2"/>
      </w:pPr>
      <w:r>
        <w:rPr>
          <w:rFonts w:ascii="Times New Roman" w:cs="Times New Roman" w:eastAsia="Times New Roman" w:hAnsi="Times New Roman"/>
        </w:rPr>
        <w:t xml:space="preserve">Question 2: Cheque Dishonor and Legal Remedies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Explain the provisions relating to dishonor of cheque under Section 138 of Negotiable Instruments Act. What are the legal remedies available to the payee? What are the defenses available to the drawer? | নগদানযোগ্য দলিল আইনের ধারা ১৩৮ অনুযায়ী চেক অসম্মানের বিধান ব্যাখ্যা করুন। প্রাপকের জন্য কী আইনি প্রতিকার রয়েছে? চেক ইস্যুকারীর জন্য কী প্রতিরক্ষা রয়েছে?</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Section 138 of the Negotiable Instruments Act, 1881 provides criminal liability for dishonor of cheque due to insufficiency of funds. When a cheque is dishonored, the payee must give a written notice within 30 days of receiving information from the bank. The drawer has 15 days from receipt of notice to make payment. If payment is not made, the payee can file a criminal complaint within 45 days. The offence is punishable with imprisonment up to one year, or fine up to twice the amount, or both. The burden of proof lies on the accused to prove that the cheque was not issued for discharge of any debt or liability. | নগদানযোগ্য দলিল আইন, ১৮৮১-এর ধারা ১৩৮ অপর্যাপ্ত অর্থের কারণে চেক অসম্মানের জন্য ফৌজদারি দায় প্রদান করে। চেক অসম্মান হলে প্রাপককে ৩০ দিনের মধ্যে লিখিত নোটিশ দিতে হবে। চেক ইস্যুকারীর নোটিশ পাওয়ার ১৫ দিনের মধ্যে পেমেন্ট করতে হবে। পেমেন্ট না হলে ৪৫ দিনের মধ্যে ফৌজদারি অভিযোগ দায়ের করা যায়। শাস্তি: ১ বছর পর্যন্ত কারাদণ্ড বা দ্বিগুণ পরিমাণ জরিমানা বা উভয়।</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Essential Conditions: Cheque issued for debt, Presented within validity, Dishonored for insufficiency</w:t>
            </w:r>
          </w:p>
          <w:p>
            <w:r>
              <w:rPr>
                <w:rFonts w:ascii="Times New Roman" w:cs="Times New Roman" w:eastAsia="Times New Roman" w:hAnsi="Times New Roman"/>
                <w:sz w:val="20"/>
                <w:szCs w:val="20"/>
              </w:rPr>
              <w:t xml:space="preserve">• Notice Period: 30 days from dishonor to serve notice</w:t>
            </w:r>
          </w:p>
          <w:p>
            <w:r>
              <w:rPr>
                <w:rFonts w:ascii="Times New Roman" w:cs="Times New Roman" w:eastAsia="Times New Roman" w:hAnsi="Times New Roman"/>
                <w:sz w:val="20"/>
                <w:szCs w:val="20"/>
              </w:rPr>
              <w:t xml:space="preserve">• Payment Period: 15 days from notice receipt</w:t>
            </w:r>
          </w:p>
          <w:p>
            <w:r>
              <w:rPr>
                <w:rFonts w:ascii="Times New Roman" w:cs="Times New Roman" w:eastAsia="Times New Roman" w:hAnsi="Times New Roman"/>
                <w:sz w:val="20"/>
                <w:szCs w:val="20"/>
              </w:rPr>
              <w:t xml:space="preserve">• Filing Period: 45 days from notice expiry</w:t>
            </w:r>
          </w:p>
          <w:p>
            <w:r>
              <w:rPr>
                <w:rFonts w:ascii="Times New Roman" w:cs="Times New Roman" w:eastAsia="Times New Roman" w:hAnsi="Times New Roman"/>
                <w:sz w:val="20"/>
                <w:szCs w:val="20"/>
              </w:rPr>
              <w:t xml:space="preserve">• Punishment: Imprisonment up to 1 year or fine up to double amount or both</w:t>
            </w:r>
          </w:p>
          <w:p>
            <w:r>
              <w:rPr>
                <w:rFonts w:ascii="Times New Roman" w:cs="Times New Roman" w:eastAsia="Times New Roman" w:hAnsi="Times New Roman"/>
                <w:sz w:val="20"/>
                <w:szCs w:val="20"/>
              </w:rPr>
              <w:t xml:space="preserve">• Defense: Cheque not for debt, No debt exists, Notice not received, Discharge of liability</w:t>
            </w:r>
          </w:p>
        </w:tc>
      </w:tr>
    </w:tbl>
    <w:p>
      <w:pPr>
        <w:spacing w:after="200"/>
      </w:pPr>
    </w:p>
    <w:p>
      <w:pPr>
        <w:pStyle w:val="Heading2"/>
      </w:pPr>
      <w:r>
        <w:rPr>
          <w:rFonts w:ascii="Times New Roman" w:cs="Times New Roman" w:eastAsia="Times New Roman" w:hAnsi="Times New Roman"/>
        </w:rPr>
        <w:t xml:space="preserve">Question 3: Crossing of Cheque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crossing of cheque? Explain different types of crossing and their significance. What are the effects of crossing a cheque? | চেক ক্রসিং কী? বিভিন্ন প্রকার ক্রসিং এবং তাদের গুরুত্ব ব্যাখ্যা করুন। চেক ক্রসিংয়ের প্রভাব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Crossing of cheque is a direction given to the banker not to pay the cheque across the counter but to credit the amount to the account of the payee. Crossing is a safety measure to protect the drawer and payee against forgery and theft. Section 123 to 131 of the Negotiable Instruments Act deal with crossing of cheques. A crossed cheque can only be paid through a bank account, providing a trail of money and protection against misuse. | চেক ক্রসিং হলো ব্যাংকারকে নির্দেশ দেওয়া যে চেকটি কাউন্টারে নগদ পরিশোধ করবেন না বরং প্রাপকের হিসাবে ক্রেডিট করবেন। ক্রসিং একটি নিরাপত্তা ব্যবস্থা যা জালিয়াতি ও চুরি থেকে ড্রয়ার ও পেইকে রক্ষা করে। নগদানযোগ্য দলিল আইনের ধারা ১২৩ থেকে ১৩১ চেক ক্রসিং নিয়ে আলোচনা করে।</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General Crossing (সাধারণ ক্রসিং): Two parallel lines, Can add '&amp; Co.', Payable through bank only</w:t>
            </w:r>
          </w:p>
          <w:p>
            <w:r>
              <w:rPr>
                <w:rFonts w:ascii="Times New Roman" w:cs="Times New Roman" w:eastAsia="Times New Roman" w:hAnsi="Times New Roman"/>
                <w:sz w:val="20"/>
                <w:szCs w:val="20"/>
              </w:rPr>
              <w:t xml:space="preserve">• Special Crossing (বিশেষ ক্রসিং): Name of bank written, Payable through that specific bank</w:t>
            </w:r>
          </w:p>
          <w:p>
            <w:r>
              <w:rPr>
                <w:rFonts w:ascii="Times New Roman" w:cs="Times New Roman" w:eastAsia="Times New Roman" w:hAnsi="Times New Roman"/>
                <w:sz w:val="20"/>
                <w:szCs w:val="20"/>
              </w:rPr>
              <w:t xml:space="preserve">• Restrictive Crossing (সীমাবদ্ধ ক্রসিং): 'Account Payee' written, Further negotiation prohibited</w:t>
            </w:r>
          </w:p>
          <w:p>
            <w:r>
              <w:rPr>
                <w:rFonts w:ascii="Times New Roman" w:cs="Times New Roman" w:eastAsia="Times New Roman" w:hAnsi="Times New Roman"/>
                <w:sz w:val="20"/>
                <w:szCs w:val="20"/>
              </w:rPr>
              <w:t xml:space="preserve">• Not Negotiable Crossing: Title not affected but transfer restricted</w:t>
            </w:r>
          </w:p>
          <w:p>
            <w:r>
              <w:rPr>
                <w:rFonts w:ascii="Times New Roman" w:cs="Times New Roman" w:eastAsia="Times New Roman" w:hAnsi="Times New Roman"/>
                <w:sz w:val="20"/>
                <w:szCs w:val="20"/>
              </w:rPr>
              <w:t xml:space="preserve">• Effects: Cannot be encashed over counter, Provides audit trail, Protects against loss</w:t>
            </w:r>
          </w:p>
        </w:tc>
      </w:tr>
    </w:tbl>
    <w:p>
      <w:pPr>
        <w:spacing w:after="200"/>
      </w:pPr>
    </w:p>
    <w:p>
      <w:pPr>
        <w:pStyle w:val="Heading1"/>
      </w:pPr>
      <w:r>
        <w:rPr>
          <w:rFonts w:ascii="Times New Roman" w:cs="Times New Roman" w:eastAsia="Times New Roman" w:hAnsi="Times New Roman"/>
        </w:rPr>
        <w:t xml:space="preserve">MODULE 2: Banker-Customer Relationship | ব্যাংকার-গ্রাহক সম্পর্ক</w:t>
      </w:r>
    </w:p>
    <w:p>
      <w:pPr>
        <w:pStyle w:val="Heading2"/>
      </w:pPr>
      <w:r>
        <w:rPr>
          <w:rFonts w:ascii="Times New Roman" w:cs="Times New Roman" w:eastAsia="Times New Roman" w:hAnsi="Times New Roman"/>
        </w:rPr>
        <w:t xml:space="preserve">Question 4: Banker's Duty of Secrecy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Discuss the banker's duty of secrecy towards customers. What are the exceptions to this duty? Reference relevant case laws. | গ্রাহকদের প্রতি ব্যাংকারের গোপনীয়তার দায়িত্ব আলোচনা করুন। এই দায়িত্বের ব্যতিক্রম কী? প্রাসঙ্গিক মামলার রেফারেন্স দিন।</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The banker's duty of secrecy is a fundamental obligation arising from the banker-customer relationship. This duty requires the bank to keep all information about the customer's account confidential. The landmark case Tournier v. National Provincial Bank (1924) established this principle. The court held that the duty extends not only to the account balance but also to all information derived from the account. The duty continues even after the account is closed. However, this duty is not absolute and there are recognized exceptions where disclosure is permitted or required. | ব্যাংকারের গোপনীয়তার দায়িত্ব হলো ব্যাংকার-গ্রাহক সম্পর্ক থেকে উদ্ভূত একটি মৌলিক বাধ্যবাধকতা। এই দায়িত্ব অনুযায়ী ব্যাংককে গ্রাহকের হিসাব সম্পর্কে সকল তথ্য গোপন রাখতে হবে। ঐতিহাসিক মামলা Tournier v. National Provincial Bank (1924) এই নীতি প্রতিষ্ঠা করে।</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Tournier v. National Provincial Bank (1924): Established duty of secrecy</w:t>
            </w:r>
          </w:p>
          <w:p>
            <w:r>
              <w:rPr>
                <w:rFonts w:ascii="Times New Roman" w:cs="Times New Roman" w:eastAsia="Times New Roman" w:hAnsi="Times New Roman"/>
                <w:sz w:val="20"/>
                <w:szCs w:val="20"/>
              </w:rPr>
              <w:t xml:space="preserve">• Exception 1: Law compels disclosure (Court order, Income tax)</w:t>
            </w:r>
          </w:p>
          <w:p>
            <w:r>
              <w:rPr>
                <w:rFonts w:ascii="Times New Roman" w:cs="Times New Roman" w:eastAsia="Times New Roman" w:hAnsi="Times New Roman"/>
                <w:sz w:val="20"/>
                <w:szCs w:val="20"/>
              </w:rPr>
              <w:t xml:space="preserve">• Exception 2: Public duty requires disclosure (Fraud, Money laundering)</w:t>
            </w:r>
          </w:p>
          <w:p>
            <w:r>
              <w:rPr>
                <w:rFonts w:ascii="Times New Roman" w:cs="Times New Roman" w:eastAsia="Times New Roman" w:hAnsi="Times New Roman"/>
                <w:sz w:val="20"/>
                <w:szCs w:val="20"/>
              </w:rPr>
              <w:t xml:space="preserve">• Exception 3: Bank's own interest (Recovery proceedings)</w:t>
            </w:r>
          </w:p>
          <w:p>
            <w:r>
              <w:rPr>
                <w:rFonts w:ascii="Times New Roman" w:cs="Times New Roman" w:eastAsia="Times New Roman" w:hAnsi="Times New Roman"/>
                <w:sz w:val="20"/>
                <w:szCs w:val="20"/>
              </w:rPr>
              <w:t xml:space="preserve">• Exception 4: Customer's consent (Express or implied)</w:t>
            </w:r>
          </w:p>
          <w:p>
            <w:r>
              <w:rPr>
                <w:rFonts w:ascii="Times New Roman" w:cs="Times New Roman" w:eastAsia="Times New Roman" w:hAnsi="Times New Roman"/>
                <w:sz w:val="20"/>
                <w:szCs w:val="20"/>
              </w:rPr>
              <w:t xml:space="preserve">• Bank Companies Act, 1991 Section 35: Restrictions on disclosure</w:t>
            </w:r>
          </w:p>
        </w:tc>
      </w:tr>
    </w:tbl>
    <w:p>
      <w:pPr>
        <w:spacing w:after="200"/>
      </w:pPr>
    </w:p>
    <w:p>
      <w:pPr>
        <w:pStyle w:val="Heading2"/>
      </w:pPr>
      <w:r>
        <w:rPr>
          <w:rFonts w:ascii="Times New Roman" w:cs="Times New Roman" w:eastAsia="Times New Roman" w:hAnsi="Times New Roman"/>
        </w:rPr>
        <w:t xml:space="preserve">Question 5: Right of Set-Off</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Explain the banker's right of set-off. What are the conditions for exercising this right? What accounts cannot be set-off? | ব্যাংকারের সেট-অফের অধিকার ব্যাখ্যা করুন। এই অধিকার প্রয়োগের শর্ত কী? কোন হিসাবে সেট-অফ করা যায় না?</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Right of set-off is the banker's right to combine two or more accounts of the same customer and adjust the debit balance in one account against the credit balance in another. This right enables the bank to reduce its loss by netting off mutual debts. The right arises from the equitable principle that a person cannot be both a debtor and creditor for the same transaction. For valid set-off, the accounts must be in the same name, same capacity, and there should be no agreement contrary to set-off. Notice to the customer before exercising set-off is desirable but not mandatory. | সেট-অফের অধিকার হলো ব্যাংকারের একই গ্রাহকের দুই বা ততোধিক হিসাব সমন্বয় করার অধিকার এবং এক হিসাবের ডেবিট ব্যালেন্স অন্য হিসাবের ক্রেডিট ব্যালেন্সের সাথে মিলিয়ে দেওয়া। এই অধিকার ব্যাংককে পারস্পরিক ঋণ নিট করে ক্ষতি কমাতে সাহায্য করে।</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Conditions: Same name, Same capacity, Same right to draw, Due amount</w:t>
            </w:r>
          </w:p>
          <w:p>
            <w:r>
              <w:rPr>
                <w:rFonts w:ascii="Times New Roman" w:cs="Times New Roman" w:eastAsia="Times New Roman" w:hAnsi="Times New Roman"/>
                <w:sz w:val="20"/>
                <w:szCs w:val="20"/>
              </w:rPr>
              <w:t xml:space="preserve">• Can Set-Off: Savings vs Loan, Current vs Overdraft</w:t>
            </w:r>
          </w:p>
          <w:p>
            <w:r>
              <w:rPr>
                <w:rFonts w:ascii="Times New Roman" w:cs="Times New Roman" w:eastAsia="Times New Roman" w:hAnsi="Times New Roman"/>
                <w:sz w:val="20"/>
                <w:szCs w:val="20"/>
              </w:rPr>
              <w:t xml:space="preserve">• Cannot Set-Off: Joint account vs Individual account, Trust account, Minor's account</w:t>
            </w:r>
          </w:p>
          <w:p>
            <w:r>
              <w:rPr>
                <w:rFonts w:ascii="Times New Roman" w:cs="Times New Roman" w:eastAsia="Times New Roman" w:hAnsi="Times New Roman"/>
                <w:sz w:val="20"/>
                <w:szCs w:val="20"/>
              </w:rPr>
              <w:t xml:space="preserve">• Notice: Not mandatory but advisable for good practice</w:t>
            </w:r>
          </w:p>
          <w:p>
            <w:r>
              <w:rPr>
                <w:rFonts w:ascii="Times New Roman" w:cs="Times New Roman" w:eastAsia="Times New Roman" w:hAnsi="Times New Roman"/>
                <w:sz w:val="20"/>
                <w:szCs w:val="20"/>
              </w:rPr>
              <w:t xml:space="preserve">• Section 83 Companies Act: Restrictions for company accounts</w:t>
            </w:r>
          </w:p>
          <w:p>
            <w:r>
              <w:rPr>
                <w:rFonts w:ascii="Times New Roman" w:cs="Times New Roman" w:eastAsia="Times New Roman" w:hAnsi="Times New Roman"/>
                <w:sz w:val="20"/>
                <w:szCs w:val="20"/>
              </w:rPr>
              <w:t xml:space="preserve">• Documentary credit accounts cannot be set-off</w:t>
            </w:r>
          </w:p>
        </w:tc>
      </w:tr>
    </w:tbl>
    <w:p>
      <w:pPr>
        <w:spacing w:after="200"/>
      </w:pPr>
    </w:p>
    <w:p>
      <w:pPr>
        <w:pStyle w:val="Heading2"/>
      </w:pPr>
      <w:r>
        <w:rPr>
          <w:rFonts w:ascii="Times New Roman" w:cs="Times New Roman" w:eastAsia="Times New Roman" w:hAnsi="Times New Roman"/>
        </w:rPr>
        <w:t xml:space="preserve">Question 6: Types of Bank Accounts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Describe the different types of bank accounts and their features. What documents are required for opening each type of account? | বিভিন্ন ধরনের ব্যাংক হিসাব এবং তাদের বৈশিষ্ট্য বর্ণনা করুন। প্রতিটি হিসাব খোলার জন্য কী কী দলিল প্রয়োজন?</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Banks offer various types of accounts to cater to different customer needs. The main types are: (1) Savings Account - for individuals to save money with modest interest, limited transactions; (2) Current Account - for businesses with unlimited transactions, no interest; (3) Fixed Deposit Account - for fixed period with higher interest, penalty on premature withdrawal; (4) Recurring Deposit - regular monthly deposits for fixed period; (5) Joint Account - operated by two or more persons; (6) NRI/NRB Accounts - for non-resident Bangladeshis including FC, NFCD accounts. Each type has specific features, benefits, and documentation requirements. | ব্যাংক বিভিন্ন ধরনের গ্রাহকের প্রয়োজন মেটাতে বিভিন্ন ধরনের হিসাব অফার করে। প্রধান প্রকারভেদ: (১) সঞ্চয়ী হিসাব - ব্যক্তিদের জন্য, সীমিত লেনদেন; (২) চলতি হিসাব - ব্যবসার জন্য, অসীম লেনদেন, কোনো সুদ নেই; (৩) মেয়াদি আমানত - নির্দিষ্ট মেয়াদে উচ্চ সুদ; (৪) রিকারিং ডিপোজিট - নিয়মিত মাসিক জমা; (৫) যৌথ হিসাব; (৬) প্রবাসী বাংলাদেশি হিসাব।</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Savings Account: ID proof, Address proof, Photographs, KYC documents</w:t>
            </w:r>
          </w:p>
          <w:p>
            <w:r>
              <w:rPr>
                <w:rFonts w:ascii="Times New Roman" w:cs="Times New Roman" w:eastAsia="Times New Roman" w:hAnsi="Times New Roman"/>
                <w:sz w:val="20"/>
                <w:szCs w:val="20"/>
              </w:rPr>
              <w:t xml:space="preserve">• Current Account: Trade license, TIN, Memorandum (for company), Partnership deed</w:t>
            </w:r>
          </w:p>
          <w:p>
            <w:r>
              <w:rPr>
                <w:rFonts w:ascii="Times New Roman" w:cs="Times New Roman" w:eastAsia="Times New Roman" w:hAnsi="Times New Roman"/>
                <w:sz w:val="20"/>
                <w:szCs w:val="20"/>
              </w:rPr>
              <w:t xml:space="preserve">• Fixed Deposit: KYC documents, Deposit amount, Tenure selection</w:t>
            </w:r>
          </w:p>
          <w:p>
            <w:r>
              <w:rPr>
                <w:rFonts w:ascii="Times New Roman" w:cs="Times New Roman" w:eastAsia="Times New Roman" w:hAnsi="Times New Roman"/>
                <w:sz w:val="20"/>
                <w:szCs w:val="20"/>
              </w:rPr>
              <w:t xml:space="preserve">• Joint Account: All holders' documents, Operation mode specification</w:t>
            </w:r>
          </w:p>
          <w:p>
            <w:r>
              <w:rPr>
                <w:rFonts w:ascii="Times New Roman" w:cs="Times New Roman" w:eastAsia="Times New Roman" w:hAnsi="Times New Roman"/>
                <w:sz w:val="20"/>
                <w:szCs w:val="20"/>
              </w:rPr>
              <w:t xml:space="preserve">• NRI Accounts: Passport, Visa, Work permit, Foreign address proof</w:t>
            </w:r>
          </w:p>
          <w:p>
            <w:r>
              <w:rPr>
                <w:rFonts w:ascii="Times New Roman" w:cs="Times New Roman" w:eastAsia="Times New Roman" w:hAnsi="Times New Roman"/>
                <w:sz w:val="20"/>
                <w:szCs w:val="20"/>
              </w:rPr>
              <w:t xml:space="preserve">• Minor Account: Guardian's documents, Minor's birth certificate</w:t>
            </w:r>
          </w:p>
        </w:tc>
      </w:tr>
    </w:tbl>
    <w:p>
      <w:pPr>
        <w:spacing w:after="200"/>
      </w:pPr>
    </w:p>
    <w:p>
      <w:pPr>
        <w:pStyle w:val="Heading1"/>
      </w:pPr>
      <w:r>
        <w:rPr>
          <w:rFonts w:ascii="Times New Roman" w:cs="Times New Roman" w:eastAsia="Times New Roman" w:hAnsi="Times New Roman"/>
        </w:rPr>
        <w:t xml:space="preserve">MODULE 3: Loans and Advances | ঋণ ও অগ্রিম</w:t>
      </w:r>
    </w:p>
    <w:p>
      <w:pPr>
        <w:pStyle w:val="Heading2"/>
      </w:pPr>
      <w:r>
        <w:rPr>
          <w:rFonts w:ascii="Times New Roman" w:cs="Times New Roman" w:eastAsia="Times New Roman" w:hAnsi="Times New Roman"/>
        </w:rPr>
        <w:t xml:space="preserve">Question 7: Principles of Lending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are the principles of sound lending? Explain the 5 Cs of credit. How do banks assess creditworthiness? | সঠিক ঋণ প্রদানের নীতিমালা কী? ক্রেডিটের ৫টি C ব্যাখ্যা করুন। ব্যাংক কীভাবে ঋণযোগ্যতা যাচাই করে?</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Sound lending principles are fundamental guidelines that banks follow while sanctioning loans to ensure safety, liquidity, and profitability. The main principles include: Safety (repayment capacity), Liquidity (ability to convert to cash), Profitability (adequate margin), Risk diversification, and Purpose (productive use). The 5 Cs of Credit provide a framework for credit assessment: Character (integrity and willingness to pay), Capacity (ability to repay), Capital (financial stake), Collateral (security), and Conditions (economic factors). Banks use these principles along with financial statement analysis, CIB report, and credit scoring models to assess creditworthiness. | সঠিক ঋণ প্রদানের নীতিমালা হলো মৌলিক নির্দেশিকা যা ব্যাংকগুলো ঋণ অনুমোদনের সময় অনুসরণ করে যাতে নিরাপত্তা, তরলতা এবং লাভজনকতা নিশ্চিত হয়। প্রধান নীতিমালা: নিরাপত্তা, তরলতা, লাভজনকতা, ঝুঁকি বিভাজন, এবং উদ্দেশ্য।</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Character: Credit history, integrity, payment behavior</w:t>
            </w:r>
          </w:p>
          <w:p>
            <w:r>
              <w:rPr>
                <w:rFonts w:ascii="Times New Roman" w:cs="Times New Roman" w:eastAsia="Times New Roman" w:hAnsi="Times New Roman"/>
                <w:sz w:val="20"/>
                <w:szCs w:val="20"/>
              </w:rPr>
              <w:t xml:space="preserve">• Capacity: Income, cash flow, debt service coverage ratio</w:t>
            </w:r>
          </w:p>
          <w:p>
            <w:r>
              <w:rPr>
                <w:rFonts w:ascii="Times New Roman" w:cs="Times New Roman" w:eastAsia="Times New Roman" w:hAnsi="Times New Roman"/>
                <w:sz w:val="20"/>
                <w:szCs w:val="20"/>
              </w:rPr>
              <w:t xml:space="preserve">• Capital: Net worth, financial stake in business</w:t>
            </w:r>
          </w:p>
          <w:p>
            <w:r>
              <w:rPr>
                <w:rFonts w:ascii="Times New Roman" w:cs="Times New Roman" w:eastAsia="Times New Roman" w:hAnsi="Times New Roman"/>
                <w:sz w:val="20"/>
                <w:szCs w:val="20"/>
              </w:rPr>
              <w:t xml:space="preserve">• Collateral: Security value, margin, legal enforceability</w:t>
            </w:r>
          </w:p>
          <w:p>
            <w:r>
              <w:rPr>
                <w:rFonts w:ascii="Times New Roman" w:cs="Times New Roman" w:eastAsia="Times New Roman" w:hAnsi="Times New Roman"/>
                <w:sz w:val="20"/>
                <w:szCs w:val="20"/>
              </w:rPr>
              <w:t xml:space="preserve">• Conditions: Economic environment, industry trends</w:t>
            </w:r>
          </w:p>
          <w:p>
            <w:r>
              <w:rPr>
                <w:rFonts w:ascii="Times New Roman" w:cs="Times New Roman" w:eastAsia="Times New Roman" w:hAnsi="Times New Roman"/>
                <w:sz w:val="20"/>
                <w:szCs w:val="20"/>
              </w:rPr>
              <w:t xml:space="preserve">• Additional: CANI (Character, Ability, Net worth, Insurance)</w:t>
            </w:r>
          </w:p>
        </w:tc>
      </w:tr>
    </w:tbl>
    <w:p>
      <w:pPr>
        <w:spacing w:after="200"/>
      </w:pPr>
    </w:p>
    <w:p>
      <w:pPr>
        <w:pStyle w:val="Heading2"/>
      </w:pPr>
      <w:r>
        <w:rPr>
          <w:rFonts w:ascii="Times New Roman" w:cs="Times New Roman" w:eastAsia="Times New Roman" w:hAnsi="Times New Roman"/>
        </w:rPr>
        <w:t xml:space="preserve">Question 8: Types of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are the different types of security accepted by banks for loans? Explain the procedure for creating mortgage and pledge. | ব্যাংক ঋণের জন্য কী ধরনের জামানত গ্রহণ করে? বন্ধক এবং পণ্য বন্ধকের প্রক্রিয়া ব্যাখ্যা করুন।</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Banks accept various types of security to secure loans: (1) Primary Security - the asset financed by the loan; (2) Collateral Security - additional security; (3) Personal Security - guarantee; (4) Tangible Security - physical assets. Specific types include: Mortgage of immovable property, Pledge of movable goods, Hypothecation of stocks, Lien on shares/FDRs, Guarantee. Mortgage is created under Transfer of Property Act, 1882 - it's transfer of interest in specific immovable property as security. Types: Simple Mortgage, Mortgage by Conditional Sale, Usufructuary Mortgage, English Mortgage, Mortgage by Deposit of Title Deeds. Pledge is bailment of goods as security under Section 172 of Contract Act - possession is transferred to pledgee. | ব্যাংক ঋণ সুরক্ষিত করতে বিভিন্ন ধরনের জামানত গ্রহণ করে: (১) প্রাথমিক জামানত - ঋণের দ্বারা অর্থায়িত সম্পদ; (২) অতিরিক্ত জামানত; (৩) ব্যক্তিগত জামানত - গ্যারান্টি; (৪) দৃশ্যমান জামানত। বন্ধক তৈরি হয় সম্পত্তি হস্তান্তর আইন, ১৮৮২ অনুযায়ী। প্রকারভেদ: সাধারণ বন্ধক, শর্তাধীন বিক্রয় বন্ধক, ইংরেজি বন্ধক। পণ্য বন্ধক চুক্তি আইনের ধারা ১৭২ অনুযায়ী হয়।</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Mortgage: Transfer of interest in immovable property</w:t>
            </w:r>
          </w:p>
          <w:p>
            <w:r>
              <w:rPr>
                <w:rFonts w:ascii="Times New Roman" w:cs="Times New Roman" w:eastAsia="Times New Roman" w:hAnsi="Times New Roman"/>
                <w:sz w:val="20"/>
                <w:szCs w:val="20"/>
              </w:rPr>
              <w:t xml:space="preserve">• Types of Mortgage: Simple, Conditional Sale, Usufructuary, English, Equitable</w:t>
            </w:r>
          </w:p>
          <w:p>
            <w:r>
              <w:rPr>
                <w:rFonts w:ascii="Times New Roman" w:cs="Times New Roman" w:eastAsia="Times New Roman" w:hAnsi="Times New Roman"/>
                <w:sz w:val="20"/>
                <w:szCs w:val="20"/>
              </w:rPr>
              <w:t xml:space="preserve">• Registration: Required for mortgage (except equitable mortgage)</w:t>
            </w:r>
          </w:p>
          <w:p>
            <w:r>
              <w:rPr>
                <w:rFonts w:ascii="Times New Roman" w:cs="Times New Roman" w:eastAsia="Times New Roman" w:hAnsi="Times New Roman"/>
                <w:sz w:val="20"/>
                <w:szCs w:val="20"/>
              </w:rPr>
              <w:t xml:space="preserve">• Pledge: Delivery of goods, Possession with pledgee</w:t>
            </w:r>
          </w:p>
          <w:p>
            <w:r>
              <w:rPr>
                <w:rFonts w:ascii="Times New Roman" w:cs="Times New Roman" w:eastAsia="Times New Roman" w:hAnsi="Times New Roman"/>
                <w:sz w:val="20"/>
                <w:szCs w:val="20"/>
              </w:rPr>
              <w:t xml:space="preserve">• Hypothecation: Possession with borrower, charge created</w:t>
            </w:r>
          </w:p>
          <w:p>
            <w:r>
              <w:rPr>
                <w:rFonts w:ascii="Times New Roman" w:cs="Times New Roman" w:eastAsia="Times New Roman" w:hAnsi="Times New Roman"/>
                <w:sz w:val="20"/>
                <w:szCs w:val="20"/>
              </w:rPr>
              <w:t xml:space="preserve">• Lien: Right to retain until debt is paid</w:t>
            </w:r>
          </w:p>
          <w:p>
            <w:r>
              <w:rPr>
                <w:rFonts w:ascii="Times New Roman" w:cs="Times New Roman" w:eastAsia="Times New Roman" w:hAnsi="Times New Roman"/>
                <w:sz w:val="20"/>
                <w:szCs w:val="20"/>
              </w:rPr>
              <w:t xml:space="preserve">• Documents Required: Title deed, Encumbrance certificate, Valuation report</w:t>
            </w:r>
          </w:p>
        </w:tc>
      </w:tr>
    </w:tbl>
    <w:p>
      <w:pPr>
        <w:spacing w:after="200"/>
      </w:pPr>
    </w:p>
    <w:p>
      <w:pPr>
        <w:pStyle w:val="Heading2"/>
      </w:pPr>
      <w:r>
        <w:rPr>
          <w:rFonts w:ascii="Times New Roman" w:cs="Times New Roman" w:eastAsia="Times New Roman" w:hAnsi="Times New Roman"/>
        </w:rPr>
        <w:t xml:space="preserve">Question 9: SARFAESI 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Explain the provisions of SARFAESI Act, 2002 for recovery of NPAs. What is the procedure under Section 13? What are the rights of the borrower? | NPA আদায়ের জন্য SARFAESI আইন, ২০০২-এর বিধান ব্যাখ্যা করুন। ধারা ১৩ অনুযায়ী প্রক্রিয়া কী? ঋণগ্রহীতার অধিকার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The Securitisation and Reconstruction of Financial Assets and Enforcement of Security Interest (SARFAESI) Act, 2002 is a powerful legislation for recovery of NPAs. Under Section 13, secured creditors can enforce security interest without intervention of court. When an account becomes NPA, the bank issues a demand notice under Section 13(2) giving 60 days to the borrower to clear dues. If the borrower fails to pay, the bank can take possession of secured assets under Section 13(4), appoint a manager, and sell the asset. The borrower can file an appeal before the Debt Recovery Tribunal (DRT) under Section 17. The Act also provides for establishment of Asset Reconstruction Companies and securitization of financial assets. | সিকিউরিটাইজেশন অ্যান্ড রিকনস্ট্রাকশন অফ ফাইন্যান্সিয়াল অ্যাসেটস অ্যান্ড এনফোর্সমেন্ট অফ সিকিউরিটি ইন্টারেস্ট (SARFAESI) আইন, ২০০২ হলো NPA আদায়ের জন্য একটি শক্তিশালী আইন। ধারা ১৩ অনুযায়ী, সুরক্ষিত ঋণদাতা আদালতের হস্তক্ষেপ ছাড়াই জামানত কার্যকর করতে পারে।</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Section 13(2): Demand notice with 60 days to pay</w:t>
            </w:r>
          </w:p>
          <w:p>
            <w:r>
              <w:rPr>
                <w:rFonts w:ascii="Times New Roman" w:cs="Times New Roman" w:eastAsia="Times New Roman" w:hAnsi="Times New Roman"/>
                <w:sz w:val="20"/>
                <w:szCs w:val="20"/>
              </w:rPr>
              <w:t xml:space="preserve">• Section 13(4): Take possession, appoint manager, sell asset</w:t>
            </w:r>
          </w:p>
          <w:p>
            <w:r>
              <w:rPr>
                <w:rFonts w:ascii="Times New Roman" w:cs="Times New Roman" w:eastAsia="Times New Roman" w:hAnsi="Times New Roman"/>
                <w:sz w:val="20"/>
                <w:szCs w:val="20"/>
              </w:rPr>
              <w:t xml:space="preserve">• Section 13(10): Right to recover balance from borrower</w:t>
            </w:r>
          </w:p>
          <w:p>
            <w:r>
              <w:rPr>
                <w:rFonts w:ascii="Times New Roman" w:cs="Times New Roman" w:eastAsia="Times New Roman" w:hAnsi="Times New Roman"/>
                <w:sz w:val="20"/>
                <w:szCs w:val="20"/>
              </w:rPr>
              <w:t xml:space="preserve">• Section 17: Appeal to DRT within 45 days</w:t>
            </w:r>
          </w:p>
          <w:p>
            <w:r>
              <w:rPr>
                <w:rFonts w:ascii="Times New Roman" w:cs="Times New Roman" w:eastAsia="Times New Roman" w:hAnsi="Times New Roman"/>
                <w:sz w:val="20"/>
                <w:szCs w:val="20"/>
              </w:rPr>
              <w:t xml:space="preserve">• Section 18: Appeal to DRAT against DRT order</w:t>
            </w:r>
          </w:p>
          <w:p>
            <w:r>
              <w:rPr>
                <w:rFonts w:ascii="Times New Roman" w:cs="Times New Roman" w:eastAsia="Times New Roman" w:hAnsi="Times New Roman"/>
                <w:sz w:val="20"/>
                <w:szCs w:val="20"/>
              </w:rPr>
              <w:t xml:space="preserve">• Borrower Rights: Reply to notice, Approach DRT, Claim damages</w:t>
            </w:r>
          </w:p>
          <w:p>
            <w:r>
              <w:rPr>
                <w:rFonts w:ascii="Times New Roman" w:cs="Times New Roman" w:eastAsia="Times New Roman" w:hAnsi="Times New Roman"/>
                <w:sz w:val="20"/>
                <w:szCs w:val="20"/>
              </w:rPr>
              <w:t xml:space="preserve">• Exemptions: Agricultural land, Loans below 1 lakh</w:t>
            </w:r>
          </w:p>
        </w:tc>
      </w:tr>
    </w:tbl>
    <w:p>
      <w:pPr>
        <w:spacing w:after="200"/>
      </w:pPr>
    </w:p>
    <w:p>
      <w:pPr>
        <w:pStyle w:val="Heading1"/>
      </w:pPr>
      <w:r>
        <w:rPr>
          <w:rFonts w:ascii="Times New Roman" w:cs="Times New Roman" w:eastAsia="Times New Roman" w:hAnsi="Times New Roman"/>
        </w:rPr>
        <w:t xml:space="preserve">MODULE 4: NPA Management | NPA ব্যবস্থাপনা</w:t>
      </w:r>
    </w:p>
    <w:p>
      <w:pPr>
        <w:pStyle w:val="Heading2"/>
      </w:pPr>
      <w:r>
        <w:rPr>
          <w:rFonts w:ascii="Times New Roman" w:cs="Times New Roman" w:eastAsia="Times New Roman" w:hAnsi="Times New Roman"/>
        </w:rPr>
        <w:t xml:space="preserve">Question 10: NPA Classification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Define NPA. Explain the classification of NPAs as per Bangladesh Bank guidelines. What is the provisioning requirement for each category? | NPA-এর সংজ্ঞা দিন। বাংলাদেশ ব্যাংকের গাইডলাইন অনুযায়ী NPA-এর শ্রেণীবিভাগ ব্যাখ্যা করুন। প্রতিটি বিভাগের জন্য প্রভিশনিং প্রয়োজনীয়তা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Non-Performing Asset (NPA) refers to a loan or advance where principal or interest payment remains overdue for 90 days or more. As per Bangladesh Bank guidelines, NPAs are classified based on the period of overdue. The classification helps in assessing the quality of assets and determining provisioning requirements. When a loan account shows signs of stress, it first goes into Special Mention Account (SMA) category before becoming NPA. The classification determines the percentage of provision that banks must set aside from their profits to cover potential losses. | অ-সম্পাদনকারী সম্পদ (NPA) বলতে এমন ঋণ বা অগ্রিমকে বোঝায় যেখানে আসল বা সুদের পেমেন্ট ৯০ দিন বা তার বেশি বকেয়া থাকে। বাংলাদেশ ব্যাংকের গাইডলাইন অনুযায়ী, NPA-গুলো বকেয়ার সময়ের ভিত্তিতে শ্রেণীবদ্ধ করা হয়। শ্রেণীবিভাগ সম্পদের গুণমান মূল্যায়নে এবং প্রভিশনিং নির্ধারণে সাহায্য করে।</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SMA-0: Overdue 1-30 days - No provision</w:t>
            </w:r>
          </w:p>
          <w:p>
            <w:r>
              <w:rPr>
                <w:rFonts w:ascii="Times New Roman" w:cs="Times New Roman" w:eastAsia="Times New Roman" w:hAnsi="Times New Roman"/>
                <w:sz w:val="20"/>
                <w:szCs w:val="20"/>
              </w:rPr>
              <w:t xml:space="preserve">• SMA-1: Overdue 31-60 days - No provision</w:t>
            </w:r>
          </w:p>
          <w:p>
            <w:r>
              <w:rPr>
                <w:rFonts w:ascii="Times New Roman" w:cs="Times New Roman" w:eastAsia="Times New Roman" w:hAnsi="Times New Roman"/>
                <w:sz w:val="20"/>
                <w:szCs w:val="20"/>
              </w:rPr>
              <w:t xml:space="preserve">• SMA-2: Overdue 61-90 days - No provision</w:t>
            </w:r>
          </w:p>
          <w:p>
            <w:r>
              <w:rPr>
                <w:rFonts w:ascii="Times New Roman" w:cs="Times New Roman" w:eastAsia="Times New Roman" w:hAnsi="Times New Roman"/>
                <w:sz w:val="20"/>
                <w:szCs w:val="20"/>
              </w:rPr>
              <w:t xml:space="preserve">• Sub-standard: Overdue 90 days to 1 year - 20% provision</w:t>
            </w:r>
          </w:p>
          <w:p>
            <w:r>
              <w:rPr>
                <w:rFonts w:ascii="Times New Roman" w:cs="Times New Roman" w:eastAsia="Times New Roman" w:hAnsi="Times New Roman"/>
                <w:sz w:val="20"/>
                <w:szCs w:val="20"/>
              </w:rPr>
              <w:t xml:space="preserve">• Doubtful: Overdue 1-3 years - 50% provision (D1: 25%, D2: 50%, D3: 100% unsecured)</w:t>
            </w:r>
          </w:p>
          <w:p>
            <w:r>
              <w:rPr>
                <w:rFonts w:ascii="Times New Roman" w:cs="Times New Roman" w:eastAsia="Times New Roman" w:hAnsi="Times New Roman"/>
                <w:sz w:val="20"/>
                <w:szCs w:val="20"/>
              </w:rPr>
              <w:t xml:space="preserve">• Bad/Loss: Overdue beyond 3 years - 100% provision</w:t>
            </w:r>
          </w:p>
          <w:p>
            <w:r>
              <w:rPr>
                <w:rFonts w:ascii="Times New Roman" w:cs="Times New Roman" w:eastAsia="Times New Roman" w:hAnsi="Times New Roman"/>
                <w:sz w:val="20"/>
                <w:szCs w:val="20"/>
              </w:rPr>
              <w:t xml:space="preserve">• Provision maintained from profits, affects bank's profitability</w:t>
            </w:r>
          </w:p>
        </w:tc>
      </w:tr>
    </w:tbl>
    <w:p>
      <w:pPr>
        <w:spacing w:after="200"/>
      </w:pPr>
    </w:p>
    <w:p>
      <w:pPr>
        <w:pStyle w:val="Heading2"/>
      </w:pPr>
      <w:r>
        <w:rPr>
          <w:rFonts w:ascii="Times New Roman" w:cs="Times New Roman" w:eastAsia="Times New Roman" w:hAnsi="Times New Roman"/>
        </w:rPr>
        <w:t xml:space="preserve">Question 11: Recovery Measures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Discuss various recovery measures available to banks for NPA management. Explain the role of Debt Recovery Tribunal. | NPA ব্যবস্থাপনার জন্য ব্যাংকগুলোর কাছে উপলব্ধ বিভিন্ন আদায় ব্যবস্থা আলোচনা করুন। ঋণ আদায় ট্রাইব্যুনালের ভূমিকা ব্যাখ্যা করুন।</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Banks have multiple recovery measures for NPA management: (1) Persuasion and follow-up; (2) Legal notices; (3) One-Time Settlement (OTS) schemes; (4) SARFAESI proceedings; (5) Filing suit in Debt Recovery Tribunal (DRT); (6) Lok Adalat settlement; (7) Sale of assets to Asset Reconstruction Companies (ARCs); (8) Write-off after exhausting all means. The Recovery of Debts Due to Banks and Financial Institutions Act, 1993 established DRTs for speedy recovery. DRTs have jurisdiction over cases above 20 lakhs. The presiding officer has powers of a civil court. Appeal lies to Debt Recovery Appellate Tribunal (DRAT). DRTs provide quicker resolution compared to regular courts. | NPA ব্যবস্থাপনার জন্য ব্যাংকের কাছে একাধিক আদায় ব্যবস্থা আছে: (১) অনুরোধ ও অনুসরণ; (২) আইনি নোটিশ; (৩) এককালীন নিষ্পত্তি; (৪) SARFAESI প্রক্রিয়া; (৫) ঋণ আদায় ট্রাইব্যুনালে মামলা; (৬) লোক আদালত; (৭) ARC-তে সম্পদ বিক্রি; (৮) রাইট-অফ।</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DRT: Established under RDDBFI Act, 1993</w:t>
            </w:r>
          </w:p>
          <w:p>
            <w:r>
              <w:rPr>
                <w:rFonts w:ascii="Times New Roman" w:cs="Times New Roman" w:eastAsia="Times New Roman" w:hAnsi="Times New Roman"/>
                <w:sz w:val="20"/>
                <w:szCs w:val="20"/>
              </w:rPr>
              <w:t xml:space="preserve">• Jurisdiction: Cases above 20 lakh</w:t>
            </w:r>
          </w:p>
          <w:p>
            <w:r>
              <w:rPr>
                <w:rFonts w:ascii="Times New Roman" w:cs="Times New Roman" w:eastAsia="Times New Roman" w:hAnsi="Times New Roman"/>
                <w:sz w:val="20"/>
                <w:szCs w:val="20"/>
              </w:rPr>
              <w:t xml:space="preserve">• Time limit: Dispose within 180 days</w:t>
            </w:r>
          </w:p>
          <w:p>
            <w:r>
              <w:rPr>
                <w:rFonts w:ascii="Times New Roman" w:cs="Times New Roman" w:eastAsia="Times New Roman" w:hAnsi="Times New Roman"/>
                <w:sz w:val="20"/>
                <w:szCs w:val="20"/>
              </w:rPr>
              <w:t xml:space="preserve">• Appeal: DRAT within 30 days with 50% deposit</w:t>
            </w:r>
          </w:p>
          <w:p>
            <w:r>
              <w:rPr>
                <w:rFonts w:ascii="Times New Roman" w:cs="Times New Roman" w:eastAsia="Times New Roman" w:hAnsi="Times New Roman"/>
                <w:sz w:val="20"/>
                <w:szCs w:val="20"/>
              </w:rPr>
              <w:t xml:space="preserve">• DRT Powers: Attachment, Auction, Appointment of receiver</w:t>
            </w:r>
          </w:p>
          <w:p>
            <w:r>
              <w:rPr>
                <w:rFonts w:ascii="Times New Roman" w:cs="Times New Roman" w:eastAsia="Times New Roman" w:hAnsi="Times New Roman"/>
                <w:sz w:val="20"/>
                <w:szCs w:val="20"/>
              </w:rPr>
              <w:t xml:space="preserve">• ARC: Purchase NPAs at discounted price</w:t>
            </w:r>
          </w:p>
          <w:p>
            <w:r>
              <w:rPr>
                <w:rFonts w:ascii="Times New Roman" w:cs="Times New Roman" w:eastAsia="Times New Roman" w:hAnsi="Times New Roman"/>
                <w:sz w:val="20"/>
                <w:szCs w:val="20"/>
              </w:rPr>
              <w:t xml:space="preserve">• OTS: Compromise settlement with waiver of interest/penalty</w:t>
            </w:r>
          </w:p>
        </w:tc>
      </w:tr>
    </w:tbl>
    <w:p>
      <w:pPr>
        <w:spacing w:after="200"/>
      </w:pPr>
    </w:p>
    <w:p>
      <w:pPr>
        <w:pStyle w:val="Heading1"/>
      </w:pPr>
      <w:r>
        <w:rPr>
          <w:rFonts w:ascii="Times New Roman" w:cs="Times New Roman" w:eastAsia="Times New Roman" w:hAnsi="Times New Roman"/>
        </w:rPr>
        <w:t xml:space="preserve">MODULE 5: Priority Sector Lending | অগ্রাধিকার খাতে ঋণ</w:t>
      </w:r>
    </w:p>
    <w:p>
      <w:pPr>
        <w:pStyle w:val="Heading2"/>
      </w:pPr>
      <w:r>
        <w:rPr>
          <w:rFonts w:ascii="Times New Roman" w:cs="Times New Roman" w:eastAsia="Times New Roman" w:hAnsi="Times New Roman"/>
        </w:rPr>
        <w:t xml:space="preserve">Question 12: Priority Sector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Priority Sector Lending? Explain the targets and sub-targets for banks under priority sector. What are the categories under priority sector? | অগ্রাধিকার খাতে ঋণ কী? অগ্রাধিকার খাতে ব্যাংকগুলোর জন্য লক্ষ্যমাত্রা ও উপ-লক্ষ্যমাত্রা ব্যাখ্যা করুন। অগ্রাধিকার খাতের বিভাগগুলো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Priority Sector Lending refers to bank loans to sectors that are vital for the economic development of the country but may not get timely and adequate credit under normal circumstances. As per Bangladesh Bank guidelines, banks must achieve a target of 40% of Adjusted Net Bank Credit (ANBC) towards priority sector. The main categories include: Agriculture (18% target), Micro, Small and Medium Enterprises (MSMEs), Education, Housing, Export Credit, and others. Banks failing to meet targets are required to deposit the shortfall with specified funds at lower interest rates. This ensures flow of credit to vulnerable sections of society. | অগ্রাধিকার খাতে ঋণ বলতে এমন খাতে ব্যাংক ঋণকে বোঝায় যা দেশের অর্থনৈতিক উন্নয়নের জন্য অত্যন্ত গুরুত্বপূর্ণ কিন্তু স্বাভাবিক পরিস্থিতিতে সময়মতো এবং পর্যাপ্ত ঋণ নাও পেতে পারে। বাংলাদেশ ব্যাংকের গাইডলাইন অনুযায়ী, ব্যাংকগুলোকে অগ্রাধিকার খাতে ANBC-র ৪০% লক্ষ্যমাত্রা অর্জন করতে হবে।</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Overall Target: 40% of ANBC</w:t>
            </w:r>
          </w:p>
          <w:p>
            <w:r>
              <w:rPr>
                <w:rFonts w:ascii="Times New Roman" w:cs="Times New Roman" w:eastAsia="Times New Roman" w:hAnsi="Times New Roman"/>
                <w:sz w:val="20"/>
                <w:szCs w:val="20"/>
              </w:rPr>
              <w:t xml:space="preserve">• Agriculture: 18% of ANBC (13.5% direct, 4.5% indirect)</w:t>
            </w:r>
          </w:p>
          <w:p>
            <w:r>
              <w:rPr>
                <w:rFonts w:ascii="Times New Roman" w:cs="Times New Roman" w:eastAsia="Times New Roman" w:hAnsi="Times New Roman"/>
                <w:sz w:val="20"/>
                <w:szCs w:val="20"/>
              </w:rPr>
              <w:t xml:space="preserve">• MSMEs: 7.5% of ANBC for micro enterprises</w:t>
            </w:r>
          </w:p>
          <w:p>
            <w:r>
              <w:rPr>
                <w:rFonts w:ascii="Times New Roman" w:cs="Times New Roman" w:eastAsia="Times New Roman" w:hAnsi="Times New Roman"/>
                <w:sz w:val="20"/>
                <w:szCs w:val="20"/>
              </w:rPr>
              <w:t xml:space="preserve">• Weaker Sections: 12% of ANBC within priority sector</w:t>
            </w:r>
          </w:p>
          <w:p>
            <w:r>
              <w:rPr>
                <w:rFonts w:ascii="Times New Roman" w:cs="Times New Roman" w:eastAsia="Times New Roman" w:hAnsi="Times New Roman"/>
                <w:sz w:val="20"/>
                <w:szCs w:val="20"/>
              </w:rPr>
              <w:t xml:space="preserve">• Education Loans: Up to 20 lakh for studies abroad</w:t>
            </w:r>
          </w:p>
          <w:p>
            <w:r>
              <w:rPr>
                <w:rFonts w:ascii="Times New Roman" w:cs="Times New Roman" w:eastAsia="Times New Roman" w:hAnsi="Times New Roman"/>
                <w:sz w:val="20"/>
                <w:szCs w:val="20"/>
              </w:rPr>
              <w:t xml:space="preserve">• Housing: Up to 35 lakh in metropolitan areas</w:t>
            </w:r>
          </w:p>
          <w:p>
            <w:r>
              <w:rPr>
                <w:rFonts w:ascii="Times New Roman" w:cs="Times New Roman" w:eastAsia="Times New Roman" w:hAnsi="Times New Roman"/>
                <w:sz w:val="20"/>
                <w:szCs w:val="20"/>
              </w:rPr>
              <w:t xml:space="preserve">• Penalty: Deposit shortfall in RIDF at lower interest</w:t>
            </w:r>
          </w:p>
        </w:tc>
      </w:tr>
    </w:tbl>
    <w:p>
      <w:pPr>
        <w:spacing w:after="200"/>
      </w:pPr>
    </w:p>
    <w:p>
      <w:pPr>
        <w:pStyle w:val="Heading1"/>
      </w:pPr>
      <w:r>
        <w:rPr>
          <w:rFonts w:ascii="Times New Roman" w:cs="Times New Roman" w:eastAsia="Times New Roman" w:hAnsi="Times New Roman"/>
        </w:rPr>
        <w:t xml:space="preserve">MODULE 6: KYC &amp; Anti-Money Laundering | কেওয়াইসি ও অর্থ পাচার প্রতিরোধ</w:t>
      </w:r>
    </w:p>
    <w:p>
      <w:pPr>
        <w:pStyle w:val="Heading2"/>
      </w:pPr>
      <w:r>
        <w:rPr>
          <w:rFonts w:ascii="Times New Roman" w:cs="Times New Roman" w:eastAsia="Times New Roman" w:hAnsi="Times New Roman"/>
        </w:rPr>
        <w:t xml:space="preserve">Question 13: KYC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KYC? Explain the KYC requirements for opening bank accounts. What are the documents accepted as proof of identity and address? | KYC কী? ব্যাংক হিসাব খোলার জন্য KYC প্রয়োজনীয়তা ব্যাখ্যা குటுন। পরিচয় ও ঠিকানার প্রমাণ হিসেবে কী দলিল গ্রহণযোগ্য?</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Know Your Customer (KYC) is a process of verifying the identity and address of customers before opening accounts and periodically updating the information. KYC is mandated by Bangladesh Bank to prevent money laundering, terrorist financing, and fraud. The process involves collection of documents for proof of identity and proof of address, recent photograph, and other details. For entities, additional documents like registration certificate, MOA, AOA, board resolution are required. Enhanced Due Diligence (EDD) is required for high-risk customers like politically exposed persons (PEPs). KYC must be updated periodically - every 2 years for high risk, 8 years for low risk customers. | নো ইওর কাস্টমার (KYC) হলো হিসাব খোলার আগে গ্রাহকের পরিচয় ও ঠিকানা যাচাই করার প্রক্রিয়া এবং পর্যায়ক্রমে তথ্য আপডেট করা। বাংলাদেশ ব্যাংক মানি লন্ডারিং, সন্ত্রাসী অর্থায়ন এবং জালিয়াতি প্রতিরোধের জন্য KYC বাধ্যতামূলক করেছে।</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Proof of Identity: Passport, NID, Driving License, PAN Card</w:t>
            </w:r>
          </w:p>
          <w:p>
            <w:r>
              <w:rPr>
                <w:rFonts w:ascii="Times New Roman" w:cs="Times New Roman" w:eastAsia="Times New Roman" w:hAnsi="Times New Roman"/>
                <w:sz w:val="20"/>
                <w:szCs w:val="20"/>
              </w:rPr>
              <w:t xml:space="preserve">• Proof of Address: Utility bills, Bank statement, Passport</w:t>
            </w:r>
          </w:p>
          <w:p>
            <w:r>
              <w:rPr>
                <w:rFonts w:ascii="Times New Roman" w:cs="Times New Roman" w:eastAsia="Times New Roman" w:hAnsi="Times New Roman"/>
                <w:sz w:val="20"/>
                <w:szCs w:val="20"/>
              </w:rPr>
              <w:t xml:space="preserve">• Recent Photograph: As per specification</w:t>
            </w:r>
          </w:p>
          <w:p>
            <w:r>
              <w:rPr>
                <w:rFonts w:ascii="Times New Roman" w:cs="Times New Roman" w:eastAsia="Times New Roman" w:hAnsi="Times New Roman"/>
                <w:sz w:val="20"/>
                <w:szCs w:val="20"/>
              </w:rPr>
              <w:t xml:space="preserve">• For Companies: Registration, MOA, AOA, Board Resolution</w:t>
            </w:r>
          </w:p>
          <w:p>
            <w:r>
              <w:rPr>
                <w:rFonts w:ascii="Times New Roman" w:cs="Times New Roman" w:eastAsia="Times New Roman" w:hAnsi="Times New Roman"/>
                <w:sz w:val="20"/>
                <w:szCs w:val="20"/>
              </w:rPr>
              <w:t xml:space="preserve">• For Partnership: Partnership deed, Partner's KYC</w:t>
            </w:r>
          </w:p>
          <w:p>
            <w:r>
              <w:rPr>
                <w:rFonts w:ascii="Times New Roman" w:cs="Times New Roman" w:eastAsia="Times New Roman" w:hAnsi="Times New Roman"/>
                <w:sz w:val="20"/>
                <w:szCs w:val="20"/>
              </w:rPr>
              <w:t xml:space="preserve">• EDD for: PEPs, Non-face-to-face customers, High-risk countries</w:t>
            </w:r>
          </w:p>
          <w:p>
            <w:r>
              <w:rPr>
                <w:rFonts w:ascii="Times New Roman" w:cs="Times New Roman" w:eastAsia="Times New Roman" w:hAnsi="Times New Roman"/>
                <w:sz w:val="20"/>
                <w:szCs w:val="20"/>
              </w:rPr>
              <w:t xml:space="preserve">• Periodicity: High risk - 2 years, Medium - 5 years, Low - 8 years</w:t>
            </w:r>
          </w:p>
        </w:tc>
      </w:tr>
    </w:tbl>
    <w:p>
      <w:pPr>
        <w:spacing w:after="200"/>
      </w:pPr>
    </w:p>
    <w:p>
      <w:pPr>
        <w:pStyle w:val="Heading2"/>
      </w:pPr>
      <w:r>
        <w:rPr>
          <w:rFonts w:ascii="Times New Roman" w:cs="Times New Roman" w:eastAsia="Times New Roman" w:hAnsi="Times New Roman"/>
        </w:rPr>
        <w:t xml:space="preserve">Question 14: Money Laundering Prevention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Define money laundering. Explain the three stages of money laundering. What are the preventive measures banks must take? | মানি লন্ডারিংয়ের সংজ্ঞা দিন। মানি লন্ডারিংয়ের তিনটি ধাপ ব্যাখ্যা করুন। ব্যাংকগুলোকে কী প্রতিরোধমূলক ব্যবস্থা নিতে হবে?</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Money laundering is the process of making illegally obtained money appear legitimate. It involves concealing the true nature, source, location, or ownership of proceeds of crime. The three stages are: (1) Placement - introducing illicit funds into the financial system; (2) Layering - creating complex layers of transactions to disguise the audit trail; (3) Integration - making the money available for use in legitimate economy. Banks must implement AML policies, report suspicious transactions, maintain records, conduct customer due diligence, and train staff. The Money Laundering Prevention Act, 2012 imposes strict penalties including imprisonment and fine. BFIU (Bangladesh Financial Intelligence Unit) is the nodal agency. | মানি লন্ডারিং হলো অবৈধভাবে অর্জিত অর্থকে বৈধ বলে প্রকাশ করার প্রক্রিয়া। এতে অপরাধের আয়ের প্রকৃত প্রকৃতি, উৎস, অবস্থান বা মালিকানা লুকানো হয়। তিনটি ধাপ: (১) প্লেসমেন্ট - অবৈধ অর্থ আর্থিক ব্যবস্থায় প্রবেশ; (২) লেয়ারিং - জটিল লেনদেনের মাধ্যমে ট্রেইল লুকানো; (৩) ইন্টিগ্রেশন - বৈধ অর্থনীতিতে অর্থ ব্যবহারযোগ্য করা।</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Placement: Cash deposits, purchasing negotiable instruments</w:t>
            </w:r>
          </w:p>
          <w:p>
            <w:r>
              <w:rPr>
                <w:rFonts w:ascii="Times New Roman" w:cs="Times New Roman" w:eastAsia="Times New Roman" w:hAnsi="Times New Roman"/>
                <w:sz w:val="20"/>
                <w:szCs w:val="20"/>
              </w:rPr>
              <w:t xml:space="preserve">• Layering: Wire transfers, shell companies, multiple accounts</w:t>
            </w:r>
          </w:p>
          <w:p>
            <w:r>
              <w:rPr>
                <w:rFonts w:ascii="Times New Roman" w:cs="Times New Roman" w:eastAsia="Times New Roman" w:hAnsi="Times New Roman"/>
                <w:sz w:val="20"/>
                <w:szCs w:val="20"/>
              </w:rPr>
              <w:t xml:space="preserve">• Integration: Real estate, luxury goods, business investments</w:t>
            </w:r>
          </w:p>
          <w:p>
            <w:r>
              <w:rPr>
                <w:rFonts w:ascii="Times New Roman" w:cs="Times New Roman" w:eastAsia="Times New Roman" w:hAnsi="Times New Roman"/>
                <w:sz w:val="20"/>
                <w:szCs w:val="20"/>
              </w:rPr>
              <w:t xml:space="preserve">• Preventive Measures: KYC, STR reporting, Record keeping</w:t>
            </w:r>
          </w:p>
          <w:p>
            <w:r>
              <w:rPr>
                <w:rFonts w:ascii="Times New Roman" w:cs="Times New Roman" w:eastAsia="Times New Roman" w:hAnsi="Times New Roman"/>
                <w:sz w:val="20"/>
                <w:szCs w:val="20"/>
              </w:rPr>
              <w:t xml:space="preserve">• CDD: Customer Due Diligence for all accounts</w:t>
            </w:r>
          </w:p>
          <w:p>
            <w:r>
              <w:rPr>
                <w:rFonts w:ascii="Times New Roman" w:cs="Times New Roman" w:eastAsia="Times New Roman" w:hAnsi="Times New Roman"/>
                <w:sz w:val="20"/>
                <w:szCs w:val="20"/>
              </w:rPr>
              <w:t xml:space="preserve">• EDD: Enhanced Due Diligence for high risk customers</w:t>
            </w:r>
          </w:p>
          <w:p>
            <w:r>
              <w:rPr>
                <w:rFonts w:ascii="Times New Roman" w:cs="Times New Roman" w:eastAsia="Times New Roman" w:hAnsi="Times New Roman"/>
                <w:sz w:val="20"/>
                <w:szCs w:val="20"/>
              </w:rPr>
              <w:t xml:space="preserve">• STR: Suspicious Transaction Report to BFIU within 7 days</w:t>
            </w:r>
          </w:p>
          <w:p>
            <w:r>
              <w:rPr>
                <w:rFonts w:ascii="Times New Roman" w:cs="Times New Roman" w:eastAsia="Times New Roman" w:hAnsi="Times New Roman"/>
                <w:sz w:val="20"/>
                <w:szCs w:val="20"/>
              </w:rPr>
              <w:t xml:space="preserve">• Penalty: Imprisonment 4-7 years and fine up to 5 lakh</w:t>
            </w:r>
          </w:p>
        </w:tc>
      </w:tr>
    </w:tbl>
    <w:p>
      <w:pPr>
        <w:spacing w:after="200"/>
      </w:pPr>
    </w:p>
    <w:p>
      <w:pPr>
        <w:pStyle w:val="Heading1"/>
      </w:pPr>
      <w:r>
        <w:rPr>
          <w:rFonts w:ascii="Times New Roman" w:cs="Times New Roman" w:eastAsia="Times New Roman" w:hAnsi="Times New Roman"/>
        </w:rPr>
        <w:t xml:space="preserve">MODULE 7: Foreign Exchange | বৈদেশিক বিনিময়</w:t>
      </w:r>
    </w:p>
    <w:p>
      <w:pPr>
        <w:pStyle w:val="Heading2"/>
      </w:pPr>
      <w:r>
        <w:rPr>
          <w:rFonts w:ascii="Times New Roman" w:cs="Times New Roman" w:eastAsia="Times New Roman" w:hAnsi="Times New Roman"/>
        </w:rPr>
        <w:t xml:space="preserve">Question 15: Letter of Credit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a Letter of Credit? Explain the types of LC and the process of LC operation. What is the role of UCP 600? | লেটার অফ ক্রেডিট কী? এলসির প্রকারভেদ এবং এলসি পরিচালনার প্রক্রিয়া ব্যাখ্যা করুন। UCP 600-এর ভূমিকা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A Letter of Credit (LC) is a financial instrument issued by a bank guaranteeing payment to a seller on behalf of a buyer, subject to compliance with specified terms and conditions. It is a commitment by the issuing bank to pay the beneficiary upon presentation of compliant documents. Types include: (1) Irrevocable LC - cannot be cancelled without consent; (2) Revocable LC - can be cancelled anytime; (3) Confirmed LC - adding another bank's commitment; (4) Back-to-Back LC - for intermediaries; (5) Revolving LC - automatically renews. UCP 600 (Uniform Customs and Practice for Documentary Credits) is the international standard governing LCs, published by ICC. It provides rules for examination of documents and bank's obligations. | লেটার অফ ক্রেডিট (LC) হলো ব্যাংক কর্তৃক ইস্যুকৃত একটি আর্থিক যন্ত্র যা ক্রেতার পক্ষে বিক্রেতাকে নির্দিষ্ট শর্ত পূরণে পেমেন্ট নিশ্চিত করে। প্রকারভেদ: (১) অপরিবর্তনীয় LC; (২) পরিবর্তনযোগ্য LC; (৩) কনফার্মড LC; (৪) ব্যাক-টু-ব্যাক LC; (৫) রিভলভিং LC। UCP 600 হলো ICC প্রকাশিত LC-র আন্তর্জাতিক মান।</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Parties: Applicant, Beneficiary, Issuing Bank, Advising Bank</w:t>
            </w:r>
          </w:p>
          <w:p>
            <w:r>
              <w:rPr>
                <w:rFonts w:ascii="Times New Roman" w:cs="Times New Roman" w:eastAsia="Times New Roman" w:hAnsi="Times New Roman"/>
                <w:sz w:val="20"/>
                <w:szCs w:val="20"/>
              </w:rPr>
              <w:t xml:space="preserve">• Process: Application → Issuance → Shipment → Documents → Payment</w:t>
            </w:r>
          </w:p>
          <w:p>
            <w:r>
              <w:rPr>
                <w:rFonts w:ascii="Times New Roman" w:cs="Times New Roman" w:eastAsia="Times New Roman" w:hAnsi="Times New Roman"/>
                <w:sz w:val="20"/>
                <w:szCs w:val="20"/>
              </w:rPr>
              <w:t xml:space="preserve">• UCP 600: Articles 1-39, governs LC operations globally</w:t>
            </w:r>
          </w:p>
          <w:p>
            <w:r>
              <w:rPr>
                <w:rFonts w:ascii="Times New Roman" w:cs="Times New Roman" w:eastAsia="Times New Roman" w:hAnsi="Times New Roman"/>
                <w:sz w:val="20"/>
                <w:szCs w:val="20"/>
              </w:rPr>
              <w:t xml:space="preserve">• Documentary Credit: Banks deal with documents, not goods</w:t>
            </w:r>
          </w:p>
          <w:p>
            <w:r>
              <w:rPr>
                <w:rFonts w:ascii="Times New Roman" w:cs="Times New Roman" w:eastAsia="Times New Roman" w:hAnsi="Times New Roman"/>
                <w:sz w:val="20"/>
                <w:szCs w:val="20"/>
              </w:rPr>
              <w:t xml:space="preserve">• Examination Period: Maximum 5 banking days</w:t>
            </w:r>
          </w:p>
          <w:p>
            <w:r>
              <w:rPr>
                <w:rFonts w:ascii="Times New Roman" w:cs="Times New Roman" w:eastAsia="Times New Roman" w:hAnsi="Times New Roman"/>
                <w:sz w:val="20"/>
                <w:szCs w:val="20"/>
              </w:rPr>
              <w:t xml:space="preserve">• Discrepancy: Must be notified within 5 days with reasons</w:t>
            </w:r>
          </w:p>
          <w:p>
            <w:r>
              <w:rPr>
                <w:rFonts w:ascii="Times New Roman" w:cs="Times New Roman" w:eastAsia="Times New Roman" w:hAnsi="Times New Roman"/>
                <w:sz w:val="20"/>
                <w:szCs w:val="20"/>
              </w:rPr>
              <w:t xml:space="preserve">• Irrevocable LC: Most common, cannot cancel without consent</w:t>
            </w:r>
          </w:p>
        </w:tc>
      </w:tr>
    </w:tbl>
    <w:p>
      <w:pPr>
        <w:spacing w:after="200"/>
      </w:pPr>
    </w:p>
    <w:p>
      <w:pPr>
        <w:pStyle w:val="Heading2"/>
      </w:pPr>
      <w:r>
        <w:rPr>
          <w:rFonts w:ascii="Times New Roman" w:cs="Times New Roman" w:eastAsia="Times New Roman" w:hAnsi="Times New Roman"/>
        </w:rPr>
        <w:t xml:space="preserve">Question 16: FEMA and Export-Import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Discuss the provisions of Foreign Exchange Regulation Act relating to export and import. What are the documentation requirements? | রপ্তানি ও আমদানি সংক্রান্ত বৈদেশিক বিনিময় নিয়ন্ত্রণ আইনের বিধান আলোচনা করুন। দলিলায়নের প্রয়োজনীয়তা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The Foreign Exchange Regulation Act, 1947 (and subsequent amendments) governs foreign exchange transactions in Bangladesh. For exports: Exporters must obtain Export Registration Certificate (ERC) from CCI&amp;E. Export proceeds must be realized within 180 days from shipment. Forms EXP must be submitted with shipping documents. For imports: Importers need Import Registration Certificate (IRC). Imports must follow H.S. Code classification. LC opening requires indent, proforma invoice, and other documents. Bangladesh Bank monitors both export realization and import payments through banking channels. Violations attract penalties including cancellation of registration. | বৈদেশিক বিনিময় নিয়ন্ত্রণ আইন, ১৯৪৭ (এবং পরবর্তী সংশোধন) বাংলাদেশে বৈদেশিক বিনিময় লেনদেন নিয়ন্ত্রণ করে। রপ্তানির জন্য: রপ্তানিকারকদের CCI&amp;E থেকে ERC নিতে হবে। রপ্তানি আয় চালানের ১৮০ দিনের মধ্যে প্রত্যাবর্তন করতে হবে। আমদানির জন্য: আমদানিকারকদের IRC প্রয়োজন। এলসি খোলার জন্য ইন্ডেন্ট, প্রোফর্মা ইনভয়েস প্রয়োজন।</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ERC: Export Registration Certificate from CCI&amp;E</w:t>
            </w:r>
          </w:p>
          <w:p>
            <w:r>
              <w:rPr>
                <w:rFonts w:ascii="Times New Roman" w:cs="Times New Roman" w:eastAsia="Times New Roman" w:hAnsi="Times New Roman"/>
                <w:sz w:val="20"/>
                <w:szCs w:val="20"/>
              </w:rPr>
              <w:t xml:space="preserve">• IRC: Import Registration Certificate</w:t>
            </w:r>
          </w:p>
          <w:p>
            <w:r>
              <w:rPr>
                <w:rFonts w:ascii="Times New Roman" w:cs="Times New Roman" w:eastAsia="Times New Roman" w:hAnsi="Times New Roman"/>
                <w:sz w:val="20"/>
                <w:szCs w:val="20"/>
              </w:rPr>
              <w:t xml:space="preserve">• Export Realization: Within 180 days from shipment</w:t>
            </w:r>
          </w:p>
          <w:p>
            <w:r>
              <w:rPr>
                <w:rFonts w:ascii="Times New Roman" w:cs="Times New Roman" w:eastAsia="Times New Roman" w:hAnsi="Times New Roman"/>
                <w:sz w:val="20"/>
                <w:szCs w:val="20"/>
              </w:rPr>
              <w:t xml:space="preserve">• EXP Form: For export documentation</w:t>
            </w:r>
          </w:p>
          <w:p>
            <w:r>
              <w:rPr>
                <w:rFonts w:ascii="Times New Roman" w:cs="Times New Roman" w:eastAsia="Times New Roman" w:hAnsi="Times New Roman"/>
                <w:sz w:val="20"/>
                <w:szCs w:val="20"/>
              </w:rPr>
              <w:t xml:space="preserve">• IMP Form: For import documentation</w:t>
            </w:r>
          </w:p>
          <w:p>
            <w:r>
              <w:rPr>
                <w:rFonts w:ascii="Times New Roman" w:cs="Times New Roman" w:eastAsia="Times New Roman" w:hAnsi="Times New Roman"/>
                <w:sz w:val="20"/>
                <w:szCs w:val="20"/>
              </w:rPr>
              <w:t xml:space="preserve">• Bill of Entry: Customs clearance document</w:t>
            </w:r>
          </w:p>
          <w:p>
            <w:r>
              <w:rPr>
                <w:rFonts w:ascii="Times New Roman" w:cs="Times New Roman" w:eastAsia="Times New Roman" w:hAnsi="Times New Roman"/>
                <w:sz w:val="20"/>
                <w:szCs w:val="20"/>
              </w:rPr>
              <w:t xml:space="preserve">• Shipping Bill: Export clearance document</w:t>
            </w:r>
          </w:p>
          <w:p>
            <w:r>
              <w:rPr>
                <w:rFonts w:ascii="Times New Roman" w:cs="Times New Roman" w:eastAsia="Times New Roman" w:hAnsi="Times New Roman"/>
                <w:sz w:val="20"/>
                <w:szCs w:val="20"/>
              </w:rPr>
              <w:t xml:space="preserve">• Penalty: Up to 3 times the amount for violation</w:t>
            </w:r>
          </w:p>
        </w:tc>
      </w:tr>
    </w:tbl>
    <w:p>
      <w:pPr>
        <w:spacing w:after="200"/>
      </w:pPr>
    </w:p>
    <w:p>
      <w:pPr>
        <w:pStyle w:val="Heading1"/>
      </w:pPr>
      <w:r>
        <w:rPr>
          <w:rFonts w:ascii="Times New Roman" w:cs="Times New Roman" w:eastAsia="Times New Roman" w:hAnsi="Times New Roman"/>
        </w:rPr>
        <w:t xml:space="preserve">MODULE 8: Banking Regulations | ব্যাংকিং বিধি</w:t>
      </w:r>
    </w:p>
    <w:p>
      <w:pPr>
        <w:pStyle w:val="Heading2"/>
      </w:pPr>
      <w:r>
        <w:rPr>
          <w:rFonts w:ascii="Times New Roman" w:cs="Times New Roman" w:eastAsia="Times New Roman" w:hAnsi="Times New Roman"/>
        </w:rPr>
        <w:t xml:space="preserve">Question 17: Capital Adequacy Ratio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Capital Adequacy Ratio? Explain Tier-1 and Tier-2 capital. What is the minimum CAR requirement in Bangladesh? | মূলধন সামর্থ্য অনুপাত কী? টায়ার-১ এবং টায়ার-২ মূলধন ব্যাখ্যা করুন। বাংলাদেশে সর্বনিম্ন CAR-এর প্রয়োজনীয়তা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Capital Adequacy Ratio (CAR) is a measure of a bank's capital in relation to its risk-weighted credit exposures. It ensures that banks have enough capital to absorb unexpected losses. CAR = (Tier 1 + Tier 2 Capital) / Risk Weighted Assets × 100. Tier 1 Capital (Core Capital) includes paid-up capital, statutory reserves, and disclosed reserves - it is the most reliable form of capital. Tier 2 Capital (Supplementary Capital) includes revaluation reserves, general provisions, and subordinated debt. As per Bangladesh Bank guidelines, banks must maintain minimum CAR of 12.5% including capital conservation buffer. Basel III norms have been implemented with phased approach. | মূলধন সামর্থ্য অনুপাত (CAR) হলো ব্যাংকের ঝুঁকি-ভারিত ক্রেডিট এক্সপোজারের তুলনায় মূলধনের একটি পরিমাপ। এটি নিশ্চিত করে যে ব্যাংকের কাছে অপ্রত্যাশিত ক্ষতি শোষণ করার জন্য পর্যাপ্ত মূলধন আছে। CAR = (টায়ার ১ + টায়ার ২ মূলধন) / ঝুঁকি ভারিত সম্পদ × ১০০।</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Tier 1 Capital: Paid-up capital, Statutory reserves, Disclosed reserves</w:t>
            </w:r>
          </w:p>
          <w:p>
            <w:r>
              <w:rPr>
                <w:rFonts w:ascii="Times New Roman" w:cs="Times New Roman" w:eastAsia="Times New Roman" w:hAnsi="Times New Roman"/>
                <w:sz w:val="20"/>
                <w:szCs w:val="20"/>
              </w:rPr>
              <w:t xml:space="preserve">• Tier 2 Capital: Revaluation reserves, General provisions, Subordinated debt</w:t>
            </w:r>
          </w:p>
          <w:p>
            <w:r>
              <w:rPr>
                <w:rFonts w:ascii="Times New Roman" w:cs="Times New Roman" w:eastAsia="Times New Roman" w:hAnsi="Times New Roman"/>
                <w:sz w:val="20"/>
                <w:szCs w:val="20"/>
              </w:rPr>
              <w:t xml:space="preserve">• Minimum CAR: 12.5% (including 2.5% buffer)</w:t>
            </w:r>
          </w:p>
          <w:p>
            <w:r>
              <w:rPr>
                <w:rFonts w:ascii="Times New Roman" w:cs="Times New Roman" w:eastAsia="Times New Roman" w:hAnsi="Times New Roman"/>
                <w:sz w:val="20"/>
                <w:szCs w:val="20"/>
              </w:rPr>
              <w:t xml:space="preserve">• Basel III: Implemented in phases since 2015</w:t>
            </w:r>
          </w:p>
          <w:p>
            <w:r>
              <w:rPr>
                <w:rFonts w:ascii="Times New Roman" w:cs="Times New Roman" w:eastAsia="Times New Roman" w:hAnsi="Times New Roman"/>
                <w:sz w:val="20"/>
                <w:szCs w:val="20"/>
              </w:rPr>
              <w:t xml:space="preserve">• Capital Conservation Buffer: 2.5% of RWA</w:t>
            </w:r>
          </w:p>
          <w:p>
            <w:r>
              <w:rPr>
                <w:rFonts w:ascii="Times New Roman" w:cs="Times New Roman" w:eastAsia="Times New Roman" w:hAnsi="Times New Roman"/>
                <w:sz w:val="20"/>
                <w:szCs w:val="20"/>
              </w:rPr>
              <w:t xml:space="preserve">• Countercyclical Buffer: 0-2.5% based on economic cycle</w:t>
            </w:r>
          </w:p>
          <w:p>
            <w:r>
              <w:rPr>
                <w:rFonts w:ascii="Times New Roman" w:cs="Times New Roman" w:eastAsia="Times New Roman" w:hAnsi="Times New Roman"/>
                <w:sz w:val="20"/>
                <w:szCs w:val="20"/>
              </w:rPr>
              <w:t xml:space="preserve">• RWA: Risk-weighted assets based on credit, market, operational risk</w:t>
            </w:r>
          </w:p>
        </w:tc>
      </w:tr>
    </w:tbl>
    <w:p>
      <w:pPr>
        <w:spacing w:after="200"/>
      </w:pPr>
    </w:p>
    <w:p>
      <w:pPr>
        <w:pStyle w:val="Heading2"/>
      </w:pPr>
      <w:r>
        <w:rPr>
          <w:rFonts w:ascii="Times New Roman" w:cs="Times New Roman" w:eastAsia="Times New Roman" w:hAnsi="Times New Roman"/>
        </w:rPr>
        <w:t xml:space="preserve">Question 18: CRR and SLR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CRR and SLR? Explain their purpose and current rates. How do they affect bank's lending capacity? | CRR এবং SLR কী? এদের উদ্দেশ্য এবং বর্তমান হার ব্যাখ্যা করুন। এগুলো কীভাবে ব্যাংকের ঋণ প্রদানের সক্ষমতায় প্রভাব ফেলে?</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Cash Reserve Ratio (CRR) is the percentage of deposits that banks must maintain with the central bank in cash form. It is a monetary policy tool used to control liquidity in the economy. Current CRR in Bangladesh is 5%. Statutory Liquidity Ratio (SLR) is the percentage of deposits that banks must maintain in specified liquid assets including cash, gold, and government securities. Current SLR is 13.5%. CRR earns no interest, while SLR investments earn returns. Higher CRR/SLR reduces the lendable resources of banks but ensures safety and liquidity. These ratios are used by Bangladesh Bank for monetary policy transmission. | নগদ রিজার্ভ অনুপাত (CRR) হলো আমানতের যে শতাংশ ব্যাংককে কেন্দ্রীয় ব্যাংকে নগদ আকারে রাখতে হয়। এটি অর্থনীতিতে তরলতা নিয়ন্ত্রণের জন্য একটি মুদ্রানীতি হাতিয়ার। বর্তমান CRR ৫%। বিধিবদ্ধ তরলতা অনুপাত (SLR) হলো আমানতের যে শতাংশ ব্যাংককে নির্দিষ্ট তরল সম্পদে রাখতে হয়। বর্তমান SLR ১৩.৫%।</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CRR: 5% of NDTL, maintained with Bangladesh Bank</w:t>
            </w:r>
          </w:p>
          <w:p>
            <w:r>
              <w:rPr>
                <w:rFonts w:ascii="Times New Roman" w:cs="Times New Roman" w:eastAsia="Times New Roman" w:hAnsi="Times New Roman"/>
                <w:sz w:val="20"/>
                <w:szCs w:val="20"/>
              </w:rPr>
              <w:t xml:space="preserve">• SLR: 13.5% of NDTL, includes cash, gold, govt securities</w:t>
            </w:r>
          </w:p>
          <w:p>
            <w:r>
              <w:rPr>
                <w:rFonts w:ascii="Times New Roman" w:cs="Times New Roman" w:eastAsia="Times New Roman" w:hAnsi="Times New Roman"/>
                <w:sz w:val="20"/>
                <w:szCs w:val="20"/>
              </w:rPr>
              <w:t xml:space="preserve">• Purpose: Ensure liquidity, control inflation, monetary policy</w:t>
            </w:r>
          </w:p>
          <w:p>
            <w:r>
              <w:rPr>
                <w:rFonts w:ascii="Times New Roman" w:cs="Times New Roman" w:eastAsia="Times New Roman" w:hAnsi="Times New Roman"/>
                <w:sz w:val="20"/>
                <w:szCs w:val="20"/>
              </w:rPr>
              <w:t xml:space="preserve">• Impact: Higher ratio = less money for lending</w:t>
            </w:r>
          </w:p>
          <w:p>
            <w:r>
              <w:rPr>
                <w:rFonts w:ascii="Times New Roman" w:cs="Times New Roman" w:eastAsia="Times New Roman" w:hAnsi="Times New Roman"/>
                <w:sz w:val="20"/>
                <w:szCs w:val="20"/>
              </w:rPr>
              <w:t xml:space="preserve">• CRR: No interest paid by central bank</w:t>
            </w:r>
          </w:p>
          <w:p>
            <w:r>
              <w:rPr>
                <w:rFonts w:ascii="Times New Roman" w:cs="Times New Roman" w:eastAsia="Times New Roman" w:hAnsi="Times New Roman"/>
                <w:sz w:val="20"/>
                <w:szCs w:val="20"/>
              </w:rPr>
              <w:t xml:space="preserve">• SLR: Investments earn interest/returns</w:t>
            </w:r>
          </w:p>
          <w:p>
            <w:r>
              <w:rPr>
                <w:rFonts w:ascii="Times New Roman" w:cs="Times New Roman" w:eastAsia="Times New Roman" w:hAnsi="Times New Roman"/>
                <w:sz w:val="20"/>
                <w:szCs w:val="20"/>
              </w:rPr>
              <w:t xml:space="preserve">• Penalty: Interest on shortfall amount for default</w:t>
            </w:r>
          </w:p>
        </w:tc>
      </w:tr>
    </w:tbl>
    <w:p>
      <w:pPr>
        <w:spacing w:after="200"/>
      </w:pPr>
    </w:p>
    <w:p>
      <w:pPr>
        <w:pStyle w:val="Heading1"/>
      </w:pPr>
      <w:r>
        <w:rPr>
          <w:rFonts w:ascii="Times New Roman" w:cs="Times New Roman" w:eastAsia="Times New Roman" w:hAnsi="Times New Roman"/>
        </w:rPr>
        <w:t xml:space="preserve">MODULE 9: Banking Technology | ব্যাংকিং প্রযুক্তি</w:t>
      </w:r>
    </w:p>
    <w:p>
      <w:pPr>
        <w:pStyle w:val="Heading2"/>
      </w:pPr>
      <w:r>
        <w:rPr>
          <w:rFonts w:ascii="Times New Roman" w:cs="Times New Roman" w:eastAsia="Times New Roman" w:hAnsi="Times New Roman"/>
        </w:rPr>
        <w:t xml:space="preserve">Question 19: Digital Banking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Digital Banking? Explain various digital banking products and their benefits. What are the security measures for digital banking? | ডিজিটাল ব্যাংকিং কী? বিভিন্ন ডিজিটাল ব্যাংকিং পণ্য এবং তাদের সুবিধা ব্যাখ্যা করুন। ডিজিটাল ব্যাংকিংয়ের নিরাপত্তা ব্যবস্থা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Digital Banking refers to the digitization of all traditional banking activities and services through digital channels. It includes internet banking, mobile banking, ATM, SMS banking, and digital payment systems. Key products include: (1) Internet Banking - account access through website; (2) Mobile Banking - banking through smartphone apps like bKash, Nagad; (3) ATM/Debit Cards - cash withdrawal and payments; (4) UPI/QR Code payments; (5) Digital wallets. Benefits include 24/7 availability, convenience, reduced transaction costs, and financial inclusion. Security measures include two-factor authentication, encryption, biometric verification, transaction limits, and fraud monitoring systems. | ডিজিটাল ব্যাংকিং বলতে ডিজিটাল চ্যানেলের মাধ্যমে সকল প্রথাগত ব্যাংকিং কার্যক্রমের ডিজিটাইজেশনকে বোঝায়। এর মধ্যে ইন্টারনেট ব্যাংকিং, মোবাইল ব্যাংকিং, এটিএম, এসএমএস ব্যাংকিং অন্তর্ভুক্ত। প্রধান পণ্য: (১) ইন্টারনেট ব্যাংকিং; (২) মোবাইল ব্যাংকিং - bKash, Nagad; (৩) এটিএম/ডেবিট কার্ড; (৪) ইউপিআই/কিউআর কোড পেমেন্ট; (৫) ডিজিটাল ওয়ালেট।</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Internet Banking: Account access, fund transfer, bill payment</w:t>
            </w:r>
          </w:p>
          <w:p>
            <w:r>
              <w:rPr>
                <w:rFonts w:ascii="Times New Roman" w:cs="Times New Roman" w:eastAsia="Times New Roman" w:hAnsi="Times New Roman"/>
                <w:sz w:val="20"/>
                <w:szCs w:val="20"/>
              </w:rPr>
              <w:t xml:space="preserve">• Mobile Banking: Apps, USSD, SMS banking</w:t>
            </w:r>
          </w:p>
          <w:p>
            <w:r>
              <w:rPr>
                <w:rFonts w:ascii="Times New Roman" w:cs="Times New Roman" w:eastAsia="Times New Roman" w:hAnsi="Times New Roman"/>
                <w:sz w:val="20"/>
                <w:szCs w:val="20"/>
              </w:rPr>
              <w:t xml:space="preserve">• ATM: Cash withdrawal, balance inquiry, mini statement</w:t>
            </w:r>
          </w:p>
          <w:p>
            <w:r>
              <w:rPr>
                <w:rFonts w:ascii="Times New Roman" w:cs="Times New Roman" w:eastAsia="Times New Roman" w:hAnsi="Times New Roman"/>
                <w:sz w:val="20"/>
                <w:szCs w:val="20"/>
              </w:rPr>
              <w:t xml:space="preserve">• Digital Wallets: Store money, make payments</w:t>
            </w:r>
          </w:p>
          <w:p>
            <w:r>
              <w:rPr>
                <w:rFonts w:ascii="Times New Roman" w:cs="Times New Roman" w:eastAsia="Times New Roman" w:hAnsi="Times New Roman"/>
                <w:sz w:val="20"/>
                <w:szCs w:val="20"/>
              </w:rPr>
              <w:t xml:space="preserve">• Security: OTP, PIN, Biometric, Encryption</w:t>
            </w:r>
          </w:p>
          <w:p>
            <w:r>
              <w:rPr>
                <w:rFonts w:ascii="Times New Roman" w:cs="Times New Roman" w:eastAsia="Times New Roman" w:hAnsi="Times New Roman"/>
                <w:sz w:val="20"/>
                <w:szCs w:val="20"/>
              </w:rPr>
              <w:t xml:space="preserve">• Two-Factor Authentication: Password + OTP/Biometric</w:t>
            </w:r>
          </w:p>
          <w:p>
            <w:r>
              <w:rPr>
                <w:rFonts w:ascii="Times New Roman" w:cs="Times New Roman" w:eastAsia="Times New Roman" w:hAnsi="Times New Roman"/>
                <w:sz w:val="20"/>
                <w:szCs w:val="20"/>
              </w:rPr>
              <w:t xml:space="preserve">• Fraud Monitoring: Real-time transaction monitoring</w:t>
            </w:r>
          </w:p>
        </w:tc>
      </w:tr>
    </w:tbl>
    <w:p>
      <w:pPr>
        <w:spacing w:after="200"/>
      </w:pPr>
    </w:p>
    <w:p>
      <w:pPr>
        <w:pStyle w:val="Heading2"/>
      </w:pPr>
      <w:r>
        <w:rPr>
          <w:rFonts w:ascii="Times New Roman" w:cs="Times New Roman" w:eastAsia="Times New Roman" w:hAnsi="Times New Roman"/>
        </w:rPr>
        <w:t xml:space="preserve">Question 20: Core Banking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Core Banking Solution? Explain its features and benefits. How has it transformed banking operations? | কোর ব্যাংকিং সলিউশন কী? এর বৈশিষ্ট্য ও সুবিধা ব্যাখ্যা করুন। এটি কীভাবে ব্যাংকিং কার্যক্রমকে রূপান্তরিত করেছে?</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Core Banking Solution (CBS) is a centralized software platform that connects all branches of a bank, enabling customers to access their accounts and perform transactions from any branch. It is the backbone of modern banking. Key features include: Centralized database, Real-time transaction processing, Anywhere-anytime banking, Integrated modules for deposits, loans, trade finance, Integration with delivery channels (ATM, Internet, Mobile), Customer Relationship Management (CRM). Benefits include: Operational efficiency, Reduced costs, Better customer service, Real-time information, Risk management, and Regulatory compliance. CBS has transformed banking from branch-centric to customer-centric model. | কোর ব্যাংকিং সলিউশন (CBS) হলো একটি কেন্দ্রীভূত সফটওয়্যার প্ল্যাটফর্ম যা ব্যাংকের সকল শাখাকে সংযুক্ত করে, গ্রাহকদের যেকোনো শাখা থেকে তাদের হিসাব অ্যাক্সেস এবং লেনদেন করতে সক্ষম করে। এটি আধুনিক ব্যাংকিংয়ের মেরুদণ্ড। প্রধান বৈশিষ্ট্য: কেন্দ্রীভূত ডাটাবেস, রিয়েল-টাইম লেনদেন, যেকোনো শাখায় ব্যাংকিং।</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Centralized Database: Single source of truth</w:t>
            </w:r>
          </w:p>
          <w:p>
            <w:r>
              <w:rPr>
                <w:rFonts w:ascii="Times New Roman" w:cs="Times New Roman" w:eastAsia="Times New Roman" w:hAnsi="Times New Roman"/>
                <w:sz w:val="20"/>
                <w:szCs w:val="20"/>
              </w:rPr>
              <w:t xml:space="preserve">• Real-time Processing: Instant updates across branches</w:t>
            </w:r>
          </w:p>
          <w:p>
            <w:r>
              <w:rPr>
                <w:rFonts w:ascii="Times New Roman" w:cs="Times New Roman" w:eastAsia="Times New Roman" w:hAnsi="Times New Roman"/>
                <w:sz w:val="20"/>
                <w:szCs w:val="20"/>
              </w:rPr>
              <w:t xml:space="preserve">• Module Integration: Deposits, Loans, Trade Finance</w:t>
            </w:r>
          </w:p>
          <w:p>
            <w:r>
              <w:rPr>
                <w:rFonts w:ascii="Times New Roman" w:cs="Times New Roman" w:eastAsia="Times New Roman" w:hAnsi="Times New Roman"/>
                <w:sz w:val="20"/>
                <w:szCs w:val="20"/>
              </w:rPr>
              <w:t xml:space="preserve">• Channel Integration: ATM, Internet, Mobile Banking</w:t>
            </w:r>
          </w:p>
          <w:p>
            <w:r>
              <w:rPr>
                <w:rFonts w:ascii="Times New Roman" w:cs="Times New Roman" w:eastAsia="Times New Roman" w:hAnsi="Times New Roman"/>
                <w:sz w:val="20"/>
                <w:szCs w:val="20"/>
              </w:rPr>
              <w:t xml:space="preserve">• Benefits: Efficiency, Cost reduction, Customer satisfaction</w:t>
            </w:r>
          </w:p>
          <w:p>
            <w:r>
              <w:rPr>
                <w:rFonts w:ascii="Times New Roman" w:cs="Times New Roman" w:eastAsia="Times New Roman" w:hAnsi="Times New Roman"/>
                <w:sz w:val="20"/>
                <w:szCs w:val="20"/>
              </w:rPr>
              <w:t xml:space="preserve">• Transformation: Branch-centric to Customer-centric</w:t>
            </w:r>
          </w:p>
          <w:p>
            <w:r>
              <w:rPr>
                <w:rFonts w:ascii="Times New Roman" w:cs="Times New Roman" w:eastAsia="Times New Roman" w:hAnsi="Times New Roman"/>
                <w:sz w:val="20"/>
                <w:szCs w:val="20"/>
              </w:rPr>
              <w:t xml:space="preserve">• Examples: Finacle, Flexcube, TCS BaNCS, Temenos</w:t>
            </w:r>
          </w:p>
        </w:tc>
      </w:tr>
    </w:tbl>
    <w:p>
      <w:pPr>
        <w:spacing w:after="200"/>
      </w:pPr>
    </w:p>
    <w:p>
      <w:pPr>
        <w:pStyle w:val="Heading1"/>
      </w:pPr>
      <w:r>
        <w:rPr>
          <w:rFonts w:ascii="Times New Roman" w:cs="Times New Roman" w:eastAsia="Times New Roman" w:hAnsi="Times New Roman"/>
        </w:rPr>
        <w:t xml:space="preserve">MODULE 10: Banking Laws | ব্যাংকিং আইন</w:t>
      </w:r>
    </w:p>
    <w:p>
      <w:pPr>
        <w:pStyle w:val="Heading2"/>
      </w:pPr>
      <w:r>
        <w:rPr>
          <w:rFonts w:ascii="Times New Roman" w:cs="Times New Roman" w:eastAsia="Times New Roman" w:hAnsi="Times New Roman"/>
        </w:rPr>
        <w:t xml:space="preserve">Question 21: Bank Company 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Discuss the salient features of Bank Company Act, 1991. What are the provisions regarding licensing and management of banks? | ব্যাংক কোম্পানি আইন, ১৯৯১-এর প্রধান বৈশিষ্ট্য আলোচনা করুন। ব্যাংকের লাইসেন্সিং এবং ব্যবস্থাপনা সংক্রান্ত বিধান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The Bank Company Act, 1991 is the primary legislation governing banking companies in Bangladesh. Key features include: Licensing requirement from Bangladesh Bank, Minimum capital requirement (currently Tk. 500 crore for new banks), Restrictions on trading activities, Provisions for board of directors, CEO appointment and qualifications, Restrictions on loans to directors and related parties, Mandatory audit and publication of accounts, Powers of Bangladesh Bank for inspection and supervision, Provisions for amalgamation and winding up. The Act aims to ensure sound banking practices and protect depositors' interests. It has been amended several times to align with changing banking landscape. | ব্যাংক কোম্পানি আইন, ১৯৯১ হলো বাংলাদেশে ব্যাংকিং কোম্পানি পরিচালনার প্রাথমিক আইন। প্রধান বৈশিষ্ট্য: বাংলাদেশ ব্যাংক থেকে লাইসেন্সিং, ন্যূনতম মূলধন (নতুন ব্যাংকের জন্য ৫০০ কোটি টাকা), বাণিজ্যিক কার্যক্রমে সীমাবদ্ধতা, বোর্ড অফ ডিরেক্টরসের বিধান, সিইও নিয়োগ ও যোগ্যতা, পরিচালক ও সংশ্লিষ্ট পক্ষকে ঋণে সীমাবদ্ধতা।</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Section 3: Licensing requirement from Bangladesh Bank</w:t>
            </w:r>
          </w:p>
          <w:p>
            <w:r>
              <w:rPr>
                <w:rFonts w:ascii="Times New Roman" w:cs="Times New Roman" w:eastAsia="Times New Roman" w:hAnsi="Times New Roman"/>
                <w:sz w:val="20"/>
                <w:szCs w:val="20"/>
              </w:rPr>
              <w:t xml:space="preserve">• Section 13: Minimum capital requirement</w:t>
            </w:r>
          </w:p>
          <w:p>
            <w:r>
              <w:rPr>
                <w:rFonts w:ascii="Times New Roman" w:cs="Times New Roman" w:eastAsia="Times New Roman" w:hAnsi="Times New Roman"/>
                <w:sz w:val="20"/>
                <w:szCs w:val="20"/>
              </w:rPr>
              <w:t xml:space="preserve">• Section 15: Restrictions on trading activities</w:t>
            </w:r>
          </w:p>
          <w:p>
            <w:r>
              <w:rPr>
                <w:rFonts w:ascii="Times New Roman" w:cs="Times New Roman" w:eastAsia="Times New Roman" w:hAnsi="Times New Roman"/>
                <w:sz w:val="20"/>
                <w:szCs w:val="20"/>
              </w:rPr>
              <w:t xml:space="preserve">• Section 19: Board of Directors composition</w:t>
            </w:r>
          </w:p>
          <w:p>
            <w:r>
              <w:rPr>
                <w:rFonts w:ascii="Times New Roman" w:cs="Times New Roman" w:eastAsia="Times New Roman" w:hAnsi="Times New Roman"/>
                <w:sz w:val="20"/>
                <w:szCs w:val="20"/>
              </w:rPr>
              <w:t xml:space="preserve">• Section 27: Restrictions on loans to directors</w:t>
            </w:r>
          </w:p>
          <w:p>
            <w:r>
              <w:rPr>
                <w:rFonts w:ascii="Times New Roman" w:cs="Times New Roman" w:eastAsia="Times New Roman" w:hAnsi="Times New Roman"/>
                <w:sz w:val="20"/>
                <w:szCs w:val="20"/>
              </w:rPr>
              <w:t xml:space="preserve">• Section 35: Restrictions on disclosure of information</w:t>
            </w:r>
          </w:p>
          <w:p>
            <w:r>
              <w:rPr>
                <w:rFonts w:ascii="Times New Roman" w:cs="Times New Roman" w:eastAsia="Times New Roman" w:hAnsi="Times New Roman"/>
                <w:sz w:val="20"/>
                <w:szCs w:val="20"/>
              </w:rPr>
              <w:t xml:space="preserve">• Section 39: Audit and accounts</w:t>
            </w:r>
          </w:p>
          <w:p>
            <w:r>
              <w:rPr>
                <w:rFonts w:ascii="Times New Roman" w:cs="Times New Roman" w:eastAsia="Times New Roman" w:hAnsi="Times New Roman"/>
                <w:sz w:val="20"/>
                <w:szCs w:val="20"/>
              </w:rPr>
              <w:t xml:space="preserve">• Section 48: Powers of Bangladesh Bank for inspection</w:t>
            </w:r>
          </w:p>
        </w:tc>
      </w:tr>
    </w:tbl>
    <w:p>
      <w:pPr>
        <w:spacing w:after="200"/>
      </w:pPr>
    </w:p>
    <w:p>
      <w:pPr>
        <w:pStyle w:val="Heading2"/>
      </w:pPr>
      <w:r>
        <w:rPr>
          <w:rFonts w:ascii="Times New Roman" w:cs="Times New Roman" w:eastAsia="Times New Roman" w:hAnsi="Times New Roman"/>
        </w:rPr>
        <w:t xml:space="preserve">Question 22: Bangladesh Bank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Explain the role and functions of Bangladesh Bank as per Bangladesh Bank Order, 1972. What are its powers for banking supervision? | বাংলাদেশ ব্যাংক আদেশ, ১৯৭২ অনুযায়ী বাংলাদেশ ব্যাংকের ভূমিকা ও কার্যাবলী ব্যাখ্যা করুন। ব্যাংকিং তত্ত্বাবধানের জন্য এর ক্ষমতা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Bangladesh Bank is the central bank of Bangladesh, established under the Bangladesh Bank Order, 1972 (Presidential Order No. 127). It started functioning from December 16, 1971. Key functions include: (1) Issue of currency; (2) Banker to the government; (3) Banker's bank; (4) Controller of credit; (5) Custodian of foreign exchange reserves; (6) Regulation and supervision of banks; (7) Promoting sound banking system; (8) Implementation of monetary policy. Powers include: Licensing of banks, Inspection of banks, Issue of directions, Imposition of penalties, Removal of management, Moratorium, Winding up petition. Bangladesh Bank maintains price stability and supports economic growth through monetary policy. | বাংলাদেশ ব্যাংক হলো বাংলাদেশের কেন্দ্রীয় ব্যাংক, বাংলাদেশ ব্যাংক আদেশ, ১৯৭২ (রাষ্ট্রপতির আদেশ নম্বর ১২৭) এর অধীনে প্রতিষ্ঠিত। প্রধান কার্যাবলী: (১) মুদ্রা ইস্যু; (২) সরকারের ব্যাংকার; (৩) ব্যাংকারদের ব্যাংক; (৪) ঋণ নিয়ন্ত্রক; (৫) বৈদেশিক মুদ্রা রিজার্ভের তত্ত্বাবধায়ক; (৬) ব্যাংক নিয়ন্ত্রণ ও তত্ত্বাবধান।</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Section 7: Functions of Bangladesh Bank</w:t>
            </w:r>
          </w:p>
          <w:p>
            <w:r>
              <w:rPr>
                <w:rFonts w:ascii="Times New Roman" w:cs="Times New Roman" w:eastAsia="Times New Roman" w:hAnsi="Times New Roman"/>
                <w:sz w:val="20"/>
                <w:szCs w:val="20"/>
              </w:rPr>
              <w:t xml:space="preserve">• Section 17: Issue of currency notes</w:t>
            </w:r>
          </w:p>
          <w:p>
            <w:r>
              <w:rPr>
                <w:rFonts w:ascii="Times New Roman" w:cs="Times New Roman" w:eastAsia="Times New Roman" w:hAnsi="Times New Roman"/>
                <w:sz w:val="20"/>
                <w:szCs w:val="20"/>
              </w:rPr>
              <w:t xml:space="preserve">• Section 28: Bank rate and monetary policy</w:t>
            </w:r>
          </w:p>
          <w:p>
            <w:r>
              <w:rPr>
                <w:rFonts w:ascii="Times New Roman" w:cs="Times New Roman" w:eastAsia="Times New Roman" w:hAnsi="Times New Roman"/>
                <w:sz w:val="20"/>
                <w:szCs w:val="20"/>
              </w:rPr>
              <w:t xml:space="preserve">• Section 36: Inspection of banking companies</w:t>
            </w:r>
          </w:p>
          <w:p>
            <w:r>
              <w:rPr>
                <w:rFonts w:ascii="Times New Roman" w:cs="Times New Roman" w:eastAsia="Times New Roman" w:hAnsi="Times New Roman"/>
                <w:sz w:val="20"/>
                <w:szCs w:val="20"/>
              </w:rPr>
              <w:t xml:space="preserve">• Section 40: Power to give directions</w:t>
            </w:r>
          </w:p>
          <w:p>
            <w:r>
              <w:rPr>
                <w:rFonts w:ascii="Times New Roman" w:cs="Times New Roman" w:eastAsia="Times New Roman" w:hAnsi="Times New Roman"/>
                <w:sz w:val="20"/>
                <w:szCs w:val="20"/>
              </w:rPr>
              <w:t xml:space="preserve">• Section 41: Power to prohibit acceptance of deposits</w:t>
            </w:r>
          </w:p>
          <w:p>
            <w:r>
              <w:rPr>
                <w:rFonts w:ascii="Times New Roman" w:cs="Times New Roman" w:eastAsia="Times New Roman" w:hAnsi="Times New Roman"/>
                <w:sz w:val="20"/>
                <w:szCs w:val="20"/>
              </w:rPr>
              <w:t xml:space="preserve">• Powers: Licensing, Inspection, Penalty, Removal of management</w:t>
            </w:r>
          </w:p>
          <w:p>
            <w:r>
              <w:rPr>
                <w:rFonts w:ascii="Times New Roman" w:cs="Times New Roman" w:eastAsia="Times New Roman" w:hAnsi="Times New Roman"/>
                <w:sz w:val="20"/>
                <w:szCs w:val="20"/>
              </w:rPr>
              <w:t xml:space="preserve">• Departments: Monetary Policy, Banking Regulation, Foreign Exchange</w:t>
            </w:r>
          </w:p>
        </w:tc>
      </w:tr>
    </w:tbl>
    <w:p>
      <w:pPr>
        <w:spacing w:after="200"/>
      </w:pPr>
    </w:p>
    <w:p>
      <w:pPr>
        <w:pStyle w:val="Heading2"/>
      </w:pPr>
      <w:r>
        <w:rPr>
          <w:rFonts w:ascii="Times New Roman" w:cs="Times New Roman" w:eastAsia="Times New Roman" w:hAnsi="Times New Roman"/>
        </w:rPr>
        <w:t xml:space="preserve">Question 23: Deposit Insurance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Deposit Insurance? Explain the functioning of Deposit Insurance Scheme in Bangladesh. What is the coverage limit? | আমানত বীমা কী? বাংলাদেশে আমানত বীমা স্কিমের কার্যপ্রণালী ব্যাখ্যা করুন। কভারেজ সীমা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Deposit Insurance is a protection scheme for depositors that guarantees repayment of deposits up to a certain limit in case of bank failure. In Bangladesh, the Deposit Insurance Scheme is operated by Deposit Insurance Trust Fund established under the Deposit Insurance Act, 2000. All scheduled banks must participate in the scheme. Banks pay premium at specified rates on insured deposits. Coverage: Currently, deposits up to Tk. 1,00,000 (One Lakh Taka) per depositor per bank are insured. In case of bank liquidation, DIC pays the insured amount within specified time. The scheme aims to protect small depositors and maintain public confidence in the banking system. | আমানত বীমা হলো আমানতকারীদের জন্য একটি সুরক্ষা স্কিম যা ব্যাংক ব্যর্থ হলে নির্দিষ্ট সীমা পর্যন্ত আমানত ফেরতের নিশ্চয়তা দেয়। বাংলাদেশে, আমানত বীমা আইন, ২০০০-এর অধীনে প্রতিষ্ঠিত ডিপোজিট ইন্স্যুরেন্স ট্রাস্ট ফান্ড কর্তৃক পরিচালিত হয়।</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Coverage: Tk. 1,00,000 per depositor per bank</w:t>
            </w:r>
          </w:p>
          <w:p>
            <w:r>
              <w:rPr>
                <w:rFonts w:ascii="Times New Roman" w:cs="Times New Roman" w:eastAsia="Times New Roman" w:hAnsi="Times New Roman"/>
                <w:sz w:val="20"/>
                <w:szCs w:val="20"/>
              </w:rPr>
              <w:t xml:space="preserve">• Premium: Banks pay premium to DIC</w:t>
            </w:r>
          </w:p>
          <w:p>
            <w:r>
              <w:rPr>
                <w:rFonts w:ascii="Times New Roman" w:cs="Times New Roman" w:eastAsia="Times New Roman" w:hAnsi="Times New Roman"/>
                <w:sz w:val="20"/>
                <w:szCs w:val="20"/>
              </w:rPr>
              <w:t xml:space="preserve">• Types Covered: Savings, Current, Fixed Deposits</w:t>
            </w:r>
          </w:p>
          <w:p>
            <w:r>
              <w:rPr>
                <w:rFonts w:ascii="Times New Roman" w:cs="Times New Roman" w:eastAsia="Times New Roman" w:hAnsi="Times New Roman"/>
                <w:sz w:val="20"/>
                <w:szCs w:val="20"/>
              </w:rPr>
              <w:t xml:space="preserve">• Types Excluded: Inter-bank deposits, Government deposits</w:t>
            </w:r>
          </w:p>
          <w:p>
            <w:r>
              <w:rPr>
                <w:rFonts w:ascii="Times New Roman" w:cs="Times New Roman" w:eastAsia="Times New Roman" w:hAnsi="Times New Roman"/>
                <w:sz w:val="20"/>
                <w:szCs w:val="20"/>
              </w:rPr>
              <w:t xml:space="preserve">• Claim Process: Application within prescribed time</w:t>
            </w:r>
          </w:p>
          <w:p>
            <w:r>
              <w:rPr>
                <w:rFonts w:ascii="Times New Roman" w:cs="Times New Roman" w:eastAsia="Times New Roman" w:hAnsi="Times New Roman"/>
                <w:sz w:val="20"/>
                <w:szCs w:val="20"/>
              </w:rPr>
              <w:t xml:space="preserve">• Payment: Within 2-3 months of claim settlement</w:t>
            </w:r>
          </w:p>
          <w:p>
            <w:r>
              <w:rPr>
                <w:rFonts w:ascii="Times New Roman" w:cs="Times New Roman" w:eastAsia="Times New Roman" w:hAnsi="Times New Roman"/>
                <w:sz w:val="20"/>
                <w:szCs w:val="20"/>
              </w:rPr>
              <w:t xml:space="preserve">• Objective: Protect small depositors, maintain confidence</w:t>
            </w:r>
          </w:p>
        </w:tc>
      </w:tr>
    </w:tbl>
    <w:p>
      <w:pPr>
        <w:spacing w:after="200"/>
      </w:pPr>
    </w:p>
    <w:p>
      <w:pPr>
        <w:pStyle w:val="Heading1"/>
      </w:pPr>
      <w:r>
        <w:rPr>
          <w:rFonts w:ascii="Times New Roman" w:cs="Times New Roman" w:eastAsia="Times New Roman" w:hAnsi="Times New Roman"/>
        </w:rPr>
        <w:t xml:space="preserve">MODULE 11: Financial Inclusion | আর্থিক অন্তর্ভুক্তি</w:t>
      </w:r>
    </w:p>
    <w:p>
      <w:pPr>
        <w:pStyle w:val="Heading2"/>
      </w:pPr>
      <w:r>
        <w:rPr>
          <w:rFonts w:ascii="Times New Roman" w:cs="Times New Roman" w:eastAsia="Times New Roman" w:hAnsi="Times New Roman"/>
        </w:rPr>
        <w:t xml:space="preserve">Question 24: Financial Inclusion Initiatives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9360"/>
      </w:tblGrid>
      <w:tr>
        <w:tc>
          <w:tcPr>
            <w:tcW w:type="dxa" w:w="9360"/>
            <w:tcBorders>
              <w:top w:val="single" w:color="1A3A5C" w:sz="2"/>
              <w:left w:val="single" w:color="1A3A5C" w:sz="2"/>
              <w:bottom w:val="single" w:color="1A3A5C" w:sz="2"/>
              <w:right w:val="single" w:color="1A3A5C" w:sz="2"/>
            </w:tcBorders>
            <w:shd w:fill="E3F2FD" w:val="clear"/>
          </w:tcPr>
          <w:p>
            <w:pPr>
              <w:spacing w:after="100"/>
            </w:pPr>
            <w:r>
              <w:rPr>
                <w:rFonts w:ascii="Times New Roman" w:cs="Times New Roman" w:eastAsia="Times New Roman" w:hAnsi="Times New Roman"/>
                <w:b/>
                <w:bCs/>
                <w:color w:val="1A3A5C"/>
                <w:sz w:val="24"/>
                <w:szCs w:val="24"/>
              </w:rPr>
              <w:t xml:space="preserve">Question | প্রশ্ন:</w:t>
            </w:r>
          </w:p>
          <w:p>
            <w:r>
              <w:rPr>
                <w:rFonts w:ascii="Times New Roman" w:cs="Times New Roman" w:eastAsia="Times New Roman" w:hAnsi="Times New Roman"/>
                <w:sz w:val="22"/>
                <w:szCs w:val="22"/>
              </w:rPr>
              <w:t xml:space="preserve">What is Financial Inclusion? Explain various initiatives taken for financial inclusion in Bangladesh. What is the role of mobile banking? | আর্থিক অন্তর্ভুক্তি কী? বাংলাদেশে আর্থিক অন্তর্ভুক্তির জন্য নেওয়া বিভিন্ন উদ্যোগ ব্যাখ্যা করুন। মোবাইল ব্যাংকিংয়ের ভূমিকা কী?</w:t>
            </w:r>
          </w:p>
        </w:tc>
      </w:tr>
      <w:tr>
        <w:tc>
          <w:tcPr>
            <w:tcW w:type="dxa" w:w="9360"/>
            <w:tcBorders>
              <w:top w:val="single" w:color="1A3A5C" w:sz="2"/>
              <w:left w:val="single" w:color="1A3A5C" w:sz="2"/>
              <w:bottom w:val="single" w:color="1A3A5C" w:sz="2"/>
              <w:right w:val="single" w:color="1A3A5C" w:sz="2"/>
            </w:tcBorders>
            <w:shd w:fill="FFF8E1" w:val="clear"/>
          </w:tcPr>
          <w:p>
            <w:pPr>
              <w:spacing w:after="100"/>
            </w:pPr>
            <w:r>
              <w:rPr>
                <w:rFonts w:ascii="Times New Roman" w:cs="Times New Roman" w:eastAsia="Times New Roman" w:hAnsi="Times New Roman"/>
                <w:b/>
                <w:bCs/>
                <w:color w:val="1A3A5C"/>
                <w:sz w:val="24"/>
                <w:szCs w:val="24"/>
              </w:rPr>
              <w:t xml:space="preserve">Answer | উত্তর:</w:t>
            </w:r>
          </w:p>
          <w:p>
            <w:r>
              <w:rPr>
                <w:rFonts w:ascii="Times New Roman" w:cs="Times New Roman" w:eastAsia="Times New Roman" w:hAnsi="Times New Roman"/>
                <w:sz w:val="22"/>
                <w:szCs w:val="22"/>
              </w:rPr>
              <w:t xml:space="preserve">Financial Inclusion means providing access to appropriate financial products and services to all sections of society, especially vulnerable groups, at an affordable cost. Bangladesh has taken various initiatives: (1) Agent Banking - banking through agents in rural areas; (2) Mobile Financial Services - bKash, Nagad with 10 crore+ users; (3) School Banking - accounts for students; (4) Farmers' Account - simplified account opening; (5) SME financing - collateral-free loans; (6) Microfinance - through NGOs and banks; (7) Digital credit - instant loans through mobile. Mobile banking has been revolutionary - enabling people without bank accounts to perform financial transactions. It has brought millions into the formal financial system, especially in rural areas. | আর্থিক অন্তর্ভুক্তি বলতে সমাজের সকল স্তরের, বিশেষ করে ঝুঁকিপূর্ণ গোষ্ঠীর কাছে সাশ্রয়ী মূল্যে উপযুক্ত আর্থিক পণ্য ও সেবা প্রদান করা। বাংলাদেশ বিভিন্ন উদ্যোগ নিয়েছে: (১) এজেন্ট ব্যাংকিং; (২) মোবাইল ফিন্যান্সিয়াল সার্ভিসেস - bKash, Nagad; (৩) স্কুল ব্যাংকিং; (৪) কৃষক হিসাব; (৫) এসএমই ঋণ; (৬) মাইক্রোফাইন্যান্স; (৭) ডিজিটাল ক্রেডিট।</w:t>
            </w:r>
          </w:p>
        </w:tc>
      </w:tr>
      <w:tr>
        <w:tc>
          <w:tcPr>
            <w:tcW w:type="dxa" w:w="9360"/>
            <w:tcBorders>
              <w:top w:val="single" w:color="1A3A5C" w:sz="2"/>
              <w:left w:val="single" w:color="1A3A5C" w:sz="2"/>
              <w:bottom w:val="single" w:color="1A3A5C" w:sz="2"/>
              <w:right w:val="single" w:color="1A3A5C" w:sz="2"/>
            </w:tcBorders>
            <w:shd w:fill="E8F5E9" w:val="clear"/>
          </w:tcPr>
          <w:p>
            <w:pPr>
              <w:spacing w:after="100"/>
            </w:pPr>
            <w:r>
              <w:rPr>
                <w:rFonts w:ascii="Times New Roman" w:cs="Times New Roman" w:eastAsia="Times New Roman" w:hAnsi="Times New Roman"/>
                <w:b/>
                <w:bCs/>
                <w:color w:val="2E7D32"/>
                <w:sz w:val="22"/>
                <w:szCs w:val="22"/>
              </w:rPr>
              <w:t xml:space="preserve">Key Points | মূল পয়েন্ট:</w:t>
            </w:r>
          </w:p>
          <w:p>
            <w:r>
              <w:rPr>
                <w:rFonts w:ascii="Times New Roman" w:cs="Times New Roman" w:eastAsia="Times New Roman" w:hAnsi="Times New Roman"/>
                <w:sz w:val="20"/>
                <w:szCs w:val="20"/>
              </w:rPr>
              <w:t xml:space="preserve">• Agent Banking: Banking through authorized agents</w:t>
            </w:r>
          </w:p>
          <w:p>
            <w:r>
              <w:rPr>
                <w:rFonts w:ascii="Times New Roman" w:cs="Times New Roman" w:eastAsia="Times New Roman" w:hAnsi="Times New Roman"/>
                <w:sz w:val="20"/>
                <w:szCs w:val="20"/>
              </w:rPr>
              <w:t xml:space="preserve">• Mobile Banking: bKash, Nagad, Rocket - 10 crore+ users</w:t>
            </w:r>
          </w:p>
          <w:p>
            <w:r>
              <w:rPr>
                <w:rFonts w:ascii="Times New Roman" w:cs="Times New Roman" w:eastAsia="Times New Roman" w:hAnsi="Times New Roman"/>
                <w:sz w:val="20"/>
                <w:szCs w:val="20"/>
              </w:rPr>
              <w:t xml:space="preserve">• School Banking: Accounts for students with zero balance</w:t>
            </w:r>
          </w:p>
          <w:p>
            <w:r>
              <w:rPr>
                <w:rFonts w:ascii="Times New Roman" w:cs="Times New Roman" w:eastAsia="Times New Roman" w:hAnsi="Times New Roman"/>
                <w:sz w:val="20"/>
                <w:szCs w:val="20"/>
              </w:rPr>
              <w:t xml:space="preserve">• No-Frills Account: Simplified account opening</w:t>
            </w:r>
          </w:p>
          <w:p>
            <w:r>
              <w:rPr>
                <w:rFonts w:ascii="Times New Roman" w:cs="Times New Roman" w:eastAsia="Times New Roman" w:hAnsi="Times New Roman"/>
                <w:sz w:val="20"/>
                <w:szCs w:val="20"/>
              </w:rPr>
              <w:t xml:space="preserve">• PMJDY equivalent: Financial inclusion programs</w:t>
            </w:r>
          </w:p>
          <w:p>
            <w:r>
              <w:rPr>
                <w:rFonts w:ascii="Times New Roman" w:cs="Times New Roman" w:eastAsia="Times New Roman" w:hAnsi="Times New Roman"/>
                <w:sz w:val="20"/>
                <w:szCs w:val="20"/>
              </w:rPr>
              <w:t xml:space="preserve">• Impact: Increased banking penetration in rural areas</w:t>
            </w:r>
          </w:p>
          <w:p>
            <w:r>
              <w:rPr>
                <w:rFonts w:ascii="Times New Roman" w:cs="Times New Roman" w:eastAsia="Times New Roman" w:hAnsi="Times New Roman"/>
                <w:sz w:val="20"/>
                <w:szCs w:val="20"/>
              </w:rPr>
              <w:t xml:space="preserve">• Digital Credit: Instant small loans through mobile apps</w:t>
            </w:r>
          </w:p>
        </w:tc>
      </w:tr>
    </w:tbl>
    <w:p>
      <w:pPr>
        <w:spacing w:after="200"/>
      </w:pPr>
    </w:p>
    <w:p>
      <w:pPr>
        <w:pStyle w:val="Heading1"/>
      </w:pPr>
      <w:r>
        <w:rPr>
          <w:rFonts w:ascii="Times New Roman" w:cs="Times New Roman" w:eastAsia="Times New Roman" w:hAnsi="Times New Roman"/>
        </w:rPr>
        <w:t xml:space="preserve">IMPORTANT ACTS &amp; SECTIONS | গুরুত্বপূর্ণ আইন ও ধারা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Act Name | আইনের নাম</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Year | বছর</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Key Provisions | মূল বিধান</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Negotiable Instruments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1881</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 4-6 (Types), 138 (Dishonor)</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Transfer of Property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1882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 58-104 (Mortgage)</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Contract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1872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 126-147 (Guarantee), 172 (Pledge)</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Banking Regulation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1949</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 35A (Directions)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Foreign Exchange Reg.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1947</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Export-Import regulations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Bank Company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1991</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Licensing, Management, Audit</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Bangladesh Bank Order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1972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Central Bank functions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SARFAESI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2002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Sec 13 (Enforcement)</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Money Laundering Prev.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2012</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AML provisions</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Deposit Insurance Act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2000</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Coverage up to 1 lakh</w:t>
            </w:r>
          </w:p>
        </w:tc>
      </w:tr>
    </w:tbl>
    <w:p>
      <w:pPr>
        <w:spacing w:after="200" w:before="100"/>
        <w:jc w:val="center"/>
      </w:pPr>
      <w:r>
        <w:rPr>
          <w:rFonts w:ascii="Times New Roman" w:cs="Times New Roman" w:eastAsia="Times New Roman" w:hAnsi="Times New Roman"/>
          <w:i/>
          <w:iCs/>
          <w:color w:val="666666"/>
          <w:sz w:val="18"/>
          <w:szCs w:val="18"/>
        </w:rPr>
        <w:t xml:space="preserve">Table 1: Important Banking Acts | গুরুত্বপূর্ণ ব্যাংকিং আইন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Topic | বিষয়</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Current Rate | বর্তমান হার</w:t>
            </w:r>
          </w:p>
        </w:tc>
        <w:tc>
          <w:tcPr>
            <w:tcBorders>
              <w:top w:val="single" w:color="CCCCCC" w:sz="1"/>
              <w:left w:val="single" w:color="CCCCCC" w:sz="1"/>
              <w:bottom w:val="single" w:color="CCCCCC" w:sz="1"/>
              <w:right w:val="single" w:color="CCCCCC" w:sz="1"/>
            </w:tcBorders>
            <w:shd w:fill="E8F4F8" w:val="clear"/>
            <w:vAlign w:val="center"/>
          </w:tcPr>
          <w:p>
            <w:pPr>
              <w:jc w:val="center"/>
            </w:pPr>
            <w:r>
              <w:rPr>
                <w:rFonts w:ascii="Times New Roman" w:cs="Times New Roman" w:eastAsia="Times New Roman" w:hAnsi="Times New Roman"/>
                <w:b/>
                <w:bCs/>
                <w:sz w:val="22"/>
                <w:szCs w:val="22"/>
              </w:rPr>
              <w:t xml:space="preserve">Authority | কর্তৃপক্ষ</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CRR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5%</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Bangladesh Bank</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SLR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13.5%</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Bangladesh Bank</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CAR</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12.5%</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Basel III</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Repo Rate</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8.50%</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Bangladesh Bank</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Reverse Repo</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6.50%</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Bangladesh Bank</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Priority Sector Target</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40% of ANBC</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Bangladesh Bank</w:t>
            </w:r>
          </w:p>
        </w:tc>
      </w:tr>
      <w:tr>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Cheque Validity</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6 months</w:t>
            </w:r>
          </w:p>
        </w:tc>
        <w:tc>
          <w:tcPr>
            <w:tcBorders>
              <w:top w:val="single" w:color="CCCCCC" w:sz="1"/>
              <w:left w:val="single" w:color="CCCCCC" w:sz="1"/>
              <w:bottom w:val="single" w:color="CCCCCC" w:sz="1"/>
              <w:right w:val="single" w:color="CCCCCC" w:sz="1"/>
            </w:tcBorders>
            <w:vAlign w:val="center"/>
          </w:tcPr>
          <w:p>
            <w:pPr>
              <w:jc w:val="left"/>
            </w:pPr>
            <w:r>
              <w:rPr>
                <w:rFonts w:ascii="Times New Roman" w:cs="Times New Roman" w:eastAsia="Times New Roman" w:hAnsi="Times New Roman"/>
                <w:sz w:val="22"/>
                <w:szCs w:val="22"/>
              </w:rPr>
              <w:t xml:space="preserve">BB Guidelines</w:t>
            </w:r>
          </w:p>
        </w:tc>
      </w:tr>
    </w:tbl>
    <w:p>
      <w:pPr>
        <w:spacing w:after="200" w:before="100"/>
        <w:jc w:val="center"/>
      </w:pPr>
      <w:r>
        <w:rPr>
          <w:rFonts w:ascii="Times New Roman" w:cs="Times New Roman" w:eastAsia="Times New Roman" w:hAnsi="Times New Roman"/>
          <w:i/>
          <w:iCs/>
          <w:color w:val="666666"/>
          <w:sz w:val="18"/>
          <w:szCs w:val="18"/>
        </w:rPr>
        <w:t xml:space="preserve">Table 2: Current Banking Rates | বর্তমান ব্যাংকিং হার</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LPGB Part D - Descriptive Questions | বিস্তারিত প্রশ্ন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1A3A5C"/>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A3A5C"/>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547E"/>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2026-03-27T14:38:53.861Z</dcterms:created>
  <dcterms:modified xsi:type="dcterms:W3CDTF">2026-03-27T14:38:53.861Z</dcterms:modified>
</cp:coreProperties>
</file>

<file path=docProps/custom.xml><?xml version="1.0" encoding="utf-8"?>
<Properties xmlns="http://schemas.openxmlformats.org/officeDocument/2006/custom-properties" xmlns:vt="http://schemas.openxmlformats.org/officeDocument/2006/docPropsVTypes"/>
</file>