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Times New Roman" w:cs="Times New Roman" w:eastAsia="Times New Roman" w:hAnsi="Times New Roman"/>
          <w:b/>
          <w:bCs/>
          <w:color w:val="26211F"/>
          <w:sz w:val="48"/>
          <w:szCs w:val="48"/>
        </w:rPr>
        <w:t xml:space="preserve">LPGB Part E</w:t>
      </w:r>
    </w:p>
    <w:p>
      <w:pPr>
        <w:spacing w:after="200"/>
        <w:jc w:val="center"/>
      </w:pPr>
      <w:r>
        <w:rPr>
          <w:rFonts w:ascii="Times New Roman" w:cs="Times New Roman" w:eastAsia="Times New Roman" w:hAnsi="Times New Roman"/>
          <w:color w:val="C19A6B"/>
          <w:sz w:val="32"/>
          <w:szCs w:val="32"/>
        </w:rPr>
        <w:t xml:space="preserve">Short Questions - Complete Preparation Guide</w:t>
      </w:r>
    </w:p>
    <w:p>
      <w:pPr>
        <w:spacing w:after="400"/>
        <w:jc w:val="center"/>
      </w:pPr>
      <w:r>
        <w:rPr>
          <w:rFonts w:ascii="Times New Roman" w:cs="Times New Roman" w:eastAsia="Times New Roman" w:hAnsi="Times New Roman"/>
          <w:color w:val="6B6361"/>
          <w:sz w:val="24"/>
          <w:szCs w:val="24"/>
        </w:rPr>
        <w:t xml:space="preserve">Banking Professional Examination (JAIBB)</w:t>
      </w:r>
    </w:p>
    <w:p>
      <w:pPr>
        <w:spacing w:after="300"/>
        <w:jc w:val="center"/>
      </w:pPr>
      <w:r>
        <w:rPr>
          <w:rFonts w:ascii="Times New Roman" w:cs="Times New Roman" w:eastAsia="Times New Roman" w:hAnsi="Times New Roman"/>
          <w:color w:val="3D3735"/>
          <w:sz w:val="22"/>
          <w:szCs w:val="22"/>
        </w:rPr>
        <w:t xml:space="preserve">Based on 96th, 97th, 98th, 99th, 5th &amp; 6th Exam Questions</w:t>
      </w:r>
    </w:p>
    <w:p>
      <w:pPr>
        <w:pStyle w:val="Heading1"/>
      </w:pPr>
      <w:r>
        <w:rPr>
          <w:rFonts w:ascii="Times New Roman" w:cs="Times New Roman" w:eastAsia="Times New Roman" w:hAnsi="Times New Roman"/>
          <w:b/>
          <w:bCs/>
          <w:color w:val="26211F"/>
        </w:rPr>
        <w:t xml:space="preserve">Table of Contents</w:t>
      </w:r>
    </w:p>
    <w:sdt>
      <w:sdtPr>
        <w:alias w:val="Table of Contents"/>
      </w:sdtPr>
      <w:sdtContent>
        <w:p>
          <w:r>
            <w:fldChar w:fldCharType="begin" w:dirty="true"/>
            <w:instrText xml:space="preserve">TOC \h \o "1-2"</w:instrText>
            <w:fldChar w:fldCharType="separate"/>
          </w:r>
        </w:p>
        <w:p>
          <w:pPr>
            <w:pStyle w:val="9"/>
            <w:tabs>
              <w:tab w:val="right" w:leader="dot" w:pos="9026"/>
            </w:tabs>
          </w:pPr>
          <w:r>
            <w:t>MODULE A: Financial Institutions Related Laws</w:t>
          </w:r>
          <w:r>
            <w:tab/>
          </w:r>
          <w:r>
            <w:t>3</w:t>
          </w:r>
        </w:p>
        <w:p>
          <w:pPr>
            <w:pStyle w:val="9"/>
            <w:tabs>
              <w:tab w:val="right" w:leader="dot" w:pos="9026"/>
            </w:tabs>
          </w:pPr>
          <w:r>
            <w:t>MODULE B: Financial Instrument Related Laws</w:t>
          </w:r>
          <w:r>
            <w:tab/>
          </w:r>
          <w:r>
            <w:t>8</w:t>
          </w:r>
        </w:p>
        <w:p>
          <w:pPr>
            <w:pStyle w:val="9"/>
            <w:tabs>
              <w:tab w:val="right" w:leader="dot" w:pos="9026"/>
            </w:tabs>
          </w:pPr>
          <w:r>
            <w:t>MODULE C: Financial Activities Related Laws</w:t>
          </w:r>
          <w:r>
            <w:tab/>
          </w:r>
          <w:r>
            <w:t>12</w:t>
          </w:r>
        </w:p>
        <w:p>
          <w:pPr>
            <w:pStyle w:val="9"/>
            <w:tabs>
              <w:tab w:val="right" w:leader="dot" w:pos="9026"/>
            </w:tabs>
          </w:pPr>
          <w:r>
            <w:t>MODULE D: Business Related Laws</w:t>
          </w:r>
          <w:r>
            <w:tab/>
          </w:r>
          <w:r>
            <w:t>16</w:t>
          </w:r>
        </w:p>
        <w:p>
          <w:pPr>
            <w:pStyle w:val="9"/>
            <w:tabs>
              <w:tab w:val="right" w:leader="dot" w:pos="9026"/>
            </w:tabs>
          </w:pPr>
          <w:r>
            <w:t>MODULE E: Information and Data Related Laws</w:t>
          </w:r>
          <w:r>
            <w:tab/>
          </w:r>
          <w:r>
            <w:t>20</w:t>
          </w:r>
        </w:p>
        <w:p>
          <w:pPr>
            <w:pStyle w:val="9"/>
            <w:tabs>
              <w:tab w:val="right" w:leader="dot" w:pos="9026"/>
            </w:tabs>
          </w:pPr>
          <w:r>
            <w:t>MODULE F: General Laws</w:t>
          </w:r>
          <w:r>
            <w:tab/>
          </w:r>
          <w:r>
            <w:t>22</w:t>
          </w:r>
        </w:p>
        <w:p>
          <w:pPr>
            <w:pStyle w:val="9"/>
            <w:tabs>
              <w:tab w:val="right" w:leader="dot" w:pos="9026"/>
            </w:tabs>
          </w:pPr>
          <w:r>
            <w:t>MODULE G: Overview</w:t>
          </w:r>
          <w:r>
            <w:tab/>
          </w:r>
          <w:r>
            <w:t>24</w:t>
          </w:r>
        </w:p>
        <w:p>
          <w:pPr>
            <w:pStyle w:val="9"/>
            <w:tabs>
              <w:tab w:val="right" w:leader="dot" w:pos="9026"/>
            </w:tabs>
          </w:pPr>
          <w:r>
            <w:t>MODULE H: Deposit Accounts &amp; Operation</w:t>
          </w:r>
          <w:r>
            <w:tab/>
          </w:r>
          <w:r>
            <w:t>28</w:t>
          </w:r>
        </w:p>
        <w:p>
          <w:pPr>
            <w:pStyle w:val="9"/>
            <w:tabs>
              <w:tab w:val="right" w:leader="dot" w:pos="9026"/>
            </w:tabs>
          </w:pPr>
          <w:r>
            <w:t>MODULE I: Negotiable Instrument Act, 1881</w:t>
          </w:r>
          <w:r>
            <w:tab/>
          </w:r>
          <w:r>
            <w:t>31</w:t>
          </w:r>
        </w:p>
        <w:p>
          <w:r>
            <w:fldChar w:fldCharType="end"/>
          </w:r>
        </w:p>
      </w:sdtContent>
    </w:sdt>
    <w:p>
      <w:pPr>
        <w:jc w:val="center"/>
      </w:pPr>
      <w:r>
        <w:rPr>
          <w:rFonts w:ascii="Times New Roman" w:cs="Times New Roman" w:eastAsia="Times New Roman" w:hAnsi="Times New Roman"/>
          <w:color w:val="999999"/>
          <w:sz w:val="18"/>
          <w:szCs w:val="18"/>
        </w:rPr>
        <w:t xml:space="preserve">Note: Right-click the Table of Contents and select 'Update Field' to show correct page numbers.</w:t>
      </w:r>
    </w:p>
    <w:p>
      <w:r>
        <w:br w:type="page"/>
      </w:r>
    </w:p>
    <w:p>
      <w:pPr>
        <w:pStyle w:val="Heading1"/>
      </w:pPr>
      <w:r>
        <w:rPr>
          <w:rFonts w:ascii="Times New Roman" w:cs="Times New Roman" w:eastAsia="Times New Roman" w:hAnsi="Times New Roman"/>
          <w:b/>
          <w:bCs/>
          <w:color w:val="26211F"/>
        </w:rPr>
        <w:t xml:space="preserve">MODULE A: Financial Institutions Related Laws</w:t>
      </w:r>
    </w:p>
    <w:p>
      <w:pPr>
        <w:spacing w:after="200"/>
      </w:pPr>
      <w:r>
        <w:rPr>
          <w:rFonts w:ascii="Times New Roman" w:cs="Times New Roman" w:eastAsia="Times New Roman" w:hAnsi="Times New Roman"/>
          <w:color w:val="3D3735"/>
          <w:sz w:val="22"/>
          <w:szCs w:val="22"/>
        </w:rPr>
        <w:t xml:space="preserve">This module covers Bangladesh Bank Order 1972, Bank Company Act 1991, Financial Institutions Act 1993, Artha Rin Adalat Ain 2003, and related banking regulations.</w:t>
      </w:r>
    </w:p>
    <w:p>
      <w:pPr>
        <w:pStyle w:val="Heading2"/>
      </w:pPr>
      <w:r>
        <w:rPr>
          <w:rFonts w:ascii="Times New Roman" w:cs="Times New Roman" w:eastAsia="Times New Roman" w:hAnsi="Times New Roman"/>
          <w:b/>
          <w:bCs/>
          <w:color w:val="26211F"/>
          <w:sz w:val="22"/>
          <w:szCs w:val="22"/>
        </w:rPr>
        <w:t xml:space="preserve">QA.1: বাংলাদেশ ব্যাংকের নির্দেশনা অনুযায়ী আর্থিক প্রতিষ্ঠান তার পরিশোধিত মূলধন ও রিজার্ভের কত শতাংশ পর্যন্ত অস্থাবর সম্পত্তি অর্জন বা অনুষঙ্গ করতে পারে?</w:t>
      </w:r>
    </w:p>
    <w:p>
      <w:pPr>
        <w:spacing w:after="100" w:before="50"/>
      </w:pPr>
      <w:r>
        <w:rPr>
          <w:rFonts w:ascii="Times New Roman" w:cs="Times New Roman" w:eastAsia="Times New Roman" w:hAnsi="Times New Roman"/>
          <w:i/>
          <w:iCs/>
          <w:color w:val="6B6361"/>
          <w:sz w:val="20"/>
          <w:szCs w:val="20"/>
        </w:rPr>
        <w:t xml:space="preserve">(According to Bangladesh Bank guidelines, what percentage of immovable property can a financial institution acquire or hold, relative to its paid-up capital and reserves?)</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আর্থিক প্রতিষ্ঠান তার পরিশোধিত মূলধন ও রিজার্ভের ২৫% পর্যন্ত অস্থাবর সম্পত্তি অর্জন বা অনুষঙ্গ করতে পারে। এটি Financial Institutions Act, 1993 এর বিধান অনুযায়ী নির্ধারিত।</w:t>
      </w:r>
    </w:p>
    <w:p>
      <w:pPr>
        <w:spacing w:after="50" w:before="50"/>
      </w:pPr>
      <w:r>
        <w:rPr>
          <w:rFonts w:ascii="Times New Roman" w:cs="Times New Roman" w:eastAsia="Times New Roman" w:hAnsi="Times New Roman"/>
          <w:i/>
          <w:iCs/>
          <w:color w:val="6B6361"/>
          <w:sz w:val="20"/>
          <w:szCs w:val="20"/>
        </w:rPr>
        <w:t xml:space="preserve">Answer: A financial institution can acquire or hold up to 25% of its paid-up capital and reserves in immovable property. This is determined under the provisions of the Financial Institutions Act, 1993.</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Financial Institutions Act, 1993</w:t>
      </w:r>
    </w:p>
    <w:p>
      <w:pPr>
        <w:pStyle w:val="Heading2"/>
      </w:pPr>
      <w:r>
        <w:rPr>
          <w:rFonts w:ascii="Times New Roman" w:cs="Times New Roman" w:eastAsia="Times New Roman" w:hAnsi="Times New Roman"/>
          <w:b/>
          <w:bCs/>
          <w:color w:val="26211F"/>
          <w:sz w:val="22"/>
          <w:szCs w:val="22"/>
        </w:rPr>
        <w:t xml:space="preserve">QA.2: আর্থ ঋণ আদালতে মামলা দায়ের করার ন্যূনতম আর্থিক মূল্য কত?</w:t>
      </w:r>
    </w:p>
    <w:p>
      <w:pPr>
        <w:spacing w:after="100" w:before="50"/>
      </w:pPr>
      <w:r>
        <w:rPr>
          <w:rFonts w:ascii="Times New Roman" w:cs="Times New Roman" w:eastAsia="Times New Roman" w:hAnsi="Times New Roman"/>
          <w:i/>
          <w:iCs/>
          <w:color w:val="6B6361"/>
          <w:sz w:val="20"/>
          <w:szCs w:val="20"/>
        </w:rPr>
        <w:t xml:space="preserve">(What is the minimum monetary value of a suit that can be filed in the Artha Rin Adalat?)</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আর্থ ঋণ আদালতে মামলা দায়ের করার ন্যূনতম আর্থিক মূল্য ৫০,০০০ (পঞ্চাশ হাজার) টাকা। এর কম পরিমাণ অর্থের মামলা সাধারণ দেওয়ানি আদালতে দায়ের করতে হয়।</w:t>
      </w:r>
    </w:p>
    <w:p>
      <w:pPr>
        <w:spacing w:after="50" w:before="50"/>
      </w:pPr>
      <w:r>
        <w:rPr>
          <w:rFonts w:ascii="Times New Roman" w:cs="Times New Roman" w:eastAsia="Times New Roman" w:hAnsi="Times New Roman"/>
          <w:i/>
          <w:iCs/>
          <w:color w:val="6B6361"/>
          <w:sz w:val="20"/>
          <w:szCs w:val="20"/>
        </w:rPr>
        <w:t xml:space="preserve">Answer: The minimum monetary value to file a suit in Artha Rin Adalat is Tk. 50,000 (fifty thousand). Suits involving lesser amounts must be filed in regular civil courts.</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Artha Rin Adalat Ain, 2003 - Section 4</w:t>
      </w:r>
    </w:p>
    <w:p>
      <w:pPr>
        <w:pStyle w:val="Heading2"/>
      </w:pPr>
      <w:r>
        <w:rPr>
          <w:rFonts w:ascii="Times New Roman" w:cs="Times New Roman" w:eastAsia="Times New Roman" w:hAnsi="Times New Roman"/>
          <w:b/>
          <w:bCs/>
          <w:color w:val="26211F"/>
          <w:sz w:val="22"/>
          <w:szCs w:val="22"/>
        </w:rPr>
        <w:t xml:space="preserve">QA.3: বাংলাদেশে ডিজিটাল স্বাক্ষরের ব্যবহার নিয়ন্ত্রণ করে কোন আইন?</w:t>
      </w:r>
    </w:p>
    <w:p>
      <w:pPr>
        <w:spacing w:after="100" w:before="50"/>
      </w:pPr>
      <w:r>
        <w:rPr>
          <w:rFonts w:ascii="Times New Roman" w:cs="Times New Roman" w:eastAsia="Times New Roman" w:hAnsi="Times New Roman"/>
          <w:i/>
          <w:iCs/>
          <w:color w:val="6B6361"/>
          <w:sz w:val="20"/>
          <w:szCs w:val="20"/>
        </w:rPr>
        <w:t xml:space="preserve">(Which act regulates the use of digital signatures in Bangladesh?)</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বাংলাদেশে ডিজিটাল স্বাক্ষরের ব্যবহার Information and Communication Technology Act, 2006 (ICT Act, 2006) দ্বারা নিয়ন্ত্রিত হয়। এই আইনে ডিজিটাল স্বাক্ষরের আইনি স্বীকৃতি এবং ব্যবহারের পদ্ধতি বর্ণনা করা হয়েছে।</w:t>
      </w:r>
    </w:p>
    <w:p>
      <w:pPr>
        <w:spacing w:after="50" w:before="50"/>
      </w:pPr>
      <w:r>
        <w:rPr>
          <w:rFonts w:ascii="Times New Roman" w:cs="Times New Roman" w:eastAsia="Times New Roman" w:hAnsi="Times New Roman"/>
          <w:i/>
          <w:iCs/>
          <w:color w:val="6B6361"/>
          <w:sz w:val="20"/>
          <w:szCs w:val="20"/>
        </w:rPr>
        <w:t xml:space="preserve">Answer: The use of digital signatures in Bangladesh is regulated by the Information and Communication Technology Act, 2006 (ICT Act, 2006). This law provides legal recognition of digital signatures and describes the methods for their use.</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ICT Act, 2006 - Section 7, 8</w:t>
      </w:r>
    </w:p>
    <w:p>
      <w:pPr>
        <w:pStyle w:val="Heading2"/>
      </w:pPr>
      <w:r>
        <w:rPr>
          <w:rFonts w:ascii="Times New Roman" w:cs="Times New Roman" w:eastAsia="Times New Roman" w:hAnsi="Times New Roman"/>
          <w:b/>
          <w:bCs/>
          <w:color w:val="26211F"/>
          <w:sz w:val="22"/>
          <w:szCs w:val="22"/>
        </w:rPr>
        <w:t xml:space="preserve">QA.4: ICT Act, 2006 অনুযায়ী বাংলাদেশে ইলেকট্রনিক রেকর্ড সংরক্ষণের মেয়াদ কত?</w:t>
      </w:r>
    </w:p>
    <w:p>
      <w:pPr>
        <w:spacing w:after="100" w:before="50"/>
      </w:pPr>
      <w:r>
        <w:rPr>
          <w:rFonts w:ascii="Times New Roman" w:cs="Times New Roman" w:eastAsia="Times New Roman" w:hAnsi="Times New Roman"/>
          <w:i/>
          <w:iCs/>
          <w:color w:val="6B6361"/>
          <w:sz w:val="20"/>
          <w:szCs w:val="20"/>
        </w:rPr>
        <w:t xml:space="preserve">(As per the ICT Act, 2006, what is the retention period for electronic records in Bangladesh?)</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ICT Act, 2006 এর Section 9 অনুযায়ী, ইলেকট্রনিক রেকর্ড যতক্ষণ সংশ্লিষ্ট আইনে নির্ধারিত সময়ের জন্য সংরক্ষণ করতে হবে। সাধারণত ব্যাংকিং ক্ষেত্রে ১০ বছর পর্যন্ত রেকর্ড সংরক্ষণ করা বাধ্যতামূলক।</w:t>
      </w:r>
    </w:p>
    <w:p>
      <w:pPr>
        <w:spacing w:after="50" w:before="50"/>
      </w:pPr>
      <w:r>
        <w:rPr>
          <w:rFonts w:ascii="Times New Roman" w:cs="Times New Roman" w:eastAsia="Times New Roman" w:hAnsi="Times New Roman"/>
          <w:i/>
          <w:iCs/>
          <w:color w:val="6B6361"/>
          <w:sz w:val="20"/>
          <w:szCs w:val="20"/>
        </w:rPr>
        <w:t xml:space="preserve">Answer: According to Section 9 of the ICT Act, 2006, electronic records must be retained for the period specified in the relevant law. Generally, in banking, records must be maintained for up to 10 years.</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ICT Act, 2006 - Section 9</w:t>
      </w:r>
    </w:p>
    <w:p>
      <w:pPr>
        <w:pStyle w:val="Heading2"/>
      </w:pPr>
      <w:r>
        <w:rPr>
          <w:rFonts w:ascii="Times New Roman" w:cs="Times New Roman" w:eastAsia="Times New Roman" w:hAnsi="Times New Roman"/>
          <w:b/>
          <w:bCs/>
          <w:color w:val="26211F"/>
          <w:sz w:val="22"/>
          <w:szCs w:val="22"/>
        </w:rPr>
        <w:t xml:space="preserve">QA.5: Financial Institutions Act, 1993 অনুযায়ী বৈধ লাইসেন্স ছাড়া আর্থিক কার্যক্রম পরিচালনার শাস্তি কী?</w:t>
      </w:r>
    </w:p>
    <w:p>
      <w:pPr>
        <w:spacing w:after="100" w:before="50"/>
      </w:pPr>
      <w:r>
        <w:rPr>
          <w:rFonts w:ascii="Times New Roman" w:cs="Times New Roman" w:eastAsia="Times New Roman" w:hAnsi="Times New Roman"/>
          <w:i/>
          <w:iCs/>
          <w:color w:val="6B6361"/>
          <w:sz w:val="20"/>
          <w:szCs w:val="20"/>
        </w:rPr>
        <w:t xml:space="preserve">(What is the punishment for conducting financial business without a valid license under the Financial Institutions Act, 1993?)</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Financial Institutions Act, 1993 অনুযায়ী, বৈধ লাইসেন্স ছাড়া আর্থিক কার্যক্রম পরিচালনার জন্য সর্বোচ্চ ৫ বছরের কারাদণ্ড বা অর্থদণ্ড বা উভয় দণ্ড হতে পারে। এটি Section 26 এ উল্লেখ আছে।</w:t>
      </w:r>
    </w:p>
    <w:p>
      <w:pPr>
        <w:spacing w:after="50" w:before="50"/>
      </w:pPr>
      <w:r>
        <w:rPr>
          <w:rFonts w:ascii="Times New Roman" w:cs="Times New Roman" w:eastAsia="Times New Roman" w:hAnsi="Times New Roman"/>
          <w:i/>
          <w:iCs/>
          <w:color w:val="6B6361"/>
          <w:sz w:val="20"/>
          <w:szCs w:val="20"/>
        </w:rPr>
        <w:t xml:space="preserve">Answer: Under the Financial Institutions Act, 1993, conducting financial business without a valid license can result in a maximum of 5 years imprisonment or a fine or both, as mentioned in Section 26.</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Financial Institutions Act, 1993 - Section 26</w:t>
      </w:r>
    </w:p>
    <w:p>
      <w:pPr>
        <w:pStyle w:val="Heading2"/>
      </w:pPr>
      <w:r>
        <w:rPr>
          <w:rFonts w:ascii="Times New Roman" w:cs="Times New Roman" w:eastAsia="Times New Roman" w:hAnsi="Times New Roman"/>
          <w:b/>
          <w:bCs/>
          <w:color w:val="26211F"/>
          <w:sz w:val="22"/>
          <w:szCs w:val="22"/>
        </w:rPr>
        <w:t xml:space="preserve">QA.6: ব্যাংক কোম্পানি আইন, ১৯৯১ অনুযায়ী দাবিহীন আমানতের কী হয়?</w:t>
      </w:r>
    </w:p>
    <w:p>
      <w:pPr>
        <w:spacing w:after="100" w:before="50"/>
      </w:pPr>
      <w:r>
        <w:rPr>
          <w:rFonts w:ascii="Times New Roman" w:cs="Times New Roman" w:eastAsia="Times New Roman" w:hAnsi="Times New Roman"/>
          <w:i/>
          <w:iCs/>
          <w:color w:val="6B6361"/>
          <w:sz w:val="20"/>
          <w:szCs w:val="20"/>
        </w:rPr>
        <w:t xml:space="preserve">(What happens to unclaimed deposits according to Bank Company Act, 1991?)</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Bank Company Act, 1991 এর Section 35 অনুযায়ী, ১০ বছর পর্যন্ত অচল থাকা আমানত দাবিহীন আমানত হিসেবে বিবেচিত হয় এবং তা বাংলাদেশ ব্যাংকে জমা দিতে হয়। তবে কোনো ক্ষেত্রে এটি সরকারি কোষাগারে জমা দিতে হয়।</w:t>
      </w:r>
    </w:p>
    <w:p>
      <w:pPr>
        <w:spacing w:after="50" w:before="50"/>
      </w:pPr>
      <w:r>
        <w:rPr>
          <w:rFonts w:ascii="Times New Roman" w:cs="Times New Roman" w:eastAsia="Times New Roman" w:hAnsi="Times New Roman"/>
          <w:i/>
          <w:iCs/>
          <w:color w:val="6B6361"/>
          <w:sz w:val="20"/>
          <w:szCs w:val="20"/>
        </w:rPr>
        <w:t xml:space="preserve">Answer: According to Section 35 of the Bank Company Act, 1991, deposits remaining inactive for 10 years are considered unclaimed and must be deposited with Bangladesh Bank. In some cases, it must be deposited in the government treasury.</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Bank Company Act, 1991 - Section 35</w:t>
      </w:r>
    </w:p>
    <w:p>
      <w:pPr>
        <w:pStyle w:val="Heading2"/>
      </w:pPr>
      <w:r>
        <w:rPr>
          <w:rFonts w:ascii="Times New Roman" w:cs="Times New Roman" w:eastAsia="Times New Roman" w:hAnsi="Times New Roman"/>
          <w:b/>
          <w:bCs/>
          <w:color w:val="26211F"/>
          <w:sz w:val="22"/>
          <w:szCs w:val="22"/>
        </w:rPr>
        <w:t xml:space="preserve">QA.7: বাংলাদেশ ব্যাংকের মূল উদ্দেশ্য কী?</w:t>
      </w:r>
    </w:p>
    <w:p>
      <w:pPr>
        <w:spacing w:after="100" w:before="50"/>
      </w:pPr>
      <w:r>
        <w:rPr>
          <w:rFonts w:ascii="Times New Roman" w:cs="Times New Roman" w:eastAsia="Times New Roman" w:hAnsi="Times New Roman"/>
          <w:i/>
          <w:iCs/>
          <w:color w:val="6B6361"/>
          <w:sz w:val="20"/>
          <w:szCs w:val="20"/>
        </w:rPr>
        <w:t xml:space="preserve">(What is the main objective of Bangladesh Bank?)</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বাংলাদেশ ব্যাংকের মূল উদ্দেশ্য হল দেশের আর্থিক ব্যবস্থা নিয়ন্ত্রণ করা, মুদ্রা নীতি প্রণয়ন করা এবং ব্যাংকিং খাতের তদারকি করা। এটি সরকারের ব্যাংকিং কার্যক্রম পরিচালনা করে।</w:t>
      </w:r>
    </w:p>
    <w:p>
      <w:pPr>
        <w:spacing w:after="50" w:before="50"/>
      </w:pPr>
      <w:r>
        <w:rPr>
          <w:rFonts w:ascii="Times New Roman" w:cs="Times New Roman" w:eastAsia="Times New Roman" w:hAnsi="Times New Roman"/>
          <w:i/>
          <w:iCs/>
          <w:color w:val="6B6361"/>
          <w:sz w:val="20"/>
          <w:szCs w:val="20"/>
        </w:rPr>
        <w:t xml:space="preserve">Answer: The main objective of Bangladesh Bank is to control the country's monetary system, formulate monetary policy, and supervise the banking sector. It also conducts banking activities for the government.</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Bangladesh Bank Order, 1972</w:t>
      </w:r>
    </w:p>
    <w:p>
      <w:pPr>
        <w:pStyle w:val="Heading2"/>
      </w:pPr>
      <w:r>
        <w:rPr>
          <w:rFonts w:ascii="Times New Roman" w:cs="Times New Roman" w:eastAsia="Times New Roman" w:hAnsi="Times New Roman"/>
          <w:b/>
          <w:bCs/>
          <w:color w:val="26211F"/>
          <w:sz w:val="22"/>
          <w:szCs w:val="22"/>
        </w:rPr>
        <w:t xml:space="preserve">QA.8: ব্যাংক কোম্পানি আইনে কোন কোন বিষয় অন্তর্ভুক্ত?</w:t>
      </w:r>
    </w:p>
    <w:p>
      <w:pPr>
        <w:spacing w:after="100" w:before="50"/>
      </w:pPr>
      <w:r>
        <w:rPr>
          <w:rFonts w:ascii="Times New Roman" w:cs="Times New Roman" w:eastAsia="Times New Roman" w:hAnsi="Times New Roman"/>
          <w:i/>
          <w:iCs/>
          <w:color w:val="6B6361"/>
          <w:sz w:val="20"/>
          <w:szCs w:val="20"/>
        </w:rPr>
        <w:t xml:space="preserve">(What matters are included in the Bank Company Act?)</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ব্যাংক কোম্পানি আইন, ১৯৯১ এ ব্যাংকের লাইসেন্স, শেয়ার ক্রয়-বিক্রয়, ঋণ ও অগ্রিম, রিজার্ভ ফান্ড, দাবিহীন আমানত, হিসাব ও ব্যালেন্সশিট সহ বিভিন্ন বিষয় অন্তর্ভুক্ত। এটি ব্যাংকিং কোম্পানির কার্যক্রম নিয়ন্ত্রণ করে।</w:t>
      </w:r>
    </w:p>
    <w:p>
      <w:pPr>
        <w:spacing w:after="50" w:before="50"/>
      </w:pPr>
      <w:r>
        <w:rPr>
          <w:rFonts w:ascii="Times New Roman" w:cs="Times New Roman" w:eastAsia="Times New Roman" w:hAnsi="Times New Roman"/>
          <w:i/>
          <w:iCs/>
          <w:color w:val="6B6361"/>
          <w:sz w:val="20"/>
          <w:szCs w:val="20"/>
        </w:rPr>
        <w:t xml:space="preserve">Answer: The Bank Company Act, 1991 includes various matters such as bank licensing, share trading, loans and advances, reserve fund, unclaimed deposits, accounts and balance sheets. It regulates the activities of banking companies.</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Bank Company Act, 1991</w:t>
      </w:r>
    </w:p>
    <w:p>
      <w:pPr>
        <w:pStyle w:val="Heading2"/>
      </w:pPr>
      <w:r>
        <w:rPr>
          <w:rFonts w:ascii="Times New Roman" w:cs="Times New Roman" w:eastAsia="Times New Roman" w:hAnsi="Times New Roman"/>
          <w:b/>
          <w:bCs/>
          <w:color w:val="26211F"/>
          <w:sz w:val="22"/>
          <w:szCs w:val="22"/>
        </w:rPr>
        <w:t xml:space="preserve">QA.9: বাংলাদেশ ব্যাংক কখন প্রতিষ্ঠিত হয়?</w:t>
      </w:r>
    </w:p>
    <w:p>
      <w:pPr>
        <w:spacing w:after="100" w:before="50"/>
      </w:pPr>
      <w:r>
        <w:rPr>
          <w:rFonts w:ascii="Times New Roman" w:cs="Times New Roman" w:eastAsia="Times New Roman" w:hAnsi="Times New Roman"/>
          <w:i/>
          <w:iCs/>
          <w:color w:val="6B6361"/>
          <w:sz w:val="20"/>
          <w:szCs w:val="20"/>
        </w:rPr>
        <w:t xml:space="preserve">(When was Bangladesh Bank established?)</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বাংলাদেশ ব্যাংক ১৯৭২ সালের ১৬ ডিসেম্বর বাংলাদেশ ব্যাংক আদেশ, ১৯৭২ এর মাধ্যমে প্রতিষ্ঠিত হয়। এটি দেশের কেন্দ্রীয় ব্যাংক হিসেবে কাজ করে।</w:t>
      </w:r>
    </w:p>
    <w:p>
      <w:pPr>
        <w:spacing w:after="50" w:before="50"/>
      </w:pPr>
      <w:r>
        <w:rPr>
          <w:rFonts w:ascii="Times New Roman" w:cs="Times New Roman" w:eastAsia="Times New Roman" w:hAnsi="Times New Roman"/>
          <w:i/>
          <w:iCs/>
          <w:color w:val="6B6361"/>
          <w:sz w:val="20"/>
          <w:szCs w:val="20"/>
        </w:rPr>
        <w:t xml:space="preserve">Answer: Bangladesh Bank was established on 16 December 1972 through the Bangladesh Bank Order, 1972. It functions as the central bank of the country.</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Bangladesh Bank Order, 1972</w:t>
      </w:r>
    </w:p>
    <w:p>
      <w:pPr>
        <w:pStyle w:val="Heading2"/>
      </w:pPr>
      <w:r>
        <w:rPr>
          <w:rFonts w:ascii="Times New Roman" w:cs="Times New Roman" w:eastAsia="Times New Roman" w:hAnsi="Times New Roman"/>
          <w:b/>
          <w:bCs/>
          <w:color w:val="26211F"/>
          <w:sz w:val="22"/>
          <w:szCs w:val="22"/>
        </w:rPr>
        <w:t xml:space="preserve">QA.10: ব্যাংক কোম্পানি আইন অনুযায়ী পরিচালকের পদ কখন শূন্য হয়?</w:t>
      </w:r>
    </w:p>
    <w:p>
      <w:pPr>
        <w:spacing w:after="100" w:before="50"/>
      </w:pPr>
      <w:r>
        <w:rPr>
          <w:rFonts w:ascii="Times New Roman" w:cs="Times New Roman" w:eastAsia="Times New Roman" w:hAnsi="Times New Roman"/>
          <w:i/>
          <w:iCs/>
          <w:color w:val="6B6361"/>
          <w:sz w:val="20"/>
          <w:szCs w:val="20"/>
        </w:rPr>
        <w:t xml:space="preserve">(When does a director's position become vacant under the Bank Company Act?)</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ব্যাংক কোম্পানি আইন, ১৯৯১ অনুযায়ী পরিচালকের পদ শূন্য হয় যদি: (১) তিনি পদত্যাগ করেন, (২) মৃত্যুবরণ করেন, (৩) মানসিকভাবে অসুস্থ হন, (৪) দেউলিয়া ঘোষিত হন, (৫) আইন দ্বারা অযোগ্য ঘোষিত হন।</w:t>
      </w:r>
    </w:p>
    <w:p>
      <w:pPr>
        <w:spacing w:after="50" w:before="50"/>
      </w:pPr>
      <w:r>
        <w:rPr>
          <w:rFonts w:ascii="Times New Roman" w:cs="Times New Roman" w:eastAsia="Times New Roman" w:hAnsi="Times New Roman"/>
          <w:i/>
          <w:iCs/>
          <w:color w:val="6B6361"/>
          <w:sz w:val="20"/>
          <w:szCs w:val="20"/>
        </w:rPr>
        <w:t xml:space="preserve">Answer: Under the Bank Company Act, 1991, a director's position becomes vacant if: (1) they resign, (2) they die, (3) they become mentally unsound, (4) they are declared insolvent, (5) they are disqualified by law.</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Bank Company Act, 1991 - Section 15</w:t>
      </w:r>
    </w:p>
    <w:p>
      <w:pPr>
        <w:pStyle w:val="Heading1"/>
      </w:pPr>
      <w:r>
        <w:rPr>
          <w:rFonts w:ascii="Times New Roman" w:cs="Times New Roman" w:eastAsia="Times New Roman" w:hAnsi="Times New Roman"/>
          <w:b/>
          <w:bCs/>
          <w:color w:val="26211F"/>
        </w:rPr>
        <w:t xml:space="preserve">MODULE B: Financial Instrument Related Laws</w:t>
      </w:r>
    </w:p>
    <w:p>
      <w:pPr>
        <w:spacing w:after="200"/>
      </w:pPr>
      <w:r>
        <w:rPr>
          <w:rFonts w:ascii="Times New Roman" w:cs="Times New Roman" w:eastAsia="Times New Roman" w:hAnsi="Times New Roman"/>
          <w:color w:val="3D3735"/>
          <w:sz w:val="22"/>
          <w:szCs w:val="22"/>
        </w:rPr>
        <w:t xml:space="preserve">This module covers Negotiable Instruments Act 1881, Bangladesh Bank Note Refund Regulations 2012, and related financial instrument laws.</w:t>
      </w:r>
    </w:p>
    <w:p>
      <w:pPr>
        <w:pStyle w:val="Heading2"/>
      </w:pPr>
      <w:r>
        <w:rPr>
          <w:rFonts w:ascii="Times New Roman" w:cs="Times New Roman" w:eastAsia="Times New Roman" w:hAnsi="Times New Roman"/>
          <w:b/>
          <w:bCs/>
          <w:color w:val="26211F"/>
          <w:sz w:val="22"/>
          <w:szCs w:val="22"/>
        </w:rPr>
        <w:t xml:space="preserve">QB.1: চেক ক্রসিং কী? এর তাৎপর্য কী?</w:t>
      </w:r>
    </w:p>
    <w:p>
      <w:pPr>
        <w:spacing w:after="100" w:before="50"/>
      </w:pPr>
      <w:r>
        <w:rPr>
          <w:rFonts w:ascii="Times New Roman" w:cs="Times New Roman" w:eastAsia="Times New Roman" w:hAnsi="Times New Roman"/>
          <w:i/>
          <w:iCs/>
          <w:color w:val="6B6361"/>
          <w:sz w:val="20"/>
          <w:szCs w:val="20"/>
        </w:rPr>
        <w:t xml:space="preserve">(What is crossing a cheque? What is its significance?)</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চেক ক্রসিং হল চেকের মুখে দুটি সমান্তরাল রেখা আঁকা। এর তাৎপর্য হল চেকটি নগদ অর্থে পরিশোধ করা যাবে না, শুধুমাত্র ব্যাংক অ্যাকাউন্টে জমা দিয়েই আদায় করা যাবে। এটি প্রতারণা রোধে সাহায্য করে।</w:t>
      </w:r>
    </w:p>
    <w:p>
      <w:pPr>
        <w:spacing w:after="50" w:before="50"/>
      </w:pPr>
      <w:r>
        <w:rPr>
          <w:rFonts w:ascii="Times New Roman" w:cs="Times New Roman" w:eastAsia="Times New Roman" w:hAnsi="Times New Roman"/>
          <w:i/>
          <w:iCs/>
          <w:color w:val="6B6361"/>
          <w:sz w:val="20"/>
          <w:szCs w:val="20"/>
        </w:rPr>
        <w:t xml:space="preserve">Answer: Crossing a cheque means drawing two parallel lines on the face of the cheque. Its significance is that the cheque cannot be paid in cash; it can only be collected through a bank account. This helps prevent fraud.</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Negotiable Instruments Act, 1881 - Section 123-131</w:t>
      </w:r>
    </w:p>
    <w:p>
      <w:pPr>
        <w:pStyle w:val="Heading2"/>
      </w:pPr>
      <w:r>
        <w:rPr>
          <w:rFonts w:ascii="Times New Roman" w:cs="Times New Roman" w:eastAsia="Times New Roman" w:hAnsi="Times New Roman"/>
          <w:b/>
          <w:bCs/>
          <w:color w:val="26211F"/>
          <w:sz w:val="22"/>
          <w:szCs w:val="22"/>
        </w:rPr>
        <w:t xml:space="preserve">QB.2: স্ট্যান্ডিং ইনস্ট্রাকশন কী?</w:t>
      </w:r>
    </w:p>
    <w:p>
      <w:pPr>
        <w:spacing w:after="100" w:before="50"/>
      </w:pPr>
      <w:r>
        <w:rPr>
          <w:rFonts w:ascii="Times New Roman" w:cs="Times New Roman" w:eastAsia="Times New Roman" w:hAnsi="Times New Roman"/>
          <w:i/>
          <w:iCs/>
          <w:color w:val="6B6361"/>
          <w:sz w:val="20"/>
          <w:szCs w:val="20"/>
        </w:rPr>
        <w:t xml:space="preserve">(What is standing instruction?)</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স্ট্যান্ডিং ইনস্ট্রাকশন হল গ্রাহকের পক্ষ থেকে ব্যাংককে দেওয়া একটি লিখিত নির্দেশনা, যার মাধ্যমে ব্যাংক নির্দিষ্ট সময় অন্তর অন্তর স্বয়ংক্রিয়ভাবে গ্রাহকের হিসাব থেকে নির্দিষ্ট পরিমাণ অর্থ অন্য হিসাবে স্থানান্তর করে।</w:t>
      </w:r>
    </w:p>
    <w:p>
      <w:pPr>
        <w:spacing w:after="50" w:before="50"/>
      </w:pPr>
      <w:r>
        <w:rPr>
          <w:rFonts w:ascii="Times New Roman" w:cs="Times New Roman" w:eastAsia="Times New Roman" w:hAnsi="Times New Roman"/>
          <w:i/>
          <w:iCs/>
          <w:color w:val="6B6361"/>
          <w:sz w:val="20"/>
          <w:szCs w:val="20"/>
        </w:rPr>
        <w:t xml:space="preserve">Answer: Standing instruction is a written order from a customer to the bank, through which the bank automatically transfers a specific amount from the customer's account to another account at regular intervals.</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Banking Practice</w:t>
      </w:r>
    </w:p>
    <w:p>
      <w:pPr>
        <w:pStyle w:val="Heading2"/>
      </w:pPr>
      <w:r>
        <w:rPr>
          <w:rFonts w:ascii="Times New Roman" w:cs="Times New Roman" w:eastAsia="Times New Roman" w:hAnsi="Times New Roman"/>
          <w:b/>
          <w:bCs/>
          <w:color w:val="26211F"/>
          <w:sz w:val="22"/>
          <w:szCs w:val="22"/>
        </w:rPr>
        <w:t xml:space="preserve">QB.3: প্রতিবন্ধক এনডোর্সমেন্ট কী?</w:t>
      </w:r>
    </w:p>
    <w:p>
      <w:pPr>
        <w:spacing w:after="100" w:before="50"/>
      </w:pPr>
      <w:r>
        <w:rPr>
          <w:rFonts w:ascii="Times New Roman" w:cs="Times New Roman" w:eastAsia="Times New Roman" w:hAnsi="Times New Roman"/>
          <w:i/>
          <w:iCs/>
          <w:color w:val="6B6361"/>
          <w:sz w:val="20"/>
          <w:szCs w:val="20"/>
        </w:rPr>
        <w:t xml:space="preserve">(What is restrictive endorsement?)</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যে এনডোর্সমেন্ট চেক বা বিলের আর কোনো আলোচনা বা স্থানান্তর নিষিদ্ধ করে বা সীমাবদ্ধ করে, তাকে প্রতিবন্ধক এনডোর্সমেন্ট বলে। যেমন: 'Pay to A only' লেখা।</w:t>
      </w:r>
    </w:p>
    <w:p>
      <w:pPr>
        <w:spacing w:after="50" w:before="50"/>
      </w:pPr>
      <w:r>
        <w:rPr>
          <w:rFonts w:ascii="Times New Roman" w:cs="Times New Roman" w:eastAsia="Times New Roman" w:hAnsi="Times New Roman"/>
          <w:i/>
          <w:iCs/>
          <w:color w:val="6B6361"/>
          <w:sz w:val="20"/>
          <w:szCs w:val="20"/>
        </w:rPr>
        <w:t xml:space="preserve">Answer: An endorsement that prohibits or restricts further negotiation or transfer of a cheque or bill is called a restrictive endorsement. For example: writing 'Pay to A only'.</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Negotiable Instruments Act, 1881 - Section 50</w:t>
      </w:r>
    </w:p>
    <w:p>
      <w:pPr>
        <w:pStyle w:val="Heading2"/>
      </w:pPr>
      <w:r>
        <w:rPr>
          <w:rFonts w:ascii="Times New Roman" w:cs="Times New Roman" w:eastAsia="Times New Roman" w:hAnsi="Times New Roman"/>
          <w:b/>
          <w:bCs/>
          <w:color w:val="26211F"/>
          <w:sz w:val="22"/>
          <w:szCs w:val="22"/>
        </w:rPr>
        <w:t xml:space="preserve">QB.4: ধারক ও যথাযথ ধারকের মধ্যে পার্থক্য কী?</w:t>
      </w:r>
    </w:p>
    <w:p>
      <w:pPr>
        <w:spacing w:after="100" w:before="50"/>
      </w:pPr>
      <w:r>
        <w:rPr>
          <w:rFonts w:ascii="Times New Roman" w:cs="Times New Roman" w:eastAsia="Times New Roman" w:hAnsi="Times New Roman"/>
          <w:i/>
          <w:iCs/>
          <w:color w:val="6B6361"/>
          <w:sz w:val="20"/>
          <w:szCs w:val="20"/>
        </w:rPr>
        <w:t xml:space="preserve">(What is the difference between holder and holder in due course?)</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ধারক হলেন যিনি চেক বা বিলের আইনি মালিক, কিন্তু যথাযথ ধারক হলেন যিনি সুবিশ্বাসে, মূল্যের বিনিময়ে এবং বিনা দোষে দলিলটি লাভ করেছেন। যথাযথ ধারক দলিলের কোনো ত্রুটির জন্য দায়ী নন।</w:t>
      </w:r>
    </w:p>
    <w:p>
      <w:pPr>
        <w:spacing w:after="50" w:before="50"/>
      </w:pPr>
      <w:r>
        <w:rPr>
          <w:rFonts w:ascii="Times New Roman" w:cs="Times New Roman" w:eastAsia="Times New Roman" w:hAnsi="Times New Roman"/>
          <w:i/>
          <w:iCs/>
          <w:color w:val="6B6361"/>
          <w:sz w:val="20"/>
          <w:szCs w:val="20"/>
        </w:rPr>
        <w:t xml:space="preserve">Answer: A holder is someone who is the legal owner of a cheque or bill, but a holder in due course is someone who has acquired the instrument in good faith, for value, and without any defect. A holder in due course is not liable for any defects in the instrument.</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Negotiable Instruments Act, 1881 - Section 8, 9</w:t>
      </w:r>
    </w:p>
    <w:p>
      <w:pPr>
        <w:pStyle w:val="Heading2"/>
      </w:pPr>
      <w:r>
        <w:rPr>
          <w:rFonts w:ascii="Times New Roman" w:cs="Times New Roman" w:eastAsia="Times New Roman" w:hAnsi="Times New Roman"/>
          <w:b/>
          <w:bCs/>
          <w:color w:val="26211F"/>
          <w:sz w:val="22"/>
          <w:szCs w:val="22"/>
        </w:rPr>
        <w:t xml:space="preserve">QB.5: প্রমিসরি নোট কী? এর বৈশিষ্ট্যগুলো কী কী?</w:t>
      </w:r>
    </w:p>
    <w:p>
      <w:pPr>
        <w:spacing w:after="100" w:before="50"/>
      </w:pPr>
      <w:r>
        <w:rPr>
          <w:rFonts w:ascii="Times New Roman" w:cs="Times New Roman" w:eastAsia="Times New Roman" w:hAnsi="Times New Roman"/>
          <w:i/>
          <w:iCs/>
          <w:color w:val="6B6361"/>
          <w:sz w:val="20"/>
          <w:szCs w:val="20"/>
        </w:rPr>
        <w:t xml:space="preserve">(What is a promissory note? What are its features?)</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প্রমিসরি নোট হল একটি লিখিত অঙ্গীকার যাতে একজন ব্যক্তি অন্য ব্যক্তিকে নির্দিষ্ট পরিমাণ অর্থ পরিশোধের প্রতিশ্রুতি দেন। এর বৈশিষ্ট্য: লিখিত হতে হবে, অঙ্গীকার থাকতে হবে, নির্দিষ্ট পরিমাণ অর্থ, স্বাক্ষর থাকতে হবে।</w:t>
      </w:r>
    </w:p>
    <w:p>
      <w:pPr>
        <w:spacing w:after="50" w:before="50"/>
      </w:pPr>
      <w:r>
        <w:rPr>
          <w:rFonts w:ascii="Times New Roman" w:cs="Times New Roman" w:eastAsia="Times New Roman" w:hAnsi="Times New Roman"/>
          <w:i/>
          <w:iCs/>
          <w:color w:val="6B6361"/>
          <w:sz w:val="20"/>
          <w:szCs w:val="20"/>
        </w:rPr>
        <w:t xml:space="preserve">Answer: A promissory note is a written promise where one person promises to pay another person a specific amount of money. Its features: must be written, must contain a promise, must be for a specific amount, and must be signed.</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Negotiable Instruments Act, 1881 - Section 4</w:t>
      </w:r>
    </w:p>
    <w:p>
      <w:pPr>
        <w:pStyle w:val="Heading2"/>
      </w:pPr>
      <w:r>
        <w:rPr>
          <w:rFonts w:ascii="Times New Roman" w:cs="Times New Roman" w:eastAsia="Times New Roman" w:hAnsi="Times New Roman"/>
          <w:b/>
          <w:bCs/>
          <w:color w:val="26211F"/>
          <w:sz w:val="22"/>
          <w:szCs w:val="22"/>
        </w:rPr>
        <w:t xml:space="preserve">QB.6: বিল অফ এক্সচেঞ্জ কী?</w:t>
      </w:r>
    </w:p>
    <w:p>
      <w:pPr>
        <w:spacing w:after="100" w:before="50"/>
      </w:pPr>
      <w:r>
        <w:rPr>
          <w:rFonts w:ascii="Times New Roman" w:cs="Times New Roman" w:eastAsia="Times New Roman" w:hAnsi="Times New Roman"/>
          <w:i/>
          <w:iCs/>
          <w:color w:val="6B6361"/>
          <w:sz w:val="20"/>
          <w:szCs w:val="20"/>
        </w:rPr>
        <w:t xml:space="preserve">(What is a bill of exchange?)</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বিল অফ এক্সচেঞ্জ হল একটি লিখিত দলিল যাতে একজন ব্যক্তি অন্য ব্যক্তিকে নির্দিষ্ট পরিমাণ অর্থ পরিশোধের আদেশ দেন। এতে তিনজন পক্ষ থাকে: আদেশদাতা, আদেশপ্রাপ্ত এবং সুবিধাভোগী।</w:t>
      </w:r>
    </w:p>
    <w:p>
      <w:pPr>
        <w:spacing w:after="50" w:before="50"/>
      </w:pPr>
      <w:r>
        <w:rPr>
          <w:rFonts w:ascii="Times New Roman" w:cs="Times New Roman" w:eastAsia="Times New Roman" w:hAnsi="Times New Roman"/>
          <w:i/>
          <w:iCs/>
          <w:color w:val="6B6361"/>
          <w:sz w:val="20"/>
          <w:szCs w:val="20"/>
        </w:rPr>
        <w:t xml:space="preserve">Answer: A bill of exchange is a written document where one person orders another person to pay a specific amount of money. It involves three parties: the drawer, the drawee, and the payee.</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Negotiable Instruments Act, 1881 - Section 5</w:t>
      </w:r>
    </w:p>
    <w:p>
      <w:pPr>
        <w:pStyle w:val="Heading2"/>
      </w:pPr>
      <w:r>
        <w:rPr>
          <w:rFonts w:ascii="Times New Roman" w:cs="Times New Roman" w:eastAsia="Times New Roman" w:hAnsi="Times New Roman"/>
          <w:b/>
          <w:bCs/>
          <w:color w:val="26211F"/>
          <w:sz w:val="22"/>
          <w:szCs w:val="22"/>
        </w:rPr>
        <w:t xml:space="preserve">QB.7: চেক কী? এর বৈশিষ্ট্যগুলো কী কী?</w:t>
      </w:r>
    </w:p>
    <w:p>
      <w:pPr>
        <w:spacing w:after="100" w:before="50"/>
      </w:pPr>
      <w:r>
        <w:rPr>
          <w:rFonts w:ascii="Times New Roman" w:cs="Times New Roman" w:eastAsia="Times New Roman" w:hAnsi="Times New Roman"/>
          <w:i/>
          <w:iCs/>
          <w:color w:val="6B6361"/>
          <w:sz w:val="20"/>
          <w:szCs w:val="20"/>
        </w:rPr>
        <w:t xml:space="preserve">(What is a cheque? What are its features?)</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চেক হল একটি বিল অফ এক্সচেঞ্জ যা একটি ব্যাংকের উপর আঁকা হয় এবং চাহিবামাত্র পরিশোধযোগ্য। এর বৈশিষ্ট্য: লিখিত, ব্যাংকের উপর আঁকা, নির্দিষ্ট পরিমাণ, চাহিবামাত্র পরিশোধযোগ্য।</w:t>
      </w:r>
    </w:p>
    <w:p>
      <w:pPr>
        <w:spacing w:after="50" w:before="50"/>
      </w:pPr>
      <w:r>
        <w:rPr>
          <w:rFonts w:ascii="Times New Roman" w:cs="Times New Roman" w:eastAsia="Times New Roman" w:hAnsi="Times New Roman"/>
          <w:i/>
          <w:iCs/>
          <w:color w:val="6B6361"/>
          <w:sz w:val="20"/>
          <w:szCs w:val="20"/>
        </w:rPr>
        <w:t xml:space="preserve">Answer: A cheque is a bill of exchange drawn on a bank and payable on demand. Its features: written, drawn on a bank, specific amount, payable on demand.</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Negotiable Instruments Act, 1881 - Section 6</w:t>
      </w:r>
    </w:p>
    <w:p>
      <w:pPr>
        <w:pStyle w:val="Heading2"/>
      </w:pPr>
      <w:r>
        <w:rPr>
          <w:rFonts w:ascii="Times New Roman" w:cs="Times New Roman" w:eastAsia="Times New Roman" w:hAnsi="Times New Roman"/>
          <w:b/>
          <w:bCs/>
          <w:color w:val="26211F"/>
          <w:sz w:val="22"/>
          <w:szCs w:val="22"/>
        </w:rPr>
        <w:t xml:space="preserve">QB.8: এনডোর্সমেন্ট কী? এর প্রকারভেদ কী কী?</w:t>
      </w:r>
    </w:p>
    <w:p>
      <w:pPr>
        <w:spacing w:after="100" w:before="50"/>
      </w:pPr>
      <w:r>
        <w:rPr>
          <w:rFonts w:ascii="Times New Roman" w:cs="Times New Roman" w:eastAsia="Times New Roman" w:hAnsi="Times New Roman"/>
          <w:i/>
          <w:iCs/>
          <w:color w:val="6B6361"/>
          <w:sz w:val="20"/>
          <w:szCs w:val="20"/>
        </w:rPr>
        <w:t xml:space="preserve">(What is endorsement? What are its types?)</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এনডোর্সমেন্ট হল চেক বা বিলের পিছনে স্বাক্ষর করে তা অন্য ব্যক্তিকে স্থানান্তর করা। প্রকারভেদ: ফাঁকা এনডোর্সমেন্ট, পূর্ণ এনডোর্সমেন্ট, প্রতিবন্ধক এনডোর্সমেন্ট, শর্তযুক্ত এনডোর্সমেন্ট।</w:t>
      </w:r>
    </w:p>
    <w:p>
      <w:pPr>
        <w:spacing w:after="50" w:before="50"/>
      </w:pPr>
      <w:r>
        <w:rPr>
          <w:rFonts w:ascii="Times New Roman" w:cs="Times New Roman" w:eastAsia="Times New Roman" w:hAnsi="Times New Roman"/>
          <w:i/>
          <w:iCs/>
          <w:color w:val="6B6361"/>
          <w:sz w:val="20"/>
          <w:szCs w:val="20"/>
        </w:rPr>
        <w:t xml:space="preserve">Answer: Endorsement is signing on the back of a cheque or bill to transfer it to another person. Types: blank endorsement, full endorsement, restrictive endorsement, conditional endorsement.</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Negotiable Instruments Act, 1881 - Section 15-50</w:t>
      </w:r>
    </w:p>
    <w:p>
      <w:pPr>
        <w:pStyle w:val="Heading2"/>
      </w:pPr>
      <w:r>
        <w:rPr>
          <w:rFonts w:ascii="Times New Roman" w:cs="Times New Roman" w:eastAsia="Times New Roman" w:hAnsi="Times New Roman"/>
          <w:b/>
          <w:bCs/>
          <w:color w:val="26211F"/>
          <w:sz w:val="22"/>
          <w:szCs w:val="22"/>
        </w:rPr>
        <w:t xml:space="preserve">QB.9: স্টেল চেক কী?</w:t>
      </w:r>
    </w:p>
    <w:p>
      <w:pPr>
        <w:spacing w:after="100" w:before="50"/>
      </w:pPr>
      <w:r>
        <w:rPr>
          <w:rFonts w:ascii="Times New Roman" w:cs="Times New Roman" w:eastAsia="Times New Roman" w:hAnsi="Times New Roman"/>
          <w:i/>
          <w:iCs/>
          <w:color w:val="6B6361"/>
          <w:sz w:val="20"/>
          <w:szCs w:val="20"/>
        </w:rPr>
        <w:t xml:space="preserve">(What is a stale cheque?)</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যে চেক ইস্যুর তারিখ থেকে ৬ মাস বা তার বেশি সময় পার হয়ে গেছে, তাকে স্টেল চেক বলা হয়। ব্যাংক সাধারণত স্টেল চেক পরিশোধ করে না।</w:t>
      </w:r>
    </w:p>
    <w:p>
      <w:pPr>
        <w:spacing w:after="50" w:before="50"/>
      </w:pPr>
      <w:r>
        <w:rPr>
          <w:rFonts w:ascii="Times New Roman" w:cs="Times New Roman" w:eastAsia="Times New Roman" w:hAnsi="Times New Roman"/>
          <w:i/>
          <w:iCs/>
          <w:color w:val="6B6361"/>
          <w:sz w:val="20"/>
          <w:szCs w:val="20"/>
        </w:rPr>
        <w:t xml:space="preserve">Answer: A cheque that is more than 6 months old from the date of issue is called a stale cheque. Banks generally do not pay stale cheques.</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Banking Practice - Bangladesh Bank Guidelines</w:t>
      </w:r>
    </w:p>
    <w:p>
      <w:pPr>
        <w:pStyle w:val="Heading2"/>
      </w:pPr>
      <w:r>
        <w:rPr>
          <w:rFonts w:ascii="Times New Roman" w:cs="Times New Roman" w:eastAsia="Times New Roman" w:hAnsi="Times New Roman"/>
          <w:b/>
          <w:bCs/>
          <w:color w:val="26211F"/>
          <w:sz w:val="22"/>
          <w:szCs w:val="22"/>
        </w:rPr>
        <w:t xml:space="preserve">QB.10: এন্টিডেটেড চেক ও পোস্টডেটেড চেক কী?</w:t>
      </w:r>
    </w:p>
    <w:p>
      <w:pPr>
        <w:spacing w:after="100" w:before="50"/>
      </w:pPr>
      <w:r>
        <w:rPr>
          <w:rFonts w:ascii="Times New Roman" w:cs="Times New Roman" w:eastAsia="Times New Roman" w:hAnsi="Times New Roman"/>
          <w:i/>
          <w:iCs/>
          <w:color w:val="6B6361"/>
          <w:sz w:val="20"/>
          <w:szCs w:val="20"/>
        </w:rPr>
        <w:t xml:space="preserve">(What are antedated and post-dated cheques?)</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এন্টিডেটেড চেক হল যার তারিখ বর্তমান তারিখের আগের তারিখ। পোস্টডেটেড চেক হল যার তারিখ বর্তমান তারিখের পরের তারিখ। উভয়ই বৈধ চেক।</w:t>
      </w:r>
    </w:p>
    <w:p>
      <w:pPr>
        <w:spacing w:after="50" w:before="50"/>
      </w:pPr>
      <w:r>
        <w:rPr>
          <w:rFonts w:ascii="Times New Roman" w:cs="Times New Roman" w:eastAsia="Times New Roman" w:hAnsi="Times New Roman"/>
          <w:i/>
          <w:iCs/>
          <w:color w:val="6B6361"/>
          <w:sz w:val="20"/>
          <w:szCs w:val="20"/>
        </w:rPr>
        <w:t xml:space="preserve">Answer: An antedated cheque is one dated before the current date. A post-dated cheque is one dated after the current date. Both are valid cheques.</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Negotiable Instruments Act, 1881 - Section 20</w:t>
      </w:r>
    </w:p>
    <w:p>
      <w:pPr>
        <w:pStyle w:val="Heading1"/>
      </w:pPr>
      <w:r>
        <w:rPr>
          <w:rFonts w:ascii="Times New Roman" w:cs="Times New Roman" w:eastAsia="Times New Roman" w:hAnsi="Times New Roman"/>
          <w:b/>
          <w:bCs/>
          <w:color w:val="26211F"/>
        </w:rPr>
        <w:t xml:space="preserve">MODULE C: Financial Activities Related Laws</w:t>
      </w:r>
    </w:p>
    <w:p>
      <w:pPr>
        <w:spacing w:after="200"/>
      </w:pPr>
      <w:r>
        <w:rPr>
          <w:rFonts w:ascii="Times New Roman" w:cs="Times New Roman" w:eastAsia="Times New Roman" w:hAnsi="Times New Roman"/>
          <w:color w:val="3D3735"/>
          <w:sz w:val="22"/>
          <w:szCs w:val="22"/>
        </w:rPr>
        <w:t xml:space="preserve">This module covers Foreign Exchange Regulation Act 1947, Money Laundering Prevention Act 2012, and Anti-Terrorism Act 2009.</w:t>
      </w:r>
    </w:p>
    <w:p>
      <w:pPr>
        <w:pStyle w:val="Heading2"/>
      </w:pPr>
      <w:r>
        <w:rPr>
          <w:rFonts w:ascii="Times New Roman" w:cs="Times New Roman" w:eastAsia="Times New Roman" w:hAnsi="Times New Roman"/>
          <w:b/>
          <w:bCs/>
          <w:color w:val="26211F"/>
          <w:sz w:val="22"/>
          <w:szCs w:val="22"/>
        </w:rPr>
        <w:t xml:space="preserve">QC.1: মানি লন্ডারিং কী?</w:t>
      </w:r>
    </w:p>
    <w:p>
      <w:pPr>
        <w:spacing w:after="100" w:before="50"/>
      </w:pPr>
      <w:r>
        <w:rPr>
          <w:rFonts w:ascii="Times New Roman" w:cs="Times New Roman" w:eastAsia="Times New Roman" w:hAnsi="Times New Roman"/>
          <w:i/>
          <w:iCs/>
          <w:color w:val="6B6361"/>
          <w:sz w:val="20"/>
          <w:szCs w:val="20"/>
        </w:rPr>
        <w:t xml:space="preserve">(What is money laundering?)</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মানি লন্ডারিং হল অবৈধ উপায়ে অর্জিত অর্থকে বৈধ উপায়ে অর্জিত বলে প্রমাণ করার প্রক্রিয়া। এটি মূলত তিনটি ধাপে সম্পন্ন হয়: স্থাপন (Placement), স্তরীকরণ (Layering) এবং সংহতকরণ (Integration)।</w:t>
      </w:r>
    </w:p>
    <w:p>
      <w:pPr>
        <w:spacing w:after="50" w:before="50"/>
      </w:pPr>
      <w:r>
        <w:rPr>
          <w:rFonts w:ascii="Times New Roman" w:cs="Times New Roman" w:eastAsia="Times New Roman" w:hAnsi="Times New Roman"/>
          <w:i/>
          <w:iCs/>
          <w:color w:val="6B6361"/>
          <w:sz w:val="20"/>
          <w:szCs w:val="20"/>
        </w:rPr>
        <w:t xml:space="preserve">Answer: Money laundering is the process of making illegally obtained money appear to have been obtained legally. It is mainly completed in three stages: Placement, Layering, and Integration.</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Money Laundering Prevention Act, 2012 - Section 2</w:t>
      </w:r>
    </w:p>
    <w:p>
      <w:pPr>
        <w:pStyle w:val="Heading2"/>
      </w:pPr>
      <w:r>
        <w:rPr>
          <w:rFonts w:ascii="Times New Roman" w:cs="Times New Roman" w:eastAsia="Times New Roman" w:hAnsi="Times New Roman"/>
          <w:b/>
          <w:bCs/>
          <w:color w:val="26211F"/>
          <w:sz w:val="22"/>
          <w:szCs w:val="22"/>
        </w:rPr>
        <w:t xml:space="preserve">QC.2: CTR ও STR কী?</w:t>
      </w:r>
    </w:p>
    <w:p>
      <w:pPr>
        <w:spacing w:after="100" w:before="50"/>
      </w:pPr>
      <w:r>
        <w:rPr>
          <w:rFonts w:ascii="Times New Roman" w:cs="Times New Roman" w:eastAsia="Times New Roman" w:hAnsi="Times New Roman"/>
          <w:i/>
          <w:iCs/>
          <w:color w:val="6B6361"/>
          <w:sz w:val="20"/>
          <w:szCs w:val="20"/>
        </w:rPr>
        <w:t xml:space="preserve">(What are CTR and STR?)</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CTR (Cash Transaction Report) হল ১৫ লাখ টাকা বা তার বেশি নগদ লেনদেনের প্রতিবেদন। STR (Suspicious Transaction Report) হল সন্দেহজনক লেনদেনের প্রতিবেদন যা BFIU তে জমা দিতে হয়।</w:t>
      </w:r>
    </w:p>
    <w:p>
      <w:pPr>
        <w:spacing w:after="50" w:before="50"/>
      </w:pPr>
      <w:r>
        <w:rPr>
          <w:rFonts w:ascii="Times New Roman" w:cs="Times New Roman" w:eastAsia="Times New Roman" w:hAnsi="Times New Roman"/>
          <w:i/>
          <w:iCs/>
          <w:color w:val="6B6361"/>
          <w:sz w:val="20"/>
          <w:szCs w:val="20"/>
        </w:rPr>
        <w:t xml:space="preserve">Answer: CTR (Cash Transaction Report) is a report for cash transactions of Tk. 15 lakh or more. STR (Suspicious Transaction Report) is a report on suspicious transactions that must be submitted to BFIU.</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Money Laundering Prevention Act, 2012</w:t>
      </w:r>
    </w:p>
    <w:p>
      <w:pPr>
        <w:pStyle w:val="Heading2"/>
      </w:pPr>
      <w:r>
        <w:rPr>
          <w:rFonts w:ascii="Times New Roman" w:cs="Times New Roman" w:eastAsia="Times New Roman" w:hAnsi="Times New Roman"/>
          <w:b/>
          <w:bCs/>
          <w:color w:val="26211F"/>
          <w:sz w:val="22"/>
          <w:szCs w:val="22"/>
        </w:rPr>
        <w:t xml:space="preserve">QC.3: সন্দেহজনক লেনদেনের লক্ষণগুলো কী কী?</w:t>
      </w:r>
    </w:p>
    <w:p>
      <w:pPr>
        <w:spacing w:after="100" w:before="50"/>
      </w:pPr>
      <w:r>
        <w:rPr>
          <w:rFonts w:ascii="Times New Roman" w:cs="Times New Roman" w:eastAsia="Times New Roman" w:hAnsi="Times New Roman"/>
          <w:i/>
          <w:iCs/>
          <w:color w:val="6B6361"/>
          <w:sz w:val="20"/>
          <w:szCs w:val="20"/>
        </w:rPr>
        <w:t xml:space="preserve">(What are the indicators of suspicious transactions?)</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সন্দেহজনক লেনদেনের লক্ষণ: অস্বাভাবিক বড় অঙ্কের লেনদেন, গ্রাহকের আয়ের সাথে সামঞ্জস্যপূর্ণ নয় এমন লেনদেন, জটিল লেনদেনের প্যাটার্ন, উচ্চ ঝুঁকিপূর্ণ দেশে লেনদেন।</w:t>
      </w:r>
    </w:p>
    <w:p>
      <w:pPr>
        <w:spacing w:after="50" w:before="50"/>
      </w:pPr>
      <w:r>
        <w:rPr>
          <w:rFonts w:ascii="Times New Roman" w:cs="Times New Roman" w:eastAsia="Times New Roman" w:hAnsi="Times New Roman"/>
          <w:i/>
          <w:iCs/>
          <w:color w:val="6B6361"/>
          <w:sz w:val="20"/>
          <w:szCs w:val="20"/>
        </w:rPr>
        <w:t xml:space="preserve">Answer: Indicators of suspicious transactions: unusually large transactions, transactions inconsistent with customer's income, complex transaction patterns, transactions with high-risk countries.</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BFIU Guidelines</w:t>
      </w:r>
    </w:p>
    <w:p>
      <w:pPr>
        <w:pStyle w:val="Heading2"/>
      </w:pPr>
      <w:r>
        <w:rPr>
          <w:rFonts w:ascii="Times New Roman" w:cs="Times New Roman" w:eastAsia="Times New Roman" w:hAnsi="Times New Roman"/>
          <w:b/>
          <w:bCs/>
          <w:color w:val="26211F"/>
          <w:sz w:val="22"/>
          <w:szCs w:val="22"/>
        </w:rPr>
        <w:t xml:space="preserve">QC.4: মানি লন্ডারিং প্রতিরোধ আইনে শাস্তির বিধান কী?</w:t>
      </w:r>
    </w:p>
    <w:p>
      <w:pPr>
        <w:spacing w:after="100" w:before="50"/>
      </w:pPr>
      <w:r>
        <w:rPr>
          <w:rFonts w:ascii="Times New Roman" w:cs="Times New Roman" w:eastAsia="Times New Roman" w:hAnsi="Times New Roman"/>
          <w:i/>
          <w:iCs/>
          <w:color w:val="6B6361"/>
          <w:sz w:val="20"/>
          <w:szCs w:val="20"/>
        </w:rPr>
        <w:t xml:space="preserve">(What are the punishment provisions under the Money Laundering Prevention Act?)</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মানি লন্ডারিং প্রতিরোধ আইন, ২০১২ অনুযায়ী, মানি লন্ডারিংয়ের জন্য সর্বোচ্চ ৭ বছরের কারাদণ্ড এবং অপরাধে জড়িত সম্পত্তি বাজেয়াপ্ত করা হতে পারে। মিথ্যা তথ্য প্রদানের জন্যও শাস্তি আছে।</w:t>
      </w:r>
    </w:p>
    <w:p>
      <w:pPr>
        <w:spacing w:after="50" w:before="50"/>
      </w:pPr>
      <w:r>
        <w:rPr>
          <w:rFonts w:ascii="Times New Roman" w:cs="Times New Roman" w:eastAsia="Times New Roman" w:hAnsi="Times New Roman"/>
          <w:i/>
          <w:iCs/>
          <w:color w:val="6B6361"/>
          <w:sz w:val="20"/>
          <w:szCs w:val="20"/>
        </w:rPr>
        <w:t xml:space="preserve">Answer: Under the Money Laundering Prevention Act, 2012, money laundering can result in a maximum of 7 years imprisonment and confiscation of property involved in the crime. There are also punishments for providing false information.</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Money Laundering Prevention Act, 2012 - Section 4</w:t>
      </w:r>
    </w:p>
    <w:p>
      <w:pPr>
        <w:pStyle w:val="Heading2"/>
      </w:pPr>
      <w:r>
        <w:rPr>
          <w:rFonts w:ascii="Times New Roman" w:cs="Times New Roman" w:eastAsia="Times New Roman" w:hAnsi="Times New Roman"/>
          <w:b/>
          <w:bCs/>
          <w:color w:val="26211F"/>
          <w:sz w:val="22"/>
          <w:szCs w:val="22"/>
        </w:rPr>
        <w:t xml:space="preserve">QC.5: বিদেশি মুদ্রা বিনিময় আইন, ১৯৪৭ এর উদ্দেশ্য কী?</w:t>
      </w:r>
    </w:p>
    <w:p>
      <w:pPr>
        <w:spacing w:after="100" w:before="50"/>
      </w:pPr>
      <w:r>
        <w:rPr>
          <w:rFonts w:ascii="Times New Roman" w:cs="Times New Roman" w:eastAsia="Times New Roman" w:hAnsi="Times New Roman"/>
          <w:i/>
          <w:iCs/>
          <w:color w:val="6B6361"/>
          <w:sz w:val="20"/>
          <w:szCs w:val="20"/>
        </w:rPr>
        <w:t xml:space="preserve">(What is the purpose of the Foreign Exchange Regulation Act, 1947?)</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এই আইনের উদ্দেশ্য হল বিদেশি মুদ্রা বিনিময় নিয়ন্ত্রণ করা, বৈদেশিক বাণিজ্য নিয়ন্ত্রণ করা এবং দেশের বৈদেশিক মুদ্রার রিজার্ভ সুরক্ষিত রাখা।</w:t>
      </w:r>
    </w:p>
    <w:p>
      <w:pPr>
        <w:spacing w:after="50" w:before="50"/>
      </w:pPr>
      <w:r>
        <w:rPr>
          <w:rFonts w:ascii="Times New Roman" w:cs="Times New Roman" w:eastAsia="Times New Roman" w:hAnsi="Times New Roman"/>
          <w:i/>
          <w:iCs/>
          <w:color w:val="6B6361"/>
          <w:sz w:val="20"/>
          <w:szCs w:val="20"/>
        </w:rPr>
        <w:t xml:space="preserve">Answer: The purpose of this Act is to control foreign exchange transactions, regulate foreign trade, and protect the country's foreign exchange reserves.</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Foreign Exchange Regulation Act, 1947</w:t>
      </w:r>
    </w:p>
    <w:p>
      <w:pPr>
        <w:pStyle w:val="Heading2"/>
      </w:pPr>
      <w:r>
        <w:rPr>
          <w:rFonts w:ascii="Times New Roman" w:cs="Times New Roman" w:eastAsia="Times New Roman" w:hAnsi="Times New Roman"/>
          <w:b/>
          <w:bCs/>
          <w:color w:val="26211F"/>
          <w:sz w:val="22"/>
          <w:szCs w:val="22"/>
        </w:rPr>
        <w:t xml:space="preserve">QC.6: অথোরাইজড ডিলার কারা?</w:t>
      </w:r>
    </w:p>
    <w:p>
      <w:pPr>
        <w:spacing w:after="100" w:before="50"/>
      </w:pPr>
      <w:r>
        <w:rPr>
          <w:rFonts w:ascii="Times New Roman" w:cs="Times New Roman" w:eastAsia="Times New Roman" w:hAnsi="Times New Roman"/>
          <w:i/>
          <w:iCs/>
          <w:color w:val="6B6361"/>
          <w:sz w:val="20"/>
          <w:szCs w:val="20"/>
        </w:rPr>
        <w:t xml:space="preserve">(Who are authorized dealers?)</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অথোরাইজড ডিলার হলেন বাংলাদেশ ব্যাংক কর্তৃক অনুমোদিত ব্যক্তি বা প্রতিষ্ঠান যারা বৈদেশিক মুদ্রার লেনদেন করতে পারেন। সাধারণত বাণিজ্যিক ব্যাংকগুলোর AD শাখাগুলো এই কার্যক্রম পরিচালনা করে।</w:t>
      </w:r>
    </w:p>
    <w:p>
      <w:pPr>
        <w:spacing w:after="50" w:before="50"/>
      </w:pPr>
      <w:r>
        <w:rPr>
          <w:rFonts w:ascii="Times New Roman" w:cs="Times New Roman" w:eastAsia="Times New Roman" w:hAnsi="Times New Roman"/>
          <w:i/>
          <w:iCs/>
          <w:color w:val="6B6361"/>
          <w:sz w:val="20"/>
          <w:szCs w:val="20"/>
        </w:rPr>
        <w:t xml:space="preserve">Answer: Authorized dealers are persons or institutions authorized by Bangladesh Bank to conduct foreign exchange transactions. Generally, AD branches of commercial banks conduct these activities.</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Foreign Exchange Regulation Act, 1947 - Section 3</w:t>
      </w:r>
    </w:p>
    <w:p>
      <w:pPr>
        <w:pStyle w:val="Heading2"/>
      </w:pPr>
      <w:r>
        <w:rPr>
          <w:rFonts w:ascii="Times New Roman" w:cs="Times New Roman" w:eastAsia="Times New Roman" w:hAnsi="Times New Roman"/>
          <w:b/>
          <w:bCs/>
          <w:color w:val="26211F"/>
          <w:sz w:val="22"/>
          <w:szCs w:val="22"/>
        </w:rPr>
        <w:t xml:space="preserve">QC.7: ব্লকড অ্যাকাউন্ট ও স্পেশাল অ্যাকাউন্ট কী?</w:t>
      </w:r>
    </w:p>
    <w:p>
      <w:pPr>
        <w:spacing w:after="100" w:before="50"/>
      </w:pPr>
      <w:r>
        <w:rPr>
          <w:rFonts w:ascii="Times New Roman" w:cs="Times New Roman" w:eastAsia="Times New Roman" w:hAnsi="Times New Roman"/>
          <w:i/>
          <w:iCs/>
          <w:color w:val="6B6361"/>
          <w:sz w:val="20"/>
          <w:szCs w:val="20"/>
        </w:rPr>
        <w:t xml:space="preserve">(What are blocked account and special account?)</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ব্লকড অ্যাকাউন্ট হল এমন হিসাব যা বিশেষ অনুমতি ছাড়া তহবিল তোলা যায় না। স্পেশাল অ্যাকাউন্ট হল বিদেশিদের জন্য বিশেষ ধরনের হিসাব যা নির্দিষ্ট শর্তে পরিচালিত হয়।</w:t>
      </w:r>
    </w:p>
    <w:p>
      <w:pPr>
        <w:spacing w:after="50" w:before="50"/>
      </w:pPr>
      <w:r>
        <w:rPr>
          <w:rFonts w:ascii="Times New Roman" w:cs="Times New Roman" w:eastAsia="Times New Roman" w:hAnsi="Times New Roman"/>
          <w:i/>
          <w:iCs/>
          <w:color w:val="6B6361"/>
          <w:sz w:val="20"/>
          <w:szCs w:val="20"/>
        </w:rPr>
        <w:t xml:space="preserve">Answer: A blocked account is one from which funds cannot be withdrawn without special permission. A special account is a special type of account for foreigners operated under specific conditions.</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Foreign Exchange Regulation Act, 1947 - Section 17</w:t>
      </w:r>
    </w:p>
    <w:p>
      <w:pPr>
        <w:pStyle w:val="Heading2"/>
      </w:pPr>
      <w:r>
        <w:rPr>
          <w:rFonts w:ascii="Times New Roman" w:cs="Times New Roman" w:eastAsia="Times New Roman" w:hAnsi="Times New Roman"/>
          <w:b/>
          <w:bCs/>
          <w:color w:val="26211F"/>
          <w:sz w:val="22"/>
          <w:szCs w:val="22"/>
        </w:rPr>
        <w:t xml:space="preserve">QC.8: হুন্ডি কী? এটি কেন ক্ষতিকর?</w:t>
      </w:r>
    </w:p>
    <w:p>
      <w:pPr>
        <w:spacing w:after="100" w:before="50"/>
      </w:pPr>
      <w:r>
        <w:rPr>
          <w:rFonts w:ascii="Times New Roman" w:cs="Times New Roman" w:eastAsia="Times New Roman" w:hAnsi="Times New Roman"/>
          <w:i/>
          <w:iCs/>
          <w:color w:val="6B6361"/>
          <w:sz w:val="20"/>
          <w:szCs w:val="20"/>
        </w:rPr>
        <w:t xml:space="preserve">(What is Hundi? Why is it harmful?)</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হুন্ডি হল অবৈধ মাধ্যমে অর্থ স্থানান্তর। এটি ক্ষতিকর কারণ এতে দেশের বৈদেশিক মুদ্রা বিদেশে চলে যায়, সরকার রাজস্ব হারায়, এবং মানি লন্ডারিং বৃদ্ধি পায়।</w:t>
      </w:r>
    </w:p>
    <w:p>
      <w:pPr>
        <w:spacing w:after="50" w:before="50"/>
      </w:pPr>
      <w:r>
        <w:rPr>
          <w:rFonts w:ascii="Times New Roman" w:cs="Times New Roman" w:eastAsia="Times New Roman" w:hAnsi="Times New Roman"/>
          <w:i/>
          <w:iCs/>
          <w:color w:val="6B6361"/>
          <w:sz w:val="20"/>
          <w:szCs w:val="20"/>
        </w:rPr>
        <w:t xml:space="preserve">Answer: Hundi is an illegal money transfer method. It is harmful because foreign currency leaves the country, the government loses revenue, and money laundering increases.</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Money Laundering Prevention Act, 2012</w:t>
      </w:r>
    </w:p>
    <w:p>
      <w:pPr>
        <w:pStyle w:val="Heading1"/>
      </w:pPr>
      <w:r>
        <w:rPr>
          <w:rFonts w:ascii="Times New Roman" w:cs="Times New Roman" w:eastAsia="Times New Roman" w:hAnsi="Times New Roman"/>
          <w:b/>
          <w:bCs/>
          <w:color w:val="26211F"/>
        </w:rPr>
        <w:t xml:space="preserve">MODULE D: Business Related Laws</w:t>
      </w:r>
    </w:p>
    <w:p>
      <w:pPr>
        <w:spacing w:after="200"/>
      </w:pPr>
      <w:r>
        <w:rPr>
          <w:rFonts w:ascii="Times New Roman" w:cs="Times New Roman" w:eastAsia="Times New Roman" w:hAnsi="Times New Roman"/>
          <w:color w:val="3D3735"/>
          <w:sz w:val="22"/>
          <w:szCs w:val="22"/>
        </w:rPr>
        <w:t xml:space="preserve">This module covers Companies Act 1994, Contract Act 1872, Transfer of Property Act 1882, Limitation Act 1908, Bankruptcy Act 1997, Stamp Act 1899, Partnership Act 1932, and Registration Act 1908.</w:t>
      </w:r>
    </w:p>
    <w:p>
      <w:pPr>
        <w:pStyle w:val="Heading2"/>
      </w:pPr>
      <w:r>
        <w:rPr>
          <w:rFonts w:ascii="Times New Roman" w:cs="Times New Roman" w:eastAsia="Times New Roman" w:hAnsi="Times New Roman"/>
          <w:b/>
          <w:bCs/>
          <w:color w:val="26211F"/>
          <w:sz w:val="22"/>
          <w:szCs w:val="22"/>
        </w:rPr>
        <w:t xml:space="preserve">QD.1: চুক্তি লঙ্ঘনের জন্য মামলা দায়েরের সীমাবদ্ধতার মেয়াদ কত?</w:t>
      </w:r>
    </w:p>
    <w:p>
      <w:pPr>
        <w:spacing w:after="100" w:before="50"/>
      </w:pPr>
      <w:r>
        <w:rPr>
          <w:rFonts w:ascii="Times New Roman" w:cs="Times New Roman" w:eastAsia="Times New Roman" w:hAnsi="Times New Roman"/>
          <w:i/>
          <w:iCs/>
          <w:color w:val="6B6361"/>
          <w:sz w:val="20"/>
          <w:szCs w:val="20"/>
        </w:rPr>
        <w:t xml:space="preserve">(What is the limitation period for filing a suit for breach of contract?)</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চুক্তি লঙ্ঘনের জন্য মামলা দায়েরের সীমাবদ্ধতার মেয়াদ ৩ বছর। চুক্তি লঙ্ঘনের তারিখ থেকে ৩ বছরের মধ্যে মামলা দায়ের করতে হবে।</w:t>
      </w:r>
    </w:p>
    <w:p>
      <w:pPr>
        <w:spacing w:after="50" w:before="50"/>
      </w:pPr>
      <w:r>
        <w:rPr>
          <w:rFonts w:ascii="Times New Roman" w:cs="Times New Roman" w:eastAsia="Times New Roman" w:hAnsi="Times New Roman"/>
          <w:i/>
          <w:iCs/>
          <w:color w:val="6B6361"/>
          <w:sz w:val="20"/>
          <w:szCs w:val="20"/>
        </w:rPr>
        <w:t xml:space="preserve">Answer: The limitation period for filing a suit for breach of contract is 3 years. The suit must be filed within 3 years from the date of breach of contract.</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Limitation Act, 1908 - Article 113</w:t>
      </w:r>
    </w:p>
    <w:p>
      <w:pPr>
        <w:pStyle w:val="Heading2"/>
      </w:pPr>
      <w:r>
        <w:rPr>
          <w:rFonts w:ascii="Times New Roman" w:cs="Times New Roman" w:eastAsia="Times New Roman" w:hAnsi="Times New Roman"/>
          <w:b/>
          <w:bCs/>
          <w:color w:val="26211F"/>
          <w:sz w:val="22"/>
          <w:szCs w:val="22"/>
        </w:rPr>
        <w:t xml:space="preserve">QD.2: নোটারি এ্যাট ও স্ট্যাম্পের মধ্যে পার্থক্য কী?</w:t>
      </w:r>
    </w:p>
    <w:p>
      <w:pPr>
        <w:spacing w:after="100" w:before="50"/>
      </w:pPr>
      <w:r>
        <w:rPr>
          <w:rFonts w:ascii="Times New Roman" w:cs="Times New Roman" w:eastAsia="Times New Roman" w:hAnsi="Times New Roman"/>
          <w:i/>
          <w:iCs/>
          <w:color w:val="6B6361"/>
          <w:sz w:val="20"/>
          <w:szCs w:val="20"/>
        </w:rPr>
        <w:t xml:space="preserve">(What is the difference between Notary and Stamp?)</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নোটারি এ্যাট হল নোটারি পাবলিক কর্তৃক প্রত্যয়িত দলিল যা সত্যতা নিশ্চিত করে। স্ট্যাম্প হল সরকারি শুল্ক যা দলিলের বৈধতার জন্য প্রয়োজন।</w:t>
      </w:r>
    </w:p>
    <w:p>
      <w:pPr>
        <w:spacing w:after="50" w:before="50"/>
      </w:pPr>
      <w:r>
        <w:rPr>
          <w:rFonts w:ascii="Times New Roman" w:cs="Times New Roman" w:eastAsia="Times New Roman" w:hAnsi="Times New Roman"/>
          <w:i/>
          <w:iCs/>
          <w:color w:val="6B6361"/>
          <w:sz w:val="20"/>
          <w:szCs w:val="20"/>
        </w:rPr>
        <w:t xml:space="preserve">Answer: A Notary is a document certified by a Notary Public which ensures authenticity. A Stamp is a government fee required for the validity of a document.</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The Stamp Act, 1899 &amp; Notaries Act, 1952</w:t>
      </w:r>
    </w:p>
    <w:p>
      <w:pPr>
        <w:pStyle w:val="Heading2"/>
      </w:pPr>
      <w:r>
        <w:rPr>
          <w:rFonts w:ascii="Times New Roman" w:cs="Times New Roman" w:eastAsia="Times New Roman" w:hAnsi="Times New Roman"/>
          <w:b/>
          <w:bCs/>
          <w:color w:val="26211F"/>
          <w:sz w:val="22"/>
          <w:szCs w:val="22"/>
        </w:rPr>
        <w:t xml:space="preserve">QD.3: প্রতিশ্রুতি ও চুক্তির মধ্যে পার্থক্য কী?</w:t>
      </w:r>
    </w:p>
    <w:p>
      <w:pPr>
        <w:spacing w:after="100" w:before="50"/>
      </w:pPr>
      <w:r>
        <w:rPr>
          <w:rFonts w:ascii="Times New Roman" w:cs="Times New Roman" w:eastAsia="Times New Roman" w:hAnsi="Times New Roman"/>
          <w:i/>
          <w:iCs/>
          <w:color w:val="6B6361"/>
          <w:sz w:val="20"/>
          <w:szCs w:val="20"/>
        </w:rPr>
        <w:t xml:space="preserve">(What is the difference between promise and contract?)</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প্রতিশ্রুতি হল একজনের পক্ষ থেকে অন্যজনকে কিছু করার বা না করার প্রস্তাব। চুক্তি হল আইন দ্বারা প্রয়োগযোগ্য চুক্তি। সকল চুক্তিই প্রতিশ্রুতি, কিন্তু সকল প্রতিশ্রুতিই চুক্তি নয়।</w:t>
      </w:r>
    </w:p>
    <w:p>
      <w:pPr>
        <w:spacing w:after="50" w:before="50"/>
      </w:pPr>
      <w:r>
        <w:rPr>
          <w:rFonts w:ascii="Times New Roman" w:cs="Times New Roman" w:eastAsia="Times New Roman" w:hAnsi="Times New Roman"/>
          <w:i/>
          <w:iCs/>
          <w:color w:val="6B6361"/>
          <w:sz w:val="20"/>
          <w:szCs w:val="20"/>
        </w:rPr>
        <w:t xml:space="preserve">Answer: A promise is a proposal by one person to another to do or not do something. A contract is an agreement enforceable by law. All contracts are promises, but not all promises are contracts.</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Contract Act, 1872 - Section 2</w:t>
      </w:r>
    </w:p>
    <w:p>
      <w:pPr>
        <w:pStyle w:val="Heading2"/>
      </w:pPr>
      <w:r>
        <w:rPr>
          <w:rFonts w:ascii="Times New Roman" w:cs="Times New Roman" w:eastAsia="Times New Roman" w:hAnsi="Times New Roman"/>
          <w:b/>
          <w:bCs/>
          <w:color w:val="26211F"/>
          <w:sz w:val="22"/>
          <w:szCs w:val="22"/>
        </w:rPr>
        <w:t xml:space="preserve">QD.4: গ্যারান্টি ও ক্ষতিপূরণের মধ্যে পার্থক্য কী?</w:t>
      </w:r>
    </w:p>
    <w:p>
      <w:pPr>
        <w:spacing w:after="100" w:before="50"/>
      </w:pPr>
      <w:r>
        <w:rPr>
          <w:rFonts w:ascii="Times New Roman" w:cs="Times New Roman" w:eastAsia="Times New Roman" w:hAnsi="Times New Roman"/>
          <w:i/>
          <w:iCs/>
          <w:color w:val="6B6361"/>
          <w:sz w:val="20"/>
          <w:szCs w:val="20"/>
        </w:rPr>
        <w:t xml:space="preserve">(What is the difference between guarantee and indemnity?)</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গ্যারান্টিতে তিনজন পক্ষ থাকে: নিশ্চয়তাদাতা, ঋণগ্রহীতা এবং সুবিধাভোগী। ক্ষতিপূরণে দুজন পক্ষ থাকে: ক্ষতিপূরণদাতা এবং ক্ষতিগ্রস্ত।</w:t>
      </w:r>
    </w:p>
    <w:p>
      <w:pPr>
        <w:spacing w:after="50" w:before="50"/>
      </w:pPr>
      <w:r>
        <w:rPr>
          <w:rFonts w:ascii="Times New Roman" w:cs="Times New Roman" w:eastAsia="Times New Roman" w:hAnsi="Times New Roman"/>
          <w:i/>
          <w:iCs/>
          <w:color w:val="6B6361"/>
          <w:sz w:val="20"/>
          <w:szCs w:val="20"/>
        </w:rPr>
        <w:t xml:space="preserve">Answer: In a guarantee, there are three parties: surety, principal debtor, and creditor. In an indemnity, there are two parties: indemnifier and indemnified.</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Contract Act, 1872 - Section 124, 126</w:t>
      </w:r>
    </w:p>
    <w:p>
      <w:pPr>
        <w:pStyle w:val="Heading2"/>
      </w:pPr>
      <w:r>
        <w:rPr>
          <w:rFonts w:ascii="Times New Roman" w:cs="Times New Roman" w:eastAsia="Times New Roman" w:hAnsi="Times New Roman"/>
          <w:b/>
          <w:bCs/>
          <w:color w:val="26211F"/>
          <w:sz w:val="22"/>
          <w:szCs w:val="22"/>
        </w:rPr>
        <w:t xml:space="preserve">QD.5: জামানত ও বন্ধকের মধ্যে পার্থক্য কী?</w:t>
      </w:r>
    </w:p>
    <w:p>
      <w:pPr>
        <w:spacing w:after="100" w:before="50"/>
      </w:pPr>
      <w:r>
        <w:rPr>
          <w:rFonts w:ascii="Times New Roman" w:cs="Times New Roman" w:eastAsia="Times New Roman" w:hAnsi="Times New Roman"/>
          <w:i/>
          <w:iCs/>
          <w:color w:val="6B6361"/>
          <w:sz w:val="20"/>
          <w:szCs w:val="20"/>
        </w:rPr>
        <w:t xml:space="preserve">(What is the difference between pledge and mortgage?)</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জামানতে সম্পত্তির দখল পণদাতার কাছে থাকে। বন্ধকে সম্পত্তির দখল বন্ধকদাতার কাছে থাকে। জামানত সাধারণত ব্যক্তিগত সম্পত্তিতে হয়, বন্ধক সাধারণত অস্থাবর সম্পত্তিতে হয়।</w:t>
      </w:r>
    </w:p>
    <w:p>
      <w:pPr>
        <w:spacing w:after="50" w:before="50"/>
      </w:pPr>
      <w:r>
        <w:rPr>
          <w:rFonts w:ascii="Times New Roman" w:cs="Times New Roman" w:eastAsia="Times New Roman" w:hAnsi="Times New Roman"/>
          <w:i/>
          <w:iCs/>
          <w:color w:val="6B6361"/>
          <w:sz w:val="20"/>
          <w:szCs w:val="20"/>
        </w:rPr>
        <w:t xml:space="preserve">Answer: In a pledge, possession of property remains with the pawnee. In a mortgage, possession remains with the mortgagor. Pledge is usually on personal property, mortgage is usually on immovable property.</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Contract Act, 1872 - Section 172 &amp; Transfer of Property Act, 1882 - Section 58</w:t>
      </w:r>
    </w:p>
    <w:p>
      <w:pPr>
        <w:pStyle w:val="Heading2"/>
      </w:pPr>
      <w:r>
        <w:rPr>
          <w:rFonts w:ascii="Times New Roman" w:cs="Times New Roman" w:eastAsia="Times New Roman" w:hAnsi="Times New Roman"/>
          <w:b/>
          <w:bCs/>
          <w:color w:val="26211F"/>
          <w:sz w:val="22"/>
          <w:szCs w:val="22"/>
        </w:rPr>
        <w:t xml:space="preserve">QD.6: কোম্পানি আইন, ১৯৯৪ অনুযায়ী পরিচালকের বৈশিষ্ট্য কী?</w:t>
      </w:r>
    </w:p>
    <w:p>
      <w:pPr>
        <w:spacing w:after="100" w:before="50"/>
      </w:pPr>
      <w:r>
        <w:rPr>
          <w:rFonts w:ascii="Times New Roman" w:cs="Times New Roman" w:eastAsia="Times New Roman" w:hAnsi="Times New Roman"/>
          <w:i/>
          <w:iCs/>
          <w:color w:val="6B6361"/>
          <w:sz w:val="20"/>
          <w:szCs w:val="20"/>
        </w:rPr>
        <w:t xml:space="preserve">(What are the qualifications of a director under the Companies Act, 1994?)</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পরিচালক হতে হলে: প্রাপ্তবয়স্ক হতে হবে, মানসিকভাবে সুস্থ হতে হবে, দেউলিয়া হতে পারবেন না, আইন দ্বারা অযোগ্য ঘোষিত হতে পারবেন না।</w:t>
      </w:r>
    </w:p>
    <w:p>
      <w:pPr>
        <w:spacing w:after="50" w:before="50"/>
      </w:pPr>
      <w:r>
        <w:rPr>
          <w:rFonts w:ascii="Times New Roman" w:cs="Times New Roman" w:eastAsia="Times New Roman" w:hAnsi="Times New Roman"/>
          <w:i/>
          <w:iCs/>
          <w:color w:val="6B6361"/>
          <w:sz w:val="20"/>
          <w:szCs w:val="20"/>
        </w:rPr>
        <w:t xml:space="preserve">Answer: To be a director: must be an adult, must be mentally sound, cannot be insolvent, cannot be disqualified by law.</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Companies Act, 1994 - Section 94</w:t>
      </w:r>
    </w:p>
    <w:p>
      <w:pPr>
        <w:pStyle w:val="Heading2"/>
      </w:pPr>
      <w:r>
        <w:rPr>
          <w:rFonts w:ascii="Times New Roman" w:cs="Times New Roman" w:eastAsia="Times New Roman" w:hAnsi="Times New Roman"/>
          <w:b/>
          <w:bCs/>
          <w:color w:val="26211F"/>
          <w:sz w:val="22"/>
          <w:szCs w:val="22"/>
        </w:rPr>
        <w:t xml:space="preserve">QD.7: মেমোরেন্ডাম অফ অ্যাসোসিয়েশন ও আর্টিকেলস অফ অ্যাসোসিয়েশনের পার্থক্য কী?</w:t>
      </w:r>
    </w:p>
    <w:p>
      <w:pPr>
        <w:spacing w:after="100" w:before="50"/>
      </w:pPr>
      <w:r>
        <w:rPr>
          <w:rFonts w:ascii="Times New Roman" w:cs="Times New Roman" w:eastAsia="Times New Roman" w:hAnsi="Times New Roman"/>
          <w:i/>
          <w:iCs/>
          <w:color w:val="6B6361"/>
          <w:sz w:val="20"/>
          <w:szCs w:val="20"/>
        </w:rPr>
        <w:t xml:space="preserve">(What is the difference between Memorandum of Association and Articles of Association?)</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মেমোরেন্ডাম অফ অ্যাসোসিয়েশন কোম্পানির উদ্দেশ্য ও ক্ষমতা নির্ধারণ করে। আর্টিকেলস অফ অ্যাসোসিয়েশন কোম্পানির অভ্যন্তরীণ ব্যবস্থাপনা নিয়ন্ত্রণ করে।</w:t>
      </w:r>
    </w:p>
    <w:p>
      <w:pPr>
        <w:spacing w:after="50" w:before="50"/>
      </w:pPr>
      <w:r>
        <w:rPr>
          <w:rFonts w:ascii="Times New Roman" w:cs="Times New Roman" w:eastAsia="Times New Roman" w:hAnsi="Times New Roman"/>
          <w:i/>
          <w:iCs/>
          <w:color w:val="6B6361"/>
          <w:sz w:val="20"/>
          <w:szCs w:val="20"/>
        </w:rPr>
        <w:t xml:space="preserve">Answer: The Memorandum of Association determines the objectives and powers of the company. The Articles of Association controls the internal management of the company.</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Companies Act, 1994 - Section 5, 17</w:t>
      </w:r>
    </w:p>
    <w:p>
      <w:pPr>
        <w:pStyle w:val="Heading2"/>
      </w:pPr>
      <w:r>
        <w:rPr>
          <w:rFonts w:ascii="Times New Roman" w:cs="Times New Roman" w:eastAsia="Times New Roman" w:hAnsi="Times New Roman"/>
          <w:b/>
          <w:bCs/>
          <w:color w:val="26211F"/>
          <w:sz w:val="22"/>
          <w:szCs w:val="22"/>
        </w:rPr>
        <w:t xml:space="preserve">QD.8: রেজিস্ট্রেশন আইন, ১৯০৮ এর উদ্দেশ্য কী?</w:t>
      </w:r>
    </w:p>
    <w:p>
      <w:pPr>
        <w:spacing w:after="100" w:before="50"/>
      </w:pPr>
      <w:r>
        <w:rPr>
          <w:rFonts w:ascii="Times New Roman" w:cs="Times New Roman" w:eastAsia="Times New Roman" w:hAnsi="Times New Roman"/>
          <w:i/>
          <w:iCs/>
          <w:color w:val="6B6361"/>
          <w:sz w:val="20"/>
          <w:szCs w:val="20"/>
        </w:rPr>
        <w:t xml:space="preserve">(What is the purpose of the Registration Act, 1908?)</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রেজিস্ট্রেশন আইনের উদ্দেশ্য হল দলিলের সত্যতা নিশ্চিত করা, সম্পত্তি স্থানান্তরের রেকর্ড রাখা এবং জনসাধারণের জন্য তথ্য সরবরাহ করা।</w:t>
      </w:r>
    </w:p>
    <w:p>
      <w:pPr>
        <w:spacing w:after="50" w:before="50"/>
      </w:pPr>
      <w:r>
        <w:rPr>
          <w:rFonts w:ascii="Times New Roman" w:cs="Times New Roman" w:eastAsia="Times New Roman" w:hAnsi="Times New Roman"/>
          <w:i/>
          <w:iCs/>
          <w:color w:val="6B6361"/>
          <w:sz w:val="20"/>
          <w:szCs w:val="20"/>
        </w:rPr>
        <w:t xml:space="preserve">Answer: The purpose of the Registration Act is to ensure authenticity of documents, maintain records of property transfers, and provide information to the public.</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Registration Act, 1908</w:t>
      </w:r>
    </w:p>
    <w:p>
      <w:pPr>
        <w:pStyle w:val="Heading1"/>
      </w:pPr>
      <w:r>
        <w:rPr>
          <w:rFonts w:ascii="Times New Roman" w:cs="Times New Roman" w:eastAsia="Times New Roman" w:hAnsi="Times New Roman"/>
          <w:b/>
          <w:bCs/>
          <w:color w:val="26211F"/>
        </w:rPr>
        <w:t xml:space="preserve">MODULE E: Information and Data Related Laws</w:t>
      </w:r>
    </w:p>
    <w:p>
      <w:pPr>
        <w:spacing w:after="200"/>
      </w:pPr>
      <w:r>
        <w:rPr>
          <w:rFonts w:ascii="Times New Roman" w:cs="Times New Roman" w:eastAsia="Times New Roman" w:hAnsi="Times New Roman"/>
          <w:color w:val="3D3735"/>
          <w:sz w:val="22"/>
          <w:szCs w:val="22"/>
        </w:rPr>
        <w:t xml:space="preserve">This module covers Bankers Book Evidence Act 2021, ICT Act 2006, Digital Security Act 2018, and Right to Information Act 2009.</w:t>
      </w:r>
    </w:p>
    <w:p>
      <w:pPr>
        <w:pStyle w:val="Heading2"/>
      </w:pPr>
      <w:r>
        <w:rPr>
          <w:rFonts w:ascii="Times New Roman" w:cs="Times New Roman" w:eastAsia="Times New Roman" w:hAnsi="Times New Roman"/>
          <w:b/>
          <w:bCs/>
          <w:color w:val="26211F"/>
          <w:sz w:val="22"/>
          <w:szCs w:val="22"/>
        </w:rPr>
        <w:t xml:space="preserve">QE.1: ব্যাংকার্স বুক এভিডেন্স আইন কী?</w:t>
      </w:r>
    </w:p>
    <w:p>
      <w:pPr>
        <w:spacing w:after="100" w:before="50"/>
      </w:pPr>
      <w:r>
        <w:rPr>
          <w:rFonts w:ascii="Times New Roman" w:cs="Times New Roman" w:eastAsia="Times New Roman" w:hAnsi="Times New Roman"/>
          <w:i/>
          <w:iCs/>
          <w:color w:val="6B6361"/>
          <w:sz w:val="20"/>
          <w:szCs w:val="20"/>
        </w:rPr>
        <w:t xml:space="preserve">(What is the Bankers Book Evidence Act?)</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ব্যাংকার্স বুক এভিডেন্স আইন, ২০২১ হল একটি আইন যা ব্যাংকের হিসাবের বই ও রেকর্ডকে আদালতে প্রমাণ হিসেবে গ্রহণের বিধান করে। এটি ব্যাংকিং কার্যক্রমের স্বচ্ছতা ও জবাবদিহিতা নিশ্চিত করে।</w:t>
      </w:r>
    </w:p>
    <w:p>
      <w:pPr>
        <w:spacing w:after="50" w:before="50"/>
      </w:pPr>
      <w:r>
        <w:rPr>
          <w:rFonts w:ascii="Times New Roman" w:cs="Times New Roman" w:eastAsia="Times New Roman" w:hAnsi="Times New Roman"/>
          <w:i/>
          <w:iCs/>
          <w:color w:val="6B6361"/>
          <w:sz w:val="20"/>
          <w:szCs w:val="20"/>
        </w:rPr>
        <w:t xml:space="preserve">Answer: The Bankers Book Evidence Act, 2021 is a law that provides for the admission of bank account books and records as evidence in court. It ensures transparency and accountability in banking activities.</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Bankers Book Evidence Act, 2021</w:t>
      </w:r>
    </w:p>
    <w:p>
      <w:pPr>
        <w:pStyle w:val="Heading2"/>
      </w:pPr>
      <w:r>
        <w:rPr>
          <w:rFonts w:ascii="Times New Roman" w:cs="Times New Roman" w:eastAsia="Times New Roman" w:hAnsi="Times New Roman"/>
          <w:b/>
          <w:bCs/>
          <w:color w:val="26211F"/>
          <w:sz w:val="22"/>
          <w:szCs w:val="22"/>
        </w:rPr>
        <w:t xml:space="preserve">QE.2: ডিজিটাল সিকিউরিটি আইন, ২০১৮ এর উদ্দেশ্য কী?</w:t>
      </w:r>
    </w:p>
    <w:p>
      <w:pPr>
        <w:spacing w:after="100" w:before="50"/>
      </w:pPr>
      <w:r>
        <w:rPr>
          <w:rFonts w:ascii="Times New Roman" w:cs="Times New Roman" w:eastAsia="Times New Roman" w:hAnsi="Times New Roman"/>
          <w:i/>
          <w:iCs/>
          <w:color w:val="6B6361"/>
          <w:sz w:val="20"/>
          <w:szCs w:val="20"/>
        </w:rPr>
        <w:t xml:space="preserve">(What is the purpose of the Digital Security Act, 2018?)</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ডিজিটাল সিকিউরিটি আইনের উদ্দেশ্য হল ডিজিটাল নিরাপত্তা নিশ্চিত করা, সাইবার অপরাধ প্রতিরোধ করা এবং ডিজিটাল প্ল্যাটফর্মে নাগরিকদের অধিকার রক্ষা করা।</w:t>
      </w:r>
    </w:p>
    <w:p>
      <w:pPr>
        <w:spacing w:after="50" w:before="50"/>
      </w:pPr>
      <w:r>
        <w:rPr>
          <w:rFonts w:ascii="Times New Roman" w:cs="Times New Roman" w:eastAsia="Times New Roman" w:hAnsi="Times New Roman"/>
          <w:i/>
          <w:iCs/>
          <w:color w:val="6B6361"/>
          <w:sz w:val="20"/>
          <w:szCs w:val="20"/>
        </w:rPr>
        <w:t xml:space="preserve">Answer: The purpose of the Digital Security Act is to ensure digital security, prevent cyber crimes, and protect citizens' rights on digital platforms.</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Digital Security Act, 2018</w:t>
      </w:r>
    </w:p>
    <w:p>
      <w:pPr>
        <w:pStyle w:val="Heading2"/>
      </w:pPr>
      <w:r>
        <w:rPr>
          <w:rFonts w:ascii="Times New Roman" w:cs="Times New Roman" w:eastAsia="Times New Roman" w:hAnsi="Times New Roman"/>
          <w:b/>
          <w:bCs/>
          <w:color w:val="26211F"/>
          <w:sz w:val="22"/>
          <w:szCs w:val="22"/>
        </w:rPr>
        <w:t xml:space="preserve">QE.3: তথ্য অধিকার আইন, ২০০৯ অনুযায়ী ব্যাংকের দায়িত্ব কী?</w:t>
      </w:r>
    </w:p>
    <w:p>
      <w:pPr>
        <w:spacing w:after="100" w:before="50"/>
      </w:pPr>
      <w:r>
        <w:rPr>
          <w:rFonts w:ascii="Times New Roman" w:cs="Times New Roman" w:eastAsia="Times New Roman" w:hAnsi="Times New Roman"/>
          <w:i/>
          <w:iCs/>
          <w:color w:val="6B6361"/>
          <w:sz w:val="20"/>
          <w:szCs w:val="20"/>
        </w:rPr>
        <w:t xml:space="preserve">(What are the responsibilities of banks under the Right to Information Act, 2009?)</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তথ্য অধিকার আইন অনুযায়ী, ব্যাংককে গ্রাহকদের তথ্য প্রদান করতে হবে (যদি না তা গোপনীয়তার আওতাভুক্ত হয়)। ব্যাংককে তথ্য প্রদানের জন্য নির্দিষ্ট কর্মকর্তা নিয়োগ করতে হবে।</w:t>
      </w:r>
    </w:p>
    <w:p>
      <w:pPr>
        <w:spacing w:after="50" w:before="50"/>
      </w:pPr>
      <w:r>
        <w:rPr>
          <w:rFonts w:ascii="Times New Roman" w:cs="Times New Roman" w:eastAsia="Times New Roman" w:hAnsi="Times New Roman"/>
          <w:i/>
          <w:iCs/>
          <w:color w:val="6B6361"/>
          <w:sz w:val="20"/>
          <w:szCs w:val="20"/>
        </w:rPr>
        <w:t xml:space="preserve">Answer: Under the Right to Information Act, banks must provide information to customers (unless it falls under confidentiality). Banks must designate specific officers for providing information.</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Right to Information Act, 2009</w:t>
      </w:r>
    </w:p>
    <w:p>
      <w:pPr>
        <w:pStyle w:val="Heading1"/>
      </w:pPr>
      <w:r>
        <w:rPr>
          <w:rFonts w:ascii="Times New Roman" w:cs="Times New Roman" w:eastAsia="Times New Roman" w:hAnsi="Times New Roman"/>
          <w:b/>
          <w:bCs/>
          <w:color w:val="26211F"/>
        </w:rPr>
        <w:t xml:space="preserve">MODULE F: General Laws</w:t>
      </w:r>
    </w:p>
    <w:p>
      <w:pPr>
        <w:spacing w:after="200"/>
      </w:pPr>
      <w:r>
        <w:rPr>
          <w:rFonts w:ascii="Times New Roman" w:cs="Times New Roman" w:eastAsia="Times New Roman" w:hAnsi="Times New Roman"/>
          <w:color w:val="3D3735"/>
          <w:sz w:val="22"/>
          <w:szCs w:val="22"/>
        </w:rPr>
        <w:t xml:space="preserve">This module covers Environment Conservation Act 1995, Powers of Attorney Act 2012, and Bank Deposit Insurance Act 2000.</w:t>
      </w:r>
    </w:p>
    <w:p>
      <w:pPr>
        <w:pStyle w:val="Heading2"/>
      </w:pPr>
      <w:r>
        <w:rPr>
          <w:rFonts w:ascii="Times New Roman" w:cs="Times New Roman" w:eastAsia="Times New Roman" w:hAnsi="Times New Roman"/>
          <w:b/>
          <w:bCs/>
          <w:color w:val="26211F"/>
          <w:sz w:val="22"/>
          <w:szCs w:val="22"/>
        </w:rPr>
        <w:t xml:space="preserve">QF.1: আমানত বীমা আইন, ২০০০ এর উদ্দেশ্য কী?</w:t>
      </w:r>
    </w:p>
    <w:p>
      <w:pPr>
        <w:spacing w:after="100" w:before="50"/>
      </w:pPr>
      <w:r>
        <w:rPr>
          <w:rFonts w:ascii="Times New Roman" w:cs="Times New Roman" w:eastAsia="Times New Roman" w:hAnsi="Times New Roman"/>
          <w:i/>
          <w:iCs/>
          <w:color w:val="6B6361"/>
          <w:sz w:val="20"/>
          <w:szCs w:val="20"/>
        </w:rPr>
        <w:t xml:space="preserve">(What is the purpose of the Deposit Insurance Act, 2000?)</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আমানত বীমা আইনের উদ্দেশ্য হল ব্যাংক দেউলিয়া হলে আমানতকারীদের আমানত সুরক্ষিত করা। এটি ব্যাংকিং ব্যবস্থায় জনগণের আস্থা বজায় রাখতে সাহায্য করে।</w:t>
      </w:r>
    </w:p>
    <w:p>
      <w:pPr>
        <w:spacing w:after="50" w:before="50"/>
      </w:pPr>
      <w:r>
        <w:rPr>
          <w:rFonts w:ascii="Times New Roman" w:cs="Times New Roman" w:eastAsia="Times New Roman" w:hAnsi="Times New Roman"/>
          <w:i/>
          <w:iCs/>
          <w:color w:val="6B6361"/>
          <w:sz w:val="20"/>
          <w:szCs w:val="20"/>
        </w:rPr>
        <w:t xml:space="preserve">Answer: The purpose of the Deposit Insurance Act is to protect depositors' deposits if a bank becomes insolvent. It helps maintain public confidence in the banking system.</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Bank Deposit Insurance Act, 2000</w:t>
      </w:r>
    </w:p>
    <w:p>
      <w:pPr>
        <w:pStyle w:val="Heading2"/>
      </w:pPr>
      <w:r>
        <w:rPr>
          <w:rFonts w:ascii="Times New Roman" w:cs="Times New Roman" w:eastAsia="Times New Roman" w:hAnsi="Times New Roman"/>
          <w:b/>
          <w:bCs/>
          <w:color w:val="26211F"/>
          <w:sz w:val="22"/>
          <w:szCs w:val="22"/>
        </w:rPr>
        <w:t xml:space="preserve">QF.2: পাওয়ার অফ অ্যাটর্নি কী?</w:t>
      </w:r>
    </w:p>
    <w:p>
      <w:pPr>
        <w:spacing w:after="100" w:before="50"/>
      </w:pPr>
      <w:r>
        <w:rPr>
          <w:rFonts w:ascii="Times New Roman" w:cs="Times New Roman" w:eastAsia="Times New Roman" w:hAnsi="Times New Roman"/>
          <w:i/>
          <w:iCs/>
          <w:color w:val="6B6361"/>
          <w:sz w:val="20"/>
          <w:szCs w:val="20"/>
        </w:rPr>
        <w:t xml:space="preserve">(What is a Power of Attorney?)</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পাওয়ার অফ অ্যাটর্নি হল একটি আইনি দলিল যার মাধ্যমে একজন ব্যক্তি অন্য ব্যক্তিকে তার পক্ষে আইনি কাজ সম্পাদনের ক্ষমতা দেন।</w:t>
      </w:r>
    </w:p>
    <w:p>
      <w:pPr>
        <w:spacing w:after="50" w:before="50"/>
      </w:pPr>
      <w:r>
        <w:rPr>
          <w:rFonts w:ascii="Times New Roman" w:cs="Times New Roman" w:eastAsia="Times New Roman" w:hAnsi="Times New Roman"/>
          <w:i/>
          <w:iCs/>
          <w:color w:val="6B6361"/>
          <w:sz w:val="20"/>
          <w:szCs w:val="20"/>
        </w:rPr>
        <w:t xml:space="preserve">Answer: A Power of Attorney is a legal document through which one person gives another person the authority to perform legal acts on their behalf.</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Powers of Attorney Act, 2012</w:t>
      </w:r>
    </w:p>
    <w:p>
      <w:pPr>
        <w:pStyle w:val="Heading2"/>
      </w:pPr>
      <w:r>
        <w:rPr>
          <w:rFonts w:ascii="Times New Roman" w:cs="Times New Roman" w:eastAsia="Times New Roman" w:hAnsi="Times New Roman"/>
          <w:b/>
          <w:bCs/>
          <w:color w:val="26211F"/>
          <w:sz w:val="22"/>
          <w:szCs w:val="22"/>
        </w:rPr>
        <w:t xml:space="preserve">QF.3: এনভায়রনমেন্ট কনজারভেশন আইন, ১৯৯৫ এর উদ্দেশ্য কী?</w:t>
      </w:r>
    </w:p>
    <w:p>
      <w:pPr>
        <w:spacing w:after="100" w:before="50"/>
      </w:pPr>
      <w:r>
        <w:rPr>
          <w:rFonts w:ascii="Times New Roman" w:cs="Times New Roman" w:eastAsia="Times New Roman" w:hAnsi="Times New Roman"/>
          <w:i/>
          <w:iCs/>
          <w:color w:val="6B6361"/>
          <w:sz w:val="20"/>
          <w:szCs w:val="20"/>
        </w:rPr>
        <w:t xml:space="preserve">(What is the purpose of the Environment Conservation Act, 1995?)</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এই আইনের উদ্দেশ্য হল পরিবেশ সুরক্ষা ও সংরক্ষণ করা, পরিবেশ দূষণ নিয়ন্ত্রণ করা এবং পরিবেশগত ভারসাম্য রক্ষা করা।</w:t>
      </w:r>
    </w:p>
    <w:p>
      <w:pPr>
        <w:spacing w:after="50" w:before="50"/>
      </w:pPr>
      <w:r>
        <w:rPr>
          <w:rFonts w:ascii="Times New Roman" w:cs="Times New Roman" w:eastAsia="Times New Roman" w:hAnsi="Times New Roman"/>
          <w:i/>
          <w:iCs/>
          <w:color w:val="6B6361"/>
          <w:sz w:val="20"/>
          <w:szCs w:val="20"/>
        </w:rPr>
        <w:t xml:space="preserve">Answer: The purpose of this Act is to protect and conserve the environment, control environmental pollution, and maintain ecological balance.</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Bangladesh Environment Conservation Act, 1995</w:t>
      </w:r>
    </w:p>
    <w:p>
      <w:pPr>
        <w:pStyle w:val="Heading1"/>
      </w:pPr>
      <w:r>
        <w:rPr>
          <w:rFonts w:ascii="Times New Roman" w:cs="Times New Roman" w:eastAsia="Times New Roman" w:hAnsi="Times New Roman"/>
          <w:b/>
          <w:bCs/>
          <w:color w:val="26211F"/>
        </w:rPr>
        <w:t xml:space="preserve">MODULE G: Overview</w:t>
      </w:r>
    </w:p>
    <w:p>
      <w:pPr>
        <w:spacing w:after="200"/>
      </w:pPr>
      <w:r>
        <w:rPr>
          <w:rFonts w:ascii="Times New Roman" w:cs="Times New Roman" w:eastAsia="Times New Roman" w:hAnsi="Times New Roman"/>
          <w:color w:val="3D3735"/>
          <w:sz w:val="22"/>
          <w:szCs w:val="22"/>
        </w:rPr>
        <w:t xml:space="preserve">This module covers banker-customer relationship, types of banks, banking operations, and KYC/CDD procedures.</w:t>
      </w:r>
    </w:p>
    <w:p>
      <w:pPr>
        <w:pStyle w:val="Heading2"/>
      </w:pPr>
      <w:r>
        <w:rPr>
          <w:rFonts w:ascii="Times New Roman" w:cs="Times New Roman" w:eastAsia="Times New Roman" w:hAnsi="Times New Roman"/>
          <w:b/>
          <w:bCs/>
          <w:color w:val="26211F"/>
          <w:sz w:val="22"/>
          <w:szCs w:val="22"/>
        </w:rPr>
        <w:t xml:space="preserve">QG.1: সিপিভি (CPV) কী?</w:t>
      </w:r>
    </w:p>
    <w:p>
      <w:pPr>
        <w:spacing w:after="100" w:before="50"/>
      </w:pPr>
      <w:r>
        <w:rPr>
          <w:rFonts w:ascii="Times New Roman" w:cs="Times New Roman" w:eastAsia="Times New Roman" w:hAnsi="Times New Roman"/>
          <w:i/>
          <w:iCs/>
          <w:color w:val="6B6361"/>
          <w:sz w:val="20"/>
          <w:szCs w:val="20"/>
        </w:rPr>
        <w:t xml:space="preserve">(What is Contact Point Verification (CPV)?)</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সিপিভি (Contact Point Verification) হল একটি প্রক্রিয়া যার মাধ্যমে ব্যাংক গ্রাহকের ঠিকানা ও পরিচয় যাচাই করে। ব্যাংক কর্মীরা গ্রাহকের বাসস্থান বা কর্মস্থলে গিয়ে এই যাচাই করেন।</w:t>
      </w:r>
    </w:p>
    <w:p>
      <w:pPr>
        <w:spacing w:after="50" w:before="50"/>
      </w:pPr>
      <w:r>
        <w:rPr>
          <w:rFonts w:ascii="Times New Roman" w:cs="Times New Roman" w:eastAsia="Times New Roman" w:hAnsi="Times New Roman"/>
          <w:i/>
          <w:iCs/>
          <w:color w:val="6B6361"/>
          <w:sz w:val="20"/>
          <w:szCs w:val="20"/>
        </w:rPr>
        <w:t xml:space="preserve">Answer: CPV (Contact Point Verification) is a process through which banks verify customer's address and identity. Bank staff visit the customer's residence or workplace for this verification.</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Bangladesh Bank Guidelines</w:t>
      </w:r>
    </w:p>
    <w:p>
      <w:pPr>
        <w:pStyle w:val="Heading2"/>
      </w:pPr>
      <w:r>
        <w:rPr>
          <w:rFonts w:ascii="Times New Roman" w:cs="Times New Roman" w:eastAsia="Times New Roman" w:hAnsi="Times New Roman"/>
          <w:b/>
          <w:bCs/>
          <w:color w:val="26211F"/>
          <w:sz w:val="22"/>
          <w:szCs w:val="22"/>
        </w:rPr>
        <w:t xml:space="preserve">QG.2: ব্যাংকার ও গ্রাহকের সম্পর্ক কী ধরনের?</w:t>
      </w:r>
    </w:p>
    <w:p>
      <w:pPr>
        <w:spacing w:after="100" w:before="50"/>
      </w:pPr>
      <w:r>
        <w:rPr>
          <w:rFonts w:ascii="Times New Roman" w:cs="Times New Roman" w:eastAsia="Times New Roman" w:hAnsi="Times New Roman"/>
          <w:i/>
          <w:iCs/>
          <w:color w:val="6B6361"/>
          <w:sz w:val="20"/>
          <w:szCs w:val="20"/>
        </w:rPr>
        <w:t xml:space="preserve">(What type of relationship exists between banker and customer?)</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ব্যাংকার ও গ্রাহকের সম্পর্ক সাধারণত ঋণদাতা-ঋণগ্রহীতা, বেইলর-বাইলি, প্রিন্সিপাল-এজেন্ট, এবং লেসর-লেসি সম্পর্ক। এটি লেনদেনের ধরনের উপর নির্ভর করে।</w:t>
      </w:r>
    </w:p>
    <w:p>
      <w:pPr>
        <w:spacing w:after="50" w:before="50"/>
      </w:pPr>
      <w:r>
        <w:rPr>
          <w:rFonts w:ascii="Times New Roman" w:cs="Times New Roman" w:eastAsia="Times New Roman" w:hAnsi="Times New Roman"/>
          <w:i/>
          <w:iCs/>
          <w:color w:val="6B6361"/>
          <w:sz w:val="20"/>
          <w:szCs w:val="20"/>
        </w:rPr>
        <w:t xml:space="preserve">Answer: The relationship between banker and customer is typically creditor-debtor, bailor-bailee, principal-agent, and lessor-lessee. It depends on the type of transaction.</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Banking Practice</w:t>
      </w:r>
    </w:p>
    <w:p>
      <w:pPr>
        <w:pStyle w:val="Heading2"/>
      </w:pPr>
      <w:r>
        <w:rPr>
          <w:rFonts w:ascii="Times New Roman" w:cs="Times New Roman" w:eastAsia="Times New Roman" w:hAnsi="Times New Roman"/>
          <w:b/>
          <w:bCs/>
          <w:color w:val="26211F"/>
          <w:sz w:val="22"/>
          <w:szCs w:val="22"/>
        </w:rPr>
        <w:t xml:space="preserve">QG.3: ওয়াক-ইন কাস্টমার কে?</w:t>
      </w:r>
    </w:p>
    <w:p>
      <w:pPr>
        <w:spacing w:after="100" w:before="50"/>
      </w:pPr>
      <w:r>
        <w:rPr>
          <w:rFonts w:ascii="Times New Roman" w:cs="Times New Roman" w:eastAsia="Times New Roman" w:hAnsi="Times New Roman"/>
          <w:i/>
          <w:iCs/>
          <w:color w:val="6B6361"/>
          <w:sz w:val="20"/>
          <w:szCs w:val="20"/>
        </w:rPr>
        <w:t xml:space="preserve">(Who is a walk-in customer?)</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ওয়াক-ইন কাস্টমার হলেন এমন একজন ব্যক্তি যিনি ব্যাংকে কোনো অ্যাকাউন্ট নেই কিন্তু ব্যাংকিং সেবা নিতে আসেন। যেমন: ড্রাফট কেনা, বিল পরিশোধ ইত্যাদি।</w:t>
      </w:r>
    </w:p>
    <w:p>
      <w:pPr>
        <w:spacing w:after="50" w:before="50"/>
      </w:pPr>
      <w:r>
        <w:rPr>
          <w:rFonts w:ascii="Times New Roman" w:cs="Times New Roman" w:eastAsia="Times New Roman" w:hAnsi="Times New Roman"/>
          <w:i/>
          <w:iCs/>
          <w:color w:val="6B6361"/>
          <w:sz w:val="20"/>
          <w:szCs w:val="20"/>
        </w:rPr>
        <w:t xml:space="preserve">Answer: A walk-in customer is a person who does not have an account at the bank but comes to avail banking services. For example: buying a draft, paying bills, etc.</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Bangladesh Bank Guidelines</w:t>
      </w:r>
    </w:p>
    <w:p>
      <w:pPr>
        <w:pStyle w:val="Heading2"/>
      </w:pPr>
      <w:r>
        <w:rPr>
          <w:rFonts w:ascii="Times New Roman" w:cs="Times New Roman" w:eastAsia="Times New Roman" w:hAnsi="Times New Roman"/>
          <w:b/>
          <w:bCs/>
          <w:color w:val="26211F"/>
          <w:sz w:val="22"/>
          <w:szCs w:val="22"/>
        </w:rPr>
        <w:t xml:space="preserve">QG.4: ডরম্যান্ট অ্যাকাউন্ট কী?</w:t>
      </w:r>
    </w:p>
    <w:p>
      <w:pPr>
        <w:spacing w:after="100" w:before="50"/>
      </w:pPr>
      <w:r>
        <w:rPr>
          <w:rFonts w:ascii="Times New Roman" w:cs="Times New Roman" w:eastAsia="Times New Roman" w:hAnsi="Times New Roman"/>
          <w:i/>
          <w:iCs/>
          <w:color w:val="6B6361"/>
          <w:sz w:val="20"/>
          <w:szCs w:val="20"/>
        </w:rPr>
        <w:t xml:space="preserve">(What is a dormant account?)</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ডরম্যান্ট অ্যাকাউন্ট হল এমন অ্যাকাউন্ট যা দীর্ঘ সময় (সাধারণত ২ বছর) ধরে কোনো লেনদেন হয়নি। এই অ্যাকাউন্ট পুনরায় সক্রিয় করতে বিশেষ প্রক্রিয়া পালন করতে হয়।</w:t>
      </w:r>
    </w:p>
    <w:p>
      <w:pPr>
        <w:spacing w:after="50" w:before="50"/>
      </w:pPr>
      <w:r>
        <w:rPr>
          <w:rFonts w:ascii="Times New Roman" w:cs="Times New Roman" w:eastAsia="Times New Roman" w:hAnsi="Times New Roman"/>
          <w:i/>
          <w:iCs/>
          <w:color w:val="6B6361"/>
          <w:sz w:val="20"/>
          <w:szCs w:val="20"/>
        </w:rPr>
        <w:t xml:space="preserve">Answer: A dormant account is one where no transactions have taken place for a long time (usually 2 years). Special procedures must be followed to reactivate this account.</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Bangladesh Bank Guidelines</w:t>
      </w:r>
    </w:p>
    <w:p>
      <w:pPr>
        <w:pStyle w:val="Heading2"/>
      </w:pPr>
      <w:r>
        <w:rPr>
          <w:rFonts w:ascii="Times New Roman" w:cs="Times New Roman" w:eastAsia="Times New Roman" w:hAnsi="Times New Roman"/>
          <w:b/>
          <w:bCs/>
          <w:color w:val="26211F"/>
          <w:sz w:val="22"/>
          <w:szCs w:val="22"/>
        </w:rPr>
        <w:t xml:space="preserve">QG.5: কেওয়াইসি (KYC) কী?</w:t>
      </w:r>
    </w:p>
    <w:p>
      <w:pPr>
        <w:spacing w:after="100" w:before="50"/>
      </w:pPr>
      <w:r>
        <w:rPr>
          <w:rFonts w:ascii="Times New Roman" w:cs="Times New Roman" w:eastAsia="Times New Roman" w:hAnsi="Times New Roman"/>
          <w:i/>
          <w:iCs/>
          <w:color w:val="6B6361"/>
          <w:sz w:val="20"/>
          <w:szCs w:val="20"/>
        </w:rPr>
        <w:t xml:space="preserve">(What is KYC?)</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কেওয়াইসি (Know Your Customer) হল একটি প্রক্রিয়া যার মাধ্যমে ব্যাংক গ্রাহকের পরিচয়, ঠিকানা এবং লেনদেনের প্রকৃতি যাচাই করে। এটি মানি লন্ডারিং প্রতিরোধে গুরুত্বপূর্ণ।</w:t>
      </w:r>
    </w:p>
    <w:p>
      <w:pPr>
        <w:spacing w:after="50" w:before="50"/>
      </w:pPr>
      <w:r>
        <w:rPr>
          <w:rFonts w:ascii="Times New Roman" w:cs="Times New Roman" w:eastAsia="Times New Roman" w:hAnsi="Times New Roman"/>
          <w:i/>
          <w:iCs/>
          <w:color w:val="6B6361"/>
          <w:sz w:val="20"/>
          <w:szCs w:val="20"/>
        </w:rPr>
        <w:t xml:space="preserve">Answer: KYC (Know Your Customer) is a process through which banks verify customer's identity, address, and nature of transactions. It is important for preventing money laundering.</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Bangladesh Bank AML Guidelines</w:t>
      </w:r>
    </w:p>
    <w:p>
      <w:pPr>
        <w:pStyle w:val="Heading2"/>
      </w:pPr>
      <w:r>
        <w:rPr>
          <w:rFonts w:ascii="Times New Roman" w:cs="Times New Roman" w:eastAsia="Times New Roman" w:hAnsi="Times New Roman"/>
          <w:b/>
          <w:bCs/>
          <w:color w:val="26211F"/>
          <w:sz w:val="22"/>
          <w:szCs w:val="22"/>
        </w:rPr>
        <w:t xml:space="preserve">QG.6: ইকেওয়াইসি (e-KYC) কী?</w:t>
      </w:r>
    </w:p>
    <w:p>
      <w:pPr>
        <w:spacing w:after="100" w:before="50"/>
      </w:pPr>
      <w:r>
        <w:rPr>
          <w:rFonts w:ascii="Times New Roman" w:cs="Times New Roman" w:eastAsia="Times New Roman" w:hAnsi="Times New Roman"/>
          <w:i/>
          <w:iCs/>
          <w:color w:val="6B6361"/>
          <w:sz w:val="20"/>
          <w:szCs w:val="20"/>
        </w:rPr>
        <w:t xml:space="preserve">(What is e-KYC?)</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ইকেওয়াইসি (Electronic Know Your Customer) হল ডিজিটাল পদ্ধতিতে গ্রাহকের পরিচয় যাচাই। এতে অনলাইনে ডকুমেন্ট আপলোড ও ভিডিও কলের মাধ্যমে যাচাই করা হয়।</w:t>
      </w:r>
    </w:p>
    <w:p>
      <w:pPr>
        <w:spacing w:after="50" w:before="50"/>
      </w:pPr>
      <w:r>
        <w:rPr>
          <w:rFonts w:ascii="Times New Roman" w:cs="Times New Roman" w:eastAsia="Times New Roman" w:hAnsi="Times New Roman"/>
          <w:i/>
          <w:iCs/>
          <w:color w:val="6B6361"/>
          <w:sz w:val="20"/>
          <w:szCs w:val="20"/>
        </w:rPr>
        <w:t xml:space="preserve">Answer: e-KYC (Electronic Know Your Customer) is verification of customer identity through digital methods. It involves online document upload and verification via video call.</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Bangladesh Bank Guidelines</w:t>
      </w:r>
    </w:p>
    <w:p>
      <w:pPr>
        <w:pStyle w:val="Heading2"/>
      </w:pPr>
      <w:r>
        <w:rPr>
          <w:rFonts w:ascii="Times New Roman" w:cs="Times New Roman" w:eastAsia="Times New Roman" w:hAnsi="Times New Roman"/>
          <w:b/>
          <w:bCs/>
          <w:color w:val="26211F"/>
          <w:sz w:val="22"/>
          <w:szCs w:val="22"/>
        </w:rPr>
        <w:t xml:space="preserve">QG.7: সিডিডি (CDD) কী?</w:t>
      </w:r>
    </w:p>
    <w:p>
      <w:pPr>
        <w:spacing w:after="100" w:before="50"/>
      </w:pPr>
      <w:r>
        <w:rPr>
          <w:rFonts w:ascii="Times New Roman" w:cs="Times New Roman" w:eastAsia="Times New Roman" w:hAnsi="Times New Roman"/>
          <w:i/>
          <w:iCs/>
          <w:color w:val="6B6361"/>
          <w:sz w:val="20"/>
          <w:szCs w:val="20"/>
        </w:rPr>
        <w:t xml:space="preserve">(What is CDD?)</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সিডিডি (Customer Due Diligence) হল গ্রাহকের পরিচয় ও ঝুঁকি যাচাই করার প্রক্রিয়া। এতে গ্রাহকের পরিচয়, উদ্দেশ্য এবং লেনদেনের ধরন যাচাই করা হয়।</w:t>
      </w:r>
    </w:p>
    <w:p>
      <w:pPr>
        <w:spacing w:after="50" w:before="50"/>
      </w:pPr>
      <w:r>
        <w:rPr>
          <w:rFonts w:ascii="Times New Roman" w:cs="Times New Roman" w:eastAsia="Times New Roman" w:hAnsi="Times New Roman"/>
          <w:i/>
          <w:iCs/>
          <w:color w:val="6B6361"/>
          <w:sz w:val="20"/>
          <w:szCs w:val="20"/>
        </w:rPr>
        <w:t xml:space="preserve">Answer: CDD (Customer Due Diligence) is the process of verifying customer identity and risk. It involves verifying customer identity, purpose, and nature of transactions.</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Bangladesh Bank AML Guidelines</w:t>
      </w:r>
    </w:p>
    <w:p>
      <w:pPr>
        <w:pStyle w:val="Heading2"/>
      </w:pPr>
      <w:r>
        <w:rPr>
          <w:rFonts w:ascii="Times New Roman" w:cs="Times New Roman" w:eastAsia="Times New Roman" w:hAnsi="Times New Roman"/>
          <w:b/>
          <w:bCs/>
          <w:color w:val="26211F"/>
          <w:sz w:val="22"/>
          <w:szCs w:val="22"/>
        </w:rPr>
        <w:t xml:space="preserve">QG.8: ইডিডি (EDD) কী?</w:t>
      </w:r>
    </w:p>
    <w:p>
      <w:pPr>
        <w:spacing w:after="100" w:before="50"/>
      </w:pPr>
      <w:r>
        <w:rPr>
          <w:rFonts w:ascii="Times New Roman" w:cs="Times New Roman" w:eastAsia="Times New Roman" w:hAnsi="Times New Roman"/>
          <w:i/>
          <w:iCs/>
          <w:color w:val="6B6361"/>
          <w:sz w:val="20"/>
          <w:szCs w:val="20"/>
        </w:rPr>
        <w:t xml:space="preserve">(What is EDD?)</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ইডিডি (Enhanced Due Diligence) হল উচ্চ ঝুঁকিপূর্ণ গ্রাহকদের জন্য বিশেষ যাচাই প্রক্রিয়া। এতে সাধারণ সিডিডির চেয়ে বেশি তথ্য ও যাচাই প্রয়োজন।</w:t>
      </w:r>
    </w:p>
    <w:p>
      <w:pPr>
        <w:spacing w:after="50" w:before="50"/>
      </w:pPr>
      <w:r>
        <w:rPr>
          <w:rFonts w:ascii="Times New Roman" w:cs="Times New Roman" w:eastAsia="Times New Roman" w:hAnsi="Times New Roman"/>
          <w:i/>
          <w:iCs/>
          <w:color w:val="6B6361"/>
          <w:sz w:val="20"/>
          <w:szCs w:val="20"/>
        </w:rPr>
        <w:t xml:space="preserve">Answer: EDD (Enhanced Due Diligence) is a special verification process for high-risk customers. It requires more information and verification than regular CDD.</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Bangladesh Bank AML Guidelines</w:t>
      </w:r>
    </w:p>
    <w:p>
      <w:pPr>
        <w:pStyle w:val="Heading2"/>
      </w:pPr>
      <w:r>
        <w:rPr>
          <w:rFonts w:ascii="Times New Roman" w:cs="Times New Roman" w:eastAsia="Times New Roman" w:hAnsi="Times New Roman"/>
          <w:b/>
          <w:bCs/>
          <w:color w:val="26211F"/>
          <w:sz w:val="22"/>
          <w:szCs w:val="22"/>
        </w:rPr>
        <w:t xml:space="preserve">QG.9: পিইপি (PEP) কারা?</w:t>
      </w:r>
    </w:p>
    <w:p>
      <w:pPr>
        <w:spacing w:after="100" w:before="50"/>
      </w:pPr>
      <w:r>
        <w:rPr>
          <w:rFonts w:ascii="Times New Roman" w:cs="Times New Roman" w:eastAsia="Times New Roman" w:hAnsi="Times New Roman"/>
          <w:i/>
          <w:iCs/>
          <w:color w:val="6B6361"/>
          <w:sz w:val="20"/>
          <w:szCs w:val="20"/>
        </w:rPr>
        <w:t xml:space="preserve">(Who are PEPs?)</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পিইপি (Politically Exposed Persons) হলেন রাজনৈতিকভাবে প্রভাবশালী ব্যক্তিরা। যেমন: সরকারি কর্মকর্তা, রাজনীতিবিদ, বিচারক প্রমুখ। এদের ক্ষেত্রে ইডিডি প্রয়োজন।</w:t>
      </w:r>
    </w:p>
    <w:p>
      <w:pPr>
        <w:spacing w:after="50" w:before="50"/>
      </w:pPr>
      <w:r>
        <w:rPr>
          <w:rFonts w:ascii="Times New Roman" w:cs="Times New Roman" w:eastAsia="Times New Roman" w:hAnsi="Times New Roman"/>
          <w:i/>
          <w:iCs/>
          <w:color w:val="6B6361"/>
          <w:sz w:val="20"/>
          <w:szCs w:val="20"/>
        </w:rPr>
        <w:t xml:space="preserve">Answer: PEPs (Politically Exposed Persons) are politically influential individuals. For example: government officials, politicians, judges, etc. EDD is required for them.</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Bangladesh Bank AML Guidelines</w:t>
      </w:r>
    </w:p>
    <w:p>
      <w:pPr>
        <w:pStyle w:val="Heading1"/>
      </w:pPr>
      <w:r>
        <w:rPr>
          <w:rFonts w:ascii="Times New Roman" w:cs="Times New Roman" w:eastAsia="Times New Roman" w:hAnsi="Times New Roman"/>
          <w:b/>
          <w:bCs/>
          <w:color w:val="26211F"/>
        </w:rPr>
        <w:t xml:space="preserve">MODULE H: Deposit Accounts &amp; Operation</w:t>
      </w:r>
    </w:p>
    <w:p>
      <w:pPr>
        <w:spacing w:after="200"/>
      </w:pPr>
      <w:r>
        <w:rPr>
          <w:rFonts w:ascii="Times New Roman" w:cs="Times New Roman" w:eastAsia="Times New Roman" w:hAnsi="Times New Roman"/>
          <w:color w:val="3D3735"/>
          <w:sz w:val="22"/>
          <w:szCs w:val="22"/>
        </w:rPr>
        <w:t xml:space="preserve">This module covers account opening procedures, types of deposit accounts, dormant accounts, and account operations.</w:t>
      </w:r>
    </w:p>
    <w:p>
      <w:pPr>
        <w:pStyle w:val="Heading2"/>
      </w:pPr>
      <w:r>
        <w:rPr>
          <w:rFonts w:ascii="Times New Roman" w:cs="Times New Roman" w:eastAsia="Times New Roman" w:hAnsi="Times New Roman"/>
          <w:b/>
          <w:bCs/>
          <w:color w:val="26211F"/>
          <w:sz w:val="22"/>
          <w:szCs w:val="22"/>
        </w:rPr>
        <w:t xml:space="preserve">QH.1: ডুপ্লিকেট এফডিআর পেতে গ্রাহককে কী দলিল জমা দিতে হয়?</w:t>
      </w:r>
    </w:p>
    <w:p>
      <w:pPr>
        <w:spacing w:after="100" w:before="50"/>
      </w:pPr>
      <w:r>
        <w:rPr>
          <w:rFonts w:ascii="Times New Roman" w:cs="Times New Roman" w:eastAsia="Times New Roman" w:hAnsi="Times New Roman"/>
          <w:i/>
          <w:iCs/>
          <w:color w:val="6B6361"/>
          <w:sz w:val="20"/>
          <w:szCs w:val="20"/>
        </w:rPr>
        <w:t xml:space="preserve">(Which document must a customer submit to the bank to obtain a duplicate Fixed Deposit Receipt (FDR)?)</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ডুপ্লিকেট এফডিআর পেতে গ্রাহককে পুলিশের জিডি কপি, আবেদনপত্র, পরিচয়পত্র এবং এফডিআর হারিয়ে যাওয়ার সংক্রান্ত হলফনামা জমা দিতে হয়। কিছু ক্ষেত্রে ইন্ডেমনিটি বন্ডও লাগে।</w:t>
      </w:r>
    </w:p>
    <w:p>
      <w:pPr>
        <w:spacing w:after="50" w:before="50"/>
      </w:pPr>
      <w:r>
        <w:rPr>
          <w:rFonts w:ascii="Times New Roman" w:cs="Times New Roman" w:eastAsia="Times New Roman" w:hAnsi="Times New Roman"/>
          <w:i/>
          <w:iCs/>
          <w:color w:val="6B6361"/>
          <w:sz w:val="20"/>
          <w:szCs w:val="20"/>
        </w:rPr>
        <w:t xml:space="preserve">Answer: To obtain a duplicate FDR, the customer must submit a police GD copy, application letter, identity proof, and an affidavit regarding the lost FDR. In some cases, an indemnity bond is also required.</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Banking Practice</w:t>
      </w:r>
    </w:p>
    <w:p>
      <w:pPr>
        <w:pStyle w:val="Heading2"/>
      </w:pPr>
      <w:r>
        <w:rPr>
          <w:rFonts w:ascii="Times New Roman" w:cs="Times New Roman" w:eastAsia="Times New Roman" w:hAnsi="Times New Roman"/>
          <w:b/>
          <w:bCs/>
          <w:color w:val="26211F"/>
          <w:sz w:val="22"/>
          <w:szCs w:val="22"/>
        </w:rPr>
        <w:t xml:space="preserve">QH.2: নাবালকের অ্যাকাউন্ট কীভাবে খোলা যায়?</w:t>
      </w:r>
    </w:p>
    <w:p>
      <w:pPr>
        <w:spacing w:after="100" w:before="50"/>
      </w:pPr>
      <w:r>
        <w:rPr>
          <w:rFonts w:ascii="Times New Roman" w:cs="Times New Roman" w:eastAsia="Times New Roman" w:hAnsi="Times New Roman"/>
          <w:i/>
          <w:iCs/>
          <w:color w:val="6B6361"/>
          <w:sz w:val="20"/>
          <w:szCs w:val="20"/>
        </w:rPr>
        <w:t xml:space="preserve">(How can a minor's account be opened?)</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নাবালকের অ্যাকাউন্ট তার অভিভাবকের মাধ্যমে খোলা যায়। অভিভাবককে অ্যাকাউন্ট পরিচালনা করতে হয় এবং নাবালকের জন্ম সনদ ও অভিভাবকের পরিচয়পত্র লাগে।</w:t>
      </w:r>
    </w:p>
    <w:p>
      <w:pPr>
        <w:spacing w:after="50" w:before="50"/>
      </w:pPr>
      <w:r>
        <w:rPr>
          <w:rFonts w:ascii="Times New Roman" w:cs="Times New Roman" w:eastAsia="Times New Roman" w:hAnsi="Times New Roman"/>
          <w:i/>
          <w:iCs/>
          <w:color w:val="6B6361"/>
          <w:sz w:val="20"/>
          <w:szCs w:val="20"/>
        </w:rPr>
        <w:t xml:space="preserve">Answer: A minor's account can be opened through their guardian. The guardian must operate the account and the minor's birth certificate and guardian's identity proof are required.</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Majority Act, 1875 &amp; Banking Practice</w:t>
      </w:r>
    </w:p>
    <w:p>
      <w:pPr>
        <w:pStyle w:val="Heading2"/>
      </w:pPr>
      <w:r>
        <w:rPr>
          <w:rFonts w:ascii="Times New Roman" w:cs="Times New Roman" w:eastAsia="Times New Roman" w:hAnsi="Times New Roman"/>
          <w:b/>
          <w:bCs/>
          <w:color w:val="26211F"/>
          <w:sz w:val="22"/>
          <w:szCs w:val="22"/>
        </w:rPr>
        <w:t xml:space="preserve">QH.3: যৌথ অ্যাকাউন্ট কী?</w:t>
      </w:r>
    </w:p>
    <w:p>
      <w:pPr>
        <w:spacing w:after="100" w:before="50"/>
      </w:pPr>
      <w:r>
        <w:rPr>
          <w:rFonts w:ascii="Times New Roman" w:cs="Times New Roman" w:eastAsia="Times New Roman" w:hAnsi="Times New Roman"/>
          <w:i/>
          <w:iCs/>
          <w:color w:val="6B6361"/>
          <w:sz w:val="20"/>
          <w:szCs w:val="20"/>
        </w:rPr>
        <w:t xml:space="preserve">(What is a joint account?)</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যৌথ অ্যাকাউন্ট হল এমন অ্যাকাউন্ট যা দুই বা ততোধিক ব্যক্তি যৌথভাবে পরিচালনা করেন। এতে 'Either or Survivor' বা 'Jointly' শর্ত থাকতে পারে।</w:t>
      </w:r>
    </w:p>
    <w:p>
      <w:pPr>
        <w:spacing w:after="50" w:before="50"/>
      </w:pPr>
      <w:r>
        <w:rPr>
          <w:rFonts w:ascii="Times New Roman" w:cs="Times New Roman" w:eastAsia="Times New Roman" w:hAnsi="Times New Roman"/>
          <w:i/>
          <w:iCs/>
          <w:color w:val="6B6361"/>
          <w:sz w:val="20"/>
          <w:szCs w:val="20"/>
        </w:rPr>
        <w:t xml:space="preserve">Answer: A joint account is one operated by two or more persons jointly. It may have 'Either or Survivor' or 'Jointly' conditions.</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Banking Practice</w:t>
      </w:r>
    </w:p>
    <w:p>
      <w:pPr>
        <w:pStyle w:val="Heading2"/>
      </w:pPr>
      <w:r>
        <w:rPr>
          <w:rFonts w:ascii="Times New Roman" w:cs="Times New Roman" w:eastAsia="Times New Roman" w:hAnsi="Times New Roman"/>
          <w:b/>
          <w:bCs/>
          <w:color w:val="26211F"/>
          <w:sz w:val="22"/>
          <w:szCs w:val="22"/>
        </w:rPr>
        <w:t xml:space="preserve">QH.4: নমিনি কে?</w:t>
      </w:r>
    </w:p>
    <w:p>
      <w:pPr>
        <w:spacing w:after="100" w:before="50"/>
      </w:pPr>
      <w:r>
        <w:rPr>
          <w:rFonts w:ascii="Times New Roman" w:cs="Times New Roman" w:eastAsia="Times New Roman" w:hAnsi="Times New Roman"/>
          <w:i/>
          <w:iCs/>
          <w:color w:val="6B6361"/>
          <w:sz w:val="20"/>
          <w:szCs w:val="20"/>
        </w:rPr>
        <w:t xml:space="preserve">(Who is a nominee?)</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নমিনি হলেন এমন ব্যক্তি যাকে গ্রাহকের মৃত্যুর পর অ্যাকাউন্টের টাকা পাওয়ার জন্য মনোনীত করা হয়। নমিনি গ্রাহকের উত্তরাধিকারী নাও হতে পারেন।</w:t>
      </w:r>
    </w:p>
    <w:p>
      <w:pPr>
        <w:spacing w:after="50" w:before="50"/>
      </w:pPr>
      <w:r>
        <w:rPr>
          <w:rFonts w:ascii="Times New Roman" w:cs="Times New Roman" w:eastAsia="Times New Roman" w:hAnsi="Times New Roman"/>
          <w:i/>
          <w:iCs/>
          <w:color w:val="6B6361"/>
          <w:sz w:val="20"/>
          <w:szCs w:val="20"/>
        </w:rPr>
        <w:t xml:space="preserve">Answer: A nominee is a person designated to receive the account money after the customer's death. The nominee may not necessarily be the customer's heir.</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Banking Practice</w:t>
      </w:r>
    </w:p>
    <w:p>
      <w:pPr>
        <w:pStyle w:val="Heading2"/>
      </w:pPr>
      <w:r>
        <w:rPr>
          <w:rFonts w:ascii="Times New Roman" w:cs="Times New Roman" w:eastAsia="Times New Roman" w:hAnsi="Times New Roman"/>
          <w:b/>
          <w:bCs/>
          <w:color w:val="26211F"/>
          <w:sz w:val="22"/>
          <w:szCs w:val="22"/>
        </w:rPr>
        <w:t xml:space="preserve">QH.5: পজিটিভ পে ইনস্ট্রাকশন কী?</w:t>
      </w:r>
    </w:p>
    <w:p>
      <w:pPr>
        <w:spacing w:after="100" w:before="50"/>
      </w:pPr>
      <w:r>
        <w:rPr>
          <w:rFonts w:ascii="Times New Roman" w:cs="Times New Roman" w:eastAsia="Times New Roman" w:hAnsi="Times New Roman"/>
          <w:i/>
          <w:iCs/>
          <w:color w:val="6B6361"/>
          <w:sz w:val="20"/>
          <w:szCs w:val="20"/>
        </w:rPr>
        <w:t xml:space="preserve">(What is positive pay instruction?)</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পজিটিভ পে ইনস্ট্রাকশন হল একটি ব্যবস্থা যেখানে চেক পরিশোধের আগে ব্যাংক ইস্যুকারীকে চেকের বিবরণ নিশ্চিত করতে বলে। এটি প্রতারণা রোধে সাহায্য করে।</w:t>
      </w:r>
    </w:p>
    <w:p>
      <w:pPr>
        <w:spacing w:after="50" w:before="50"/>
      </w:pPr>
      <w:r>
        <w:rPr>
          <w:rFonts w:ascii="Times New Roman" w:cs="Times New Roman" w:eastAsia="Times New Roman" w:hAnsi="Times New Roman"/>
          <w:i/>
          <w:iCs/>
          <w:color w:val="6B6361"/>
          <w:sz w:val="20"/>
          <w:szCs w:val="20"/>
        </w:rPr>
        <w:t xml:space="preserve">Answer: Positive pay instruction is a system where before paying a cheque, the bank asks the issuer to confirm the cheque details. It helps prevent fraud.</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Bangladesh Bank Guidelines</w:t>
      </w:r>
    </w:p>
    <w:p>
      <w:pPr>
        <w:pStyle w:val="Heading2"/>
      </w:pPr>
      <w:r>
        <w:rPr>
          <w:rFonts w:ascii="Times New Roman" w:cs="Times New Roman" w:eastAsia="Times New Roman" w:hAnsi="Times New Roman"/>
          <w:b/>
          <w:bCs/>
          <w:color w:val="26211F"/>
          <w:sz w:val="22"/>
          <w:szCs w:val="22"/>
        </w:rPr>
        <w:t xml:space="preserve">QH.6: স্টুডেন্ট অ্যাকাউন্ট কীভাবে খোলা যায়?</w:t>
      </w:r>
    </w:p>
    <w:p>
      <w:pPr>
        <w:spacing w:after="100" w:before="50"/>
      </w:pPr>
      <w:r>
        <w:rPr>
          <w:rFonts w:ascii="Times New Roman" w:cs="Times New Roman" w:eastAsia="Times New Roman" w:hAnsi="Times New Roman"/>
          <w:i/>
          <w:iCs/>
          <w:color w:val="6B6361"/>
          <w:sz w:val="20"/>
          <w:szCs w:val="20"/>
        </w:rPr>
        <w:t xml:space="preserve">(How can a student account be opened?)</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স্টুডেন্ট অ্যাকাউন্ট খুলতে শিক্ষার্থীর ছাত্র পরিচয়পত্র, অভিভাবকের সম্মতি এবং পরিচয়পত্র লাগে। এটি সাধারণত নাবালকদের জন্য অভিভাবকের মাধ্যমে খোলা হয়।</w:t>
      </w:r>
    </w:p>
    <w:p>
      <w:pPr>
        <w:spacing w:after="50" w:before="50"/>
      </w:pPr>
      <w:r>
        <w:rPr>
          <w:rFonts w:ascii="Times New Roman" w:cs="Times New Roman" w:eastAsia="Times New Roman" w:hAnsi="Times New Roman"/>
          <w:i/>
          <w:iCs/>
          <w:color w:val="6B6361"/>
          <w:sz w:val="20"/>
          <w:szCs w:val="20"/>
        </w:rPr>
        <w:t xml:space="preserve">Answer: To open a student account, the student's ID card, guardian's consent, and identity proof are required. It is usually opened for minors through guardians.</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Bangladesh Bank Guidelines</w:t>
      </w:r>
    </w:p>
    <w:p>
      <w:pPr>
        <w:pStyle w:val="Heading1"/>
      </w:pPr>
      <w:r>
        <w:rPr>
          <w:rFonts w:ascii="Times New Roman" w:cs="Times New Roman" w:eastAsia="Times New Roman" w:hAnsi="Times New Roman"/>
          <w:b/>
          <w:bCs/>
          <w:color w:val="26211F"/>
        </w:rPr>
        <w:t xml:space="preserve">MODULE I: Negotiable Instrument Act, 1881</w:t>
      </w:r>
    </w:p>
    <w:p>
      <w:pPr>
        <w:spacing w:after="200"/>
      </w:pPr>
      <w:r>
        <w:rPr>
          <w:rFonts w:ascii="Times New Roman" w:cs="Times New Roman" w:eastAsia="Times New Roman" w:hAnsi="Times New Roman"/>
          <w:color w:val="3D3735"/>
          <w:sz w:val="22"/>
          <w:szCs w:val="22"/>
        </w:rPr>
        <w:t xml:space="preserve">This module covers cheque operations, endorsement, negotiation, and legal remedies for dishonored cheques.</w:t>
      </w:r>
    </w:p>
    <w:p>
      <w:pPr>
        <w:pStyle w:val="Heading2"/>
      </w:pPr>
      <w:r>
        <w:rPr>
          <w:rFonts w:ascii="Times New Roman" w:cs="Times New Roman" w:eastAsia="Times New Roman" w:hAnsi="Times New Roman"/>
          <w:b/>
          <w:bCs/>
          <w:color w:val="26211F"/>
          <w:sz w:val="22"/>
          <w:szCs w:val="22"/>
        </w:rPr>
        <w:t xml:space="preserve">QI.1: চেক অনাদায়ের জন্য আইনি ব্যবস্থা কী?</w:t>
      </w:r>
    </w:p>
    <w:p>
      <w:pPr>
        <w:spacing w:after="100" w:before="50"/>
      </w:pPr>
      <w:r>
        <w:rPr>
          <w:rFonts w:ascii="Times New Roman" w:cs="Times New Roman" w:eastAsia="Times New Roman" w:hAnsi="Times New Roman"/>
          <w:i/>
          <w:iCs/>
          <w:color w:val="6B6361"/>
          <w:sz w:val="20"/>
          <w:szCs w:val="20"/>
        </w:rPr>
        <w:t xml:space="preserve">(What is the legal remedy for cheque dishonor?)</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চেক অনাদায়ের জন্য Negotiable Instruments Act, 1881 এর Section 138 অনুযায়ী আইনি ব্যবস্থা নেওয়া যায়। প্রথমে ১৫ দিনের নোটিশ দিতে হয়, তারপর ৩০ দিনের মধ্যে আদালতে মামলা দায়ের করতে হয়।</w:t>
      </w:r>
    </w:p>
    <w:p>
      <w:pPr>
        <w:spacing w:after="50" w:before="50"/>
      </w:pPr>
      <w:r>
        <w:rPr>
          <w:rFonts w:ascii="Times New Roman" w:cs="Times New Roman" w:eastAsia="Times New Roman" w:hAnsi="Times New Roman"/>
          <w:i/>
          <w:iCs/>
          <w:color w:val="6B6361"/>
          <w:sz w:val="20"/>
          <w:szCs w:val="20"/>
        </w:rPr>
        <w:t xml:space="preserve">Answer: For cheque dishonor, legal action can be taken under Section 138 of the Negotiable Instruments Act, 1881. First, a 15-day notice must be given, then a case must be filed in court within 30 days.</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Negotiable Instruments Act, 1881 - Section 138</w:t>
      </w:r>
    </w:p>
    <w:p>
      <w:pPr>
        <w:pStyle w:val="Heading2"/>
      </w:pPr>
      <w:r>
        <w:rPr>
          <w:rFonts w:ascii="Times New Roman" w:cs="Times New Roman" w:eastAsia="Times New Roman" w:hAnsi="Times New Roman"/>
          <w:b/>
          <w:bCs/>
          <w:color w:val="26211F"/>
          <w:sz w:val="22"/>
          <w:szCs w:val="22"/>
        </w:rPr>
        <w:t xml:space="preserve">QI.2: চেক অনাদায়ের কারণগুলো কী কী?</w:t>
      </w:r>
    </w:p>
    <w:p>
      <w:pPr>
        <w:spacing w:after="100" w:before="50"/>
      </w:pPr>
      <w:r>
        <w:rPr>
          <w:rFonts w:ascii="Times New Roman" w:cs="Times New Roman" w:eastAsia="Times New Roman" w:hAnsi="Times New Roman"/>
          <w:i/>
          <w:iCs/>
          <w:color w:val="6B6361"/>
          <w:sz w:val="20"/>
          <w:szCs w:val="20"/>
        </w:rPr>
        <w:t xml:space="preserve">(What are the reasons for cheque dishonor?)</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চেক অনাদায়ের প্রধান কারণগুলো: অপর্যাপ্ত তহবিল, স্বাক্ষর অমিল, চেক স্টেল, অ্যাকাউন্ট বন্ধ, রুখে দেওয়া নির্দেশ, ওভাররাইটিং ইত্যাদি।</w:t>
      </w:r>
    </w:p>
    <w:p>
      <w:pPr>
        <w:spacing w:after="50" w:before="50"/>
      </w:pPr>
      <w:r>
        <w:rPr>
          <w:rFonts w:ascii="Times New Roman" w:cs="Times New Roman" w:eastAsia="Times New Roman" w:hAnsi="Times New Roman"/>
          <w:i/>
          <w:iCs/>
          <w:color w:val="6B6361"/>
          <w:sz w:val="20"/>
          <w:szCs w:val="20"/>
        </w:rPr>
        <w:t xml:space="preserve">Answer: Main reasons for cheque dishonor: insufficient funds, signature mismatch, stale cheque, closed account, stop payment instruction, overwriting, etc.</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Negotiable Instruments Act, 1881</w:t>
      </w:r>
    </w:p>
    <w:p>
      <w:pPr>
        <w:pStyle w:val="Heading2"/>
      </w:pPr>
      <w:r>
        <w:rPr>
          <w:rFonts w:ascii="Times New Roman" w:cs="Times New Roman" w:eastAsia="Times New Roman" w:hAnsi="Times New Roman"/>
          <w:b/>
          <w:bCs/>
          <w:color w:val="26211F"/>
          <w:sz w:val="22"/>
          <w:szCs w:val="22"/>
        </w:rPr>
        <w:t xml:space="preserve">QI.3: ব্যাংকারের লিয়েন কী?</w:t>
      </w:r>
    </w:p>
    <w:p>
      <w:pPr>
        <w:spacing w:after="100" w:before="50"/>
      </w:pPr>
      <w:r>
        <w:rPr>
          <w:rFonts w:ascii="Times New Roman" w:cs="Times New Roman" w:eastAsia="Times New Roman" w:hAnsi="Times New Roman"/>
          <w:i/>
          <w:iCs/>
          <w:color w:val="6B6361"/>
          <w:sz w:val="20"/>
          <w:szCs w:val="20"/>
        </w:rPr>
        <w:t xml:space="preserve">(What is banker's lien?)</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ব্যাংকারের লিয়েন হল ব্যাংকের আইনি অধিকার যার মাধ্যমে ব্যাংক গ্রাহকের বকেয়া পরিশোধ না হওয়া পর্যন্ত গ্রাহকের জিনিসপত্র বা দলিল আটক রাখতে পারে।</w:t>
      </w:r>
    </w:p>
    <w:p>
      <w:pPr>
        <w:spacing w:after="50" w:before="50"/>
      </w:pPr>
      <w:r>
        <w:rPr>
          <w:rFonts w:ascii="Times New Roman" w:cs="Times New Roman" w:eastAsia="Times New Roman" w:hAnsi="Times New Roman"/>
          <w:i/>
          <w:iCs/>
          <w:color w:val="6B6361"/>
          <w:sz w:val="20"/>
          <w:szCs w:val="20"/>
        </w:rPr>
        <w:t xml:space="preserve">Answer: Banker's lien is the legal right of a bank to retain a customer's goods or documents until the customer's outstanding dues are paid.</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Banking Practice</w:t>
      </w:r>
    </w:p>
    <w:p>
      <w:pPr>
        <w:pStyle w:val="Heading2"/>
      </w:pPr>
      <w:r>
        <w:rPr>
          <w:rFonts w:ascii="Times New Roman" w:cs="Times New Roman" w:eastAsia="Times New Roman" w:hAnsi="Times New Roman"/>
          <w:b/>
          <w:bCs/>
          <w:color w:val="26211F"/>
          <w:sz w:val="22"/>
          <w:szCs w:val="22"/>
        </w:rPr>
        <w:t xml:space="preserve">QI.4: সেট-অফ কী?</w:t>
      </w:r>
    </w:p>
    <w:p>
      <w:pPr>
        <w:spacing w:after="100" w:before="50"/>
      </w:pPr>
      <w:r>
        <w:rPr>
          <w:rFonts w:ascii="Times New Roman" w:cs="Times New Roman" w:eastAsia="Times New Roman" w:hAnsi="Times New Roman"/>
          <w:i/>
          <w:iCs/>
          <w:color w:val="6B6361"/>
          <w:sz w:val="20"/>
          <w:szCs w:val="20"/>
        </w:rPr>
        <w:t xml:space="preserve">(What is set-off?)</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সেট-অফ হল ব্যাংকের অধিকার যার মাধ্যমে ব্যাংক গ্রাহকের এক অ্যাকাউন্টের বকেয়া অন্য অ্যাকাউন্টের জমা থেকে আদায় করতে পারে।</w:t>
      </w:r>
    </w:p>
    <w:p>
      <w:pPr>
        <w:spacing w:after="50" w:before="50"/>
      </w:pPr>
      <w:r>
        <w:rPr>
          <w:rFonts w:ascii="Times New Roman" w:cs="Times New Roman" w:eastAsia="Times New Roman" w:hAnsi="Times New Roman"/>
          <w:i/>
          <w:iCs/>
          <w:color w:val="6B6361"/>
          <w:sz w:val="20"/>
          <w:szCs w:val="20"/>
        </w:rPr>
        <w:t xml:space="preserve">Answer: Set-off is the right of a bank to recover dues from one account of a customer from the balance in another account.</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Banking Practice</w:t>
      </w:r>
    </w:p>
    <w:p>
      <w:pPr>
        <w:pStyle w:val="Heading2"/>
      </w:pPr>
      <w:r>
        <w:rPr>
          <w:rFonts w:ascii="Times New Roman" w:cs="Times New Roman" w:eastAsia="Times New Roman" w:hAnsi="Times New Roman"/>
          <w:b/>
          <w:bCs/>
          <w:color w:val="26211F"/>
          <w:sz w:val="22"/>
          <w:szCs w:val="22"/>
        </w:rPr>
        <w:t xml:space="preserve">QI.5: গার্নিশি অর্ডার কী?</w:t>
      </w:r>
    </w:p>
    <w:p>
      <w:pPr>
        <w:spacing w:after="100" w:before="50"/>
      </w:pPr>
      <w:r>
        <w:rPr>
          <w:rFonts w:ascii="Times New Roman" w:cs="Times New Roman" w:eastAsia="Times New Roman" w:hAnsi="Times New Roman"/>
          <w:i/>
          <w:iCs/>
          <w:color w:val="6B6361"/>
          <w:sz w:val="20"/>
          <w:szCs w:val="20"/>
        </w:rPr>
        <w:t xml:space="preserve">(What is a Garnishee Order?)</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গার্নিশি অর্ডার হল আদালতের আদেশ যার মাধ্যমে ব্যাংককে গ্রাহকের অ্যাকাউন্ট থেকে অর্থ তোলা বা স্থানান্তর করা থেকে বিরত থাকতে বলা হয়।</w:t>
      </w:r>
    </w:p>
    <w:p>
      <w:pPr>
        <w:spacing w:after="50" w:before="50"/>
      </w:pPr>
      <w:r>
        <w:rPr>
          <w:rFonts w:ascii="Times New Roman" w:cs="Times New Roman" w:eastAsia="Times New Roman" w:hAnsi="Times New Roman"/>
          <w:i/>
          <w:iCs/>
          <w:color w:val="6B6361"/>
          <w:sz w:val="20"/>
          <w:szCs w:val="20"/>
        </w:rPr>
        <w:t xml:space="preserve">Answer: A Garnishee Order is a court order instructing a bank to refrain from withdrawing or transferring money from a customer's account.</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Civil Procedure Code, 1908 - Order 21, Rule 46</w:t>
      </w:r>
    </w:p>
    <w:p>
      <w:pPr>
        <w:pStyle w:val="Heading2"/>
      </w:pPr>
      <w:r>
        <w:rPr>
          <w:rFonts w:ascii="Times New Roman" w:cs="Times New Roman" w:eastAsia="Times New Roman" w:hAnsi="Times New Roman"/>
          <w:b/>
          <w:bCs/>
          <w:color w:val="26211F"/>
          <w:sz w:val="22"/>
          <w:szCs w:val="22"/>
        </w:rPr>
        <w:t xml:space="preserve">QI.6: পেমেন্ট ইন ডিউ কোর্স কী?</w:t>
      </w:r>
    </w:p>
    <w:p>
      <w:pPr>
        <w:spacing w:after="100" w:before="50"/>
      </w:pPr>
      <w:r>
        <w:rPr>
          <w:rFonts w:ascii="Times New Roman" w:cs="Times New Roman" w:eastAsia="Times New Roman" w:hAnsi="Times New Roman"/>
          <w:i/>
          <w:iCs/>
          <w:color w:val="6B6361"/>
          <w:sz w:val="20"/>
          <w:szCs w:val="20"/>
        </w:rPr>
        <w:t xml:space="preserve">(What is payment in due course?)</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পেমেন্ট ইন ডিউ কোর্স হল চেক বা বিলের যথাযথ পরিশোধ। এটি সুবিশ্বাসে, সঠিক পক্ষকে এবং কোনো ত্রুটি জানা না থাকলে করা হয়।</w:t>
      </w:r>
    </w:p>
    <w:p>
      <w:pPr>
        <w:spacing w:after="50" w:before="50"/>
      </w:pPr>
      <w:r>
        <w:rPr>
          <w:rFonts w:ascii="Times New Roman" w:cs="Times New Roman" w:eastAsia="Times New Roman" w:hAnsi="Times New Roman"/>
          <w:i/>
          <w:iCs/>
          <w:color w:val="6B6361"/>
          <w:sz w:val="20"/>
          <w:szCs w:val="20"/>
        </w:rPr>
        <w:t xml:space="preserve">Answer: Payment in due course is proper payment of a cheque or bill. It is made in good faith, to the proper party, and without knowledge of any defect.</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Negotiable Instruments Act, 1881 - Section 10</w:t>
      </w:r>
    </w:p>
    <w:p>
      <w:pPr>
        <w:pStyle w:val="Heading2"/>
      </w:pPr>
      <w:r>
        <w:rPr>
          <w:rFonts w:ascii="Times New Roman" w:cs="Times New Roman" w:eastAsia="Times New Roman" w:hAnsi="Times New Roman"/>
          <w:b/>
          <w:bCs/>
          <w:color w:val="26211F"/>
          <w:sz w:val="22"/>
          <w:szCs w:val="22"/>
        </w:rPr>
        <w:t xml:space="preserve">QI.7: নেগোশিয়েশন কী?</w:t>
      </w:r>
    </w:p>
    <w:p>
      <w:pPr>
        <w:spacing w:after="100" w:before="50"/>
      </w:pPr>
      <w:r>
        <w:rPr>
          <w:rFonts w:ascii="Times New Roman" w:cs="Times New Roman" w:eastAsia="Times New Roman" w:hAnsi="Times New Roman"/>
          <w:i/>
          <w:iCs/>
          <w:color w:val="6B6361"/>
          <w:sz w:val="20"/>
          <w:szCs w:val="20"/>
        </w:rPr>
        <w:t xml:space="preserve">(What is negotiation?)</w:t>
      </w:r>
    </w:p>
    <w:p>
      <w:pPr>
        <w:spacing w:after="50" w:before="50"/>
      </w:pPr>
      <w:r>
        <w:rPr>
          <w:rFonts w:ascii="Times New Roman" w:cs="Times New Roman" w:eastAsia="Times New Roman" w:hAnsi="Times New Roman"/>
          <w:b/>
          <w:bCs/>
          <w:color w:val="C19A6B"/>
          <w:sz w:val="22"/>
          <w:szCs w:val="22"/>
        </w:rPr>
        <w:t xml:space="preserve">উত্তর: </w:t>
      </w:r>
      <w:r>
        <w:rPr>
          <w:rFonts w:ascii="Times New Roman" w:cs="Times New Roman" w:eastAsia="Times New Roman" w:hAnsi="Times New Roman"/>
          <w:color w:val="3D3735"/>
          <w:sz w:val="22"/>
          <w:szCs w:val="22"/>
        </w:rPr>
        <w:t xml:space="preserve">নেগোশিয়েশন হল চেক বা বিলকে এক ব্যক্তি থেকে অন্য ব্যক্তিতে স্থানান্তর করা। বিয়ারার চেকের ক্ষেত্রে কেবল হস্তান্তরে এবং অর্ডার চেকের ক্ষেত্রে এনডোর্সমেন্টের মাধ্যমে এটি হয়।</w:t>
      </w:r>
    </w:p>
    <w:p>
      <w:pPr>
        <w:spacing w:after="50" w:before="50"/>
      </w:pPr>
      <w:r>
        <w:rPr>
          <w:rFonts w:ascii="Times New Roman" w:cs="Times New Roman" w:eastAsia="Times New Roman" w:hAnsi="Times New Roman"/>
          <w:i/>
          <w:iCs/>
          <w:color w:val="6B6361"/>
          <w:sz w:val="20"/>
          <w:szCs w:val="20"/>
        </w:rPr>
        <w:t xml:space="preserve">Answer: Negotiation is the transfer of a cheque or bill from one person to another. For bearer cheques, it happens by mere delivery; for order cheques, it happens through endorsement.</w:t>
      </w:r>
    </w:p>
    <w:p>
      <w:pPr>
        <w:spacing w:after="200" w:before="50"/>
      </w:pPr>
      <w:r>
        <w:rPr>
          <w:rFonts w:ascii="Times New Roman" w:cs="Times New Roman" w:eastAsia="Times New Roman" w:hAnsi="Times New Roman"/>
          <w:b/>
          <w:bCs/>
          <w:color w:val="C19A6B"/>
          <w:sz w:val="20"/>
          <w:szCs w:val="20"/>
        </w:rPr>
        <w:t xml:space="preserve">Reference: </w:t>
      </w:r>
      <w:r>
        <w:rPr>
          <w:rFonts w:ascii="Times New Roman" w:cs="Times New Roman" w:eastAsia="Times New Roman" w:hAnsi="Times New Roman"/>
          <w:color w:val="6B6361"/>
          <w:sz w:val="20"/>
          <w:szCs w:val="20"/>
        </w:rPr>
        <w:t xml:space="preserve">Negotiable Instruments Act, 1881 - Section 14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361"/>
        <w:sz w:val="20"/>
        <w:szCs w:val="20"/>
      </w:rPr>
      <w:t xml:space="preserve">Page </w:t>
    </w:r>
    <w:r>
      <w:rPr>
        <w:color w:val="6B6361"/>
        <w:sz w:val="20"/>
        <w:szCs w:val="20"/>
      </w:rPr>
      <w:fldChar w:fldCharType="begin"/>
      <w:instrText xml:space="preserve">PAGE</w:instrText>
      <w:fldChar w:fldCharType="separate"/>
      <w:fldChar w:fldCharType="end"/>
    </w:r>
    <w:r>
      <w:rPr>
        <w:color w:val="6B6361"/>
        <w:sz w:val="20"/>
        <w:szCs w:val="20"/>
      </w:rPr>
      <w:t xml:space="preserve"> of </w:t>
    </w:r>
    <w:r>
      <w:rPr>
        <w:color w:val="6B6361"/>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6B6361"/>
        <w:sz w:val="20"/>
        <w:szCs w:val="20"/>
      </w:rPr>
      <w:t xml:space="preserve">LPGB Part E: Short Questions - Complete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26211F"/>
      <w:sz w:val="48"/>
      <w:szCs w:val="48"/>
    </w:rPr>
  </w:style>
  <w:style w:type="paragraph" w:styleId="Heading1">
    <w:name w:val="Heading 1"/>
    <w:basedOn w:val="Normal"/>
    <w:next w:val="Normal"/>
    <w:qFormat/>
    <w:pPr>
      <w:spacing w:after="200" w:before="300"/>
      <w:outlineLvl w:val="0"/>
    </w:pPr>
    <w:rPr>
      <w:rFonts w:ascii="Times New Roman" w:cs="Times New Roman" w:eastAsia="Times New Roman" w:hAnsi="Times New Roman"/>
      <w:b/>
      <w:bCs/>
      <w:color w:val="26211F"/>
      <w:sz w:val="28"/>
      <w:szCs w:val="28"/>
    </w:rPr>
  </w:style>
  <w:style w:type="paragraph" w:styleId="Heading2">
    <w:name w:val="Heading 2"/>
    <w:basedOn w:val="Normal"/>
    <w:next w:val="Normal"/>
    <w:qFormat/>
    <w:pPr>
      <w:spacing w:after="150" w:before="200"/>
      <w:outlineLvl w:val="1"/>
    </w:pPr>
    <w:rPr>
      <w:rFonts w:ascii="Times New Roman" w:cs="Times New Roman" w:eastAsia="Times New Roman" w:hAnsi="Times New Roman"/>
      <w:b/>
      <w:bCs/>
      <w:color w:val="3D3735"/>
      <w:sz w:val="24"/>
      <w:szCs w:val="24"/>
    </w:rPr>
  </w:style>
  <w:style w:type="paragraph" w:styleId="QuestionStyle">
    <w:name w:val="Question Style"/>
    <w:basedOn w:val="Normal"/>
    <w:pPr>
      <w:spacing w:after="100" w:before="150"/>
    </w:pPr>
    <w:rPr>
      <w:rFonts w:ascii="Times New Roman" w:cs="Times New Roman" w:eastAsia="Times New Roman" w:hAnsi="Times New Roman"/>
      <w:b/>
      <w:bCs/>
      <w:color w:val="26211F"/>
      <w:sz w:val="22"/>
      <w:szCs w:val="22"/>
    </w:rPr>
  </w:style>
  <w:style w:type="paragraph" w:styleId="AnswerStyle">
    <w:name w:val="Answer Style"/>
    <w:basedOn w:val="Normal"/>
    <w:pPr>
      <w:spacing w:after="50" w:before="50"/>
    </w:pPr>
    <w:rPr>
      <w:rFonts w:ascii="Times New Roman" w:cs="Times New Roman" w:eastAsia="Times New Roman" w:hAnsi="Times New Roman"/>
      <w:color w:val="3D3735"/>
      <w:sz w:val="22"/>
      <w:szCs w:val="22"/>
    </w:rPr>
  </w:style>
  <w:style w:type="paragraph" w:styleId="ReferenceStyle">
    <w:name w:val="Reference Style"/>
    <w:basedOn w:val="Normal"/>
    <w:pPr>
      <w:spacing w:after="150" w:before="50"/>
    </w:pPr>
    <w:rPr>
      <w:rFonts w:ascii="Times New Roman" w:cs="Times New Roman" w:eastAsia="Times New Roman" w:hAnsi="Times New Roman"/>
      <w:i/>
      <w:iCs/>
      <w:color w:val="6B6361"/>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2026-03-27T19:18:31.315Z</dcterms:created>
  <dcterms:modified xsi:type="dcterms:W3CDTF">2026-03-27T19:18:31.315Z</dcterms:modified>
</cp:coreProperties>
</file>

<file path=docProps/custom.xml><?xml version="1.0" encoding="utf-8"?>
<Properties xmlns="http://schemas.openxmlformats.org/officeDocument/2006/custom-properties" xmlns:vt="http://schemas.openxmlformats.org/officeDocument/2006/docPropsVTypes"/>
</file>