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SHOEBUDDIN AFZAL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