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 xml:space="preserve">ZAID PARKAR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CMAP2-A02-A01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CMAP2-A02-A03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CMAP2-A02-A04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CMAP2-A02-A05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50.0%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