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NIKHATH FATIMA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87%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CMAP2-A02-A01</w:t>
            </w:r>
          </w:p>
        </w:tc>
        <w:tc>
          <w:tcPr>
            <w:tcW w:type="dxa" w:w="432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72%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80%</w:t>
      </w:r>
    </w:p>
    <w:p>
      <w:r>
        <w:t xml:space="preserve">Feedback: </w:t>
      </w:r>
      <w:r>
        <w:rPr>
          <w:color w:val="0000FF"/>
        </w:rPr>
        <w:t>Good, focus on the gap and learn from mistakes/ Ahh! Something went wrong, and there are no issues. We are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