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Daniel Brown</w:t>
      </w:r>
    </w:p>
    <w:p>
      <w:pPr>
        <w:spacing w:after="20"/>
      </w:pPr>
      <w:r>
        <w:rPr>
          <w:color w:val="2E5496"/>
          <w:sz w:val="24"/>
          <w:szCs w:val="24"/>
        </w:rPr>
        <w:t xml:space="preserve">Solution Architect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EMP1015  |  Toronto, Canada  |  Time Zone: EST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Principal solution architect with 15 years across banking and healthcare. Led an AI-driven fraud-detection platform on Azure. Deep expertise in secure cloud architecture and Azure Cognitive Services.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Azure  •  Python  •  AI/ML  •  Azure Cognitive Services  •  Microservices  •  Cloud Security  •  Solution Design  •  Event-Driven Architecture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Certified: Azure Solutions Architect Expert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Certified: Azure AI Engineer Associate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15 years of professional experience</w:t>
      </w:r>
    </w:p>
    <w:p>
      <w:pPr>
        <w:spacing w:after="80"/>
      </w:pPr>
      <w:r>
        <w:t xml:space="preserve">Domain experience: Banking, Healthcare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Principal Solution Architect</w:t>
      </w:r>
      <w:r>
        <w:rPr>
          <w:color w:val="2E5496"/>
          <w:sz w:val="22"/>
          <w:szCs w:val="22"/>
        </w:rPr>
        <w:t xml:space="preserve">  —  Maple Financial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Architected an AI-driven fraud-detection platform on Azure using ML and Cognitive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Defined the secure cloud reference architecture adopted enterprise-wide.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cross-functional teams delivering regulated banking and healthcare solutions.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Architect</w:t>
      </w:r>
      <w:r>
        <w:rPr>
          <w:color w:val="2E5496"/>
          <w:sz w:val="22"/>
          <w:szCs w:val="22"/>
        </w:rPr>
        <w:t xml:space="preserve">  —  HealthSecure Systems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2009 – 2016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secure, compliant integration platforms for healthcare data exchange.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MSc in Computer Science, University of Toronto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2026-06-01T00:31:31.666Z</dcterms:created>
  <dcterms:modified xsi:type="dcterms:W3CDTF">2026-06-01T00:31:31.666Z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