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Emily Chen</w:t>
      </w:r>
    </w:p>
    <w:p>
      <w:pPr>
        <w:spacing w:after="20"/>
      </w:pPr>
      <w:r>
        <w:rPr>
          <w:color w:val="2E5496"/>
          <w:sz w:val="24"/>
          <w:szCs w:val="24"/>
        </w:rPr>
        <w:t xml:space="preserve">Python Developer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EMP1006  |  Sydney, Australia  |  Time Zone: AEST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Data-focused Python developer with 4 years building ETL pipelines and ML features for risk analytics in banking. Strong in Pandas, Airflow orchestration, and SQL optimization.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Python  •  Pandas  •  NumPy  •  Machine Learning  •  Airflow  •  SQL  •  Spark  •  ETL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Databricks Certified Data Engineer Associate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4 years of professional experience</w:t>
      </w:r>
    </w:p>
    <w:p>
      <w:pPr>
        <w:spacing w:after="80"/>
      </w:pPr>
      <w:r>
        <w:t xml:space="preserve">Domain experience: Banking, Analytics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Data Engineer / Python Developer</w:t>
      </w:r>
      <w:r>
        <w:rPr>
          <w:color w:val="2E5496"/>
          <w:sz w:val="22"/>
          <w:szCs w:val="22"/>
        </w:rPr>
        <w:t xml:space="preserve">  —  Southern Cross Bank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Airflow-orchestrated ETL pipelines feeding the credit-risk analytics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ML feature pipelines in Python improving model data freshness from daily to hourly.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Optimized SQL transformations, cutting pipeline runtime by 50%.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Junior Data Analyst</w:t>
      </w:r>
      <w:r>
        <w:rPr>
          <w:color w:val="2E5496"/>
          <w:sz w:val="22"/>
          <w:szCs w:val="22"/>
        </w:rPr>
        <w:t xml:space="preserve">  —  DataWorks Analytics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2021 – 2022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Produced analytical reports and dashboards using Python and SQL.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BSc in Data Science, University of Sydney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2026-06-01T00:31:31.454Z</dcterms:created>
  <dcterms:modified xsi:type="dcterms:W3CDTF">2026-06-01T00:31:31.454Z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