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40"/>
      </w:pPr>
      <w:r>
        <w:rPr>
          <w:b/>
        </w:rPr>
        <w:t>ROLE DESCRIPTION — FINANCE ASSOCIATE</w:t>
      </w:r>
    </w:p>
    <w:p>
      <w:pPr>
        <w:spacing w:after="40"/>
      </w:pPr>
      <w:r>
        <w:rPr>
          <w:b/>
        </w:rPr>
        <w:t>Document ID: DOC-016</w:t>
      </w:r>
    </w:p>
    <w:p>
      <w:pPr>
        <w:spacing w:after="40"/>
      </w:pPr>
      <w:r>
        <w:rPr>
          <w:b/>
        </w:rPr>
        <w:t>Version: 1.0</w:t>
      </w:r>
    </w:p>
    <w:p>
      <w:pPr>
        <w:spacing w:after="120" w:line="276" w:lineRule="auto"/>
      </w:pPr>
      <w:r>
        <w:t>Role ID: R04 Department: Finance &amp; Accounts</w:t>
      </w:r>
    </w:p>
    <w:p>
      <w:pPr>
        <w:pStyle w:val="Heading1"/>
        <w:spacing w:before="240" w:after="120"/>
      </w:pPr>
      <w:r>
        <w:t>SECTION 1: ROLE SUMMARY</w:t>
      </w:r>
    </w:p>
    <w:p>
      <w:pPr>
        <w:spacing w:after="120" w:line="276" w:lineRule="auto"/>
      </w:pPr>
      <w:r>
        <w:t>The Finance Associate handles day-to-day financial operations including accounts payable, accounts receivable, expense processing, and financial reporting support.</w:t>
      </w:r>
    </w:p>
    <w:p>
      <w:pPr>
        <w:pStyle w:val="Heading1"/>
        <w:spacing w:before="240" w:after="120"/>
      </w:pPr>
      <w:r>
        <w:t>SECTION 2: KEY RESPONSIBILITIES</w:t>
      </w:r>
    </w:p>
    <w:p>
      <w:pPr>
        <w:spacing w:after="120" w:line="276" w:lineRule="auto"/>
      </w:pPr>
      <w:r>
        <w:t>- Log and process vendor invoices within 24 hours of receipt - Coordinate payment approvals per Finance SOP authorization thresholds - Issue client invoices within 3 business days of service delivery - Monitor and follow up on overdue client payments - Process employee expense reimbursements in the monthly payroll cycle - Prepare data for monthly financial reports - Ensure compliance with FBR tax filing requirements - Maintain accurate financial records in the accounting system - Support quarterly and annual audits</w:t>
      </w:r>
    </w:p>
    <w:p>
      <w:pPr>
        <w:pStyle w:val="Heading1"/>
        <w:spacing w:before="240" w:after="120"/>
      </w:pPr>
      <w:r>
        <w:t>SECTION 3: MANDATORY COMPETENCIES</w:t>
      </w:r>
    </w:p>
    <w:p>
      <w:pPr>
        <w:spacing w:after="120" w:line="276" w:lineRule="auto"/>
      </w:pPr>
      <w:r>
        <w:t>- Proficiency in NexaCore accounting software (training required within 30 days) - Understanding of Finance SOP authorization thresholds and approval procedures - Knowledge of FBR tax regulations (withholding tax, GST) - Data accuracy and attention to detail - Confidentiality in handling financial data</w:t>
      </w:r>
    </w:p>
    <w:p>
      <w:pPr>
        <w:pStyle w:val="Heading1"/>
        <w:spacing w:before="240" w:after="120"/>
      </w:pPr>
      <w:r>
        <w:t>SECTION 4: MANDATORY ONBOARDING REQUIREMENTS</w:t>
      </w:r>
    </w:p>
    <w:p>
      <w:pPr>
        <w:spacing w:after="120" w:line="276" w:lineRule="auto"/>
      </w:pPr>
      <w:r>
        <w:t>- Company orientation (Day 1) - Finance &amp; Accounts SOP training (Week 1-2) - Accounting software training (Week 1-3) - Tax compliance and FBR regulations training (Week 2-3) - Payment authorization procedures and approval thresholds training (Week 1) - Data privacy and financial data handling training (Week 1) - Information security awareness training (Week 1) - Code of conduct acknowledgment (Day 1) - Month-end reporting process training (Week 3-4) - Supervised processing of a complete month-end cycle (Week 4)</w:t>
      </w:r>
    </w:p>
    <w:p>
      <w:pPr>
        <w:pStyle w:val="Heading1"/>
        <w:spacing w:before="240" w:after="120"/>
      </w:pPr>
      <w:r>
        <w:t>SECTION 5: KPIs</w:t>
      </w:r>
    </w:p>
    <w:p>
      <w:pPr>
        <w:spacing w:after="120" w:line="276" w:lineRule="auto"/>
      </w:pPr>
      <w:r>
        <w:t>- Invoice processing time (target: 100% within 24 hours) - Payment accuracy rate (target: 99.5%) - Expense reimbursement cycle time (target: within payroll month) - Tax filing compliance (target: 100% on-time)</w:t>
      </w:r>
    </w:p>
    <w:p>
      <w:pPr>
        <w:spacing w:after="120"/>
      </w:pPr>
      <w:r>
        <w:t>--- END OF DOCUMENT — Role Description: Finance Associate (DOC-016)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