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ROLE DESCRIPTION — SOFTWARE SUPPORT ENGINEER</w:t>
      </w:r>
    </w:p>
    <w:p>
      <w:pPr>
        <w:spacing w:after="40"/>
      </w:pPr>
      <w:r>
        <w:rPr>
          <w:b/>
        </w:rPr>
        <w:t>Document ID: DOC-017</w:t>
      </w:r>
    </w:p>
    <w:p>
      <w:pPr>
        <w:spacing w:after="40"/>
      </w:pPr>
      <w:r>
        <w:rPr>
          <w:b/>
        </w:rPr>
        <w:t>Version: 1.0</w:t>
      </w:r>
    </w:p>
    <w:p>
      <w:pPr>
        <w:spacing w:after="120" w:line="276" w:lineRule="auto"/>
      </w:pPr>
      <w:r>
        <w:t>Role ID: R07 Department: Software &amp; Technical Support</w:t>
      </w:r>
    </w:p>
    <w:p>
      <w:pPr>
        <w:pStyle w:val="Heading1"/>
        <w:spacing w:before="240" w:after="120"/>
      </w:pPr>
      <w:r>
        <w:t>SECTION 1: ROLE SUMMARY</w:t>
      </w:r>
    </w:p>
    <w:p>
      <w:pPr>
        <w:spacing w:after="120" w:line="276" w:lineRule="auto"/>
      </w:pPr>
      <w:r>
        <w:t>The Software Support Engineer provides advanced technical support for the NexaCRM Pro platform, including bug investigation, client-side configuration, API integrations, and escalated P1/P2 ticket resolution.</w:t>
      </w:r>
    </w:p>
    <w:p>
      <w:pPr>
        <w:pStyle w:val="Heading1"/>
        <w:spacing w:before="240" w:after="120"/>
      </w:pPr>
      <w:r>
        <w:t>SECTION 2: KEY RESPONSIBILITIES</w:t>
      </w:r>
    </w:p>
    <w:p>
      <w:pPr>
        <w:spacing w:after="120" w:line="276" w:lineRule="auto"/>
      </w:pPr>
      <w:r>
        <w:t>- Investigate and resolve escalated P1 and P2 support tickets - Diagnose platform bugs and coordinate bug reports with the Product Engineering team - Assist clients with NexaCRM Pro configuration and API integration - Write and maintain technical documentation and troubleshooting guides - Contribute to the internal knowledge base with solutions for complex issues - Conduct technical onboarding sessions for new enterprise clients - Perform root cause analysis for recurring issues - Monitor platform health dashboards and respond to alerts</w:t>
      </w:r>
    </w:p>
    <w:p>
      <w:pPr>
        <w:pStyle w:val="Heading1"/>
        <w:spacing w:before="240" w:after="120"/>
      </w:pPr>
      <w:r>
        <w:t>SECTION 3: MANDATORY COMPETENCIES</w:t>
      </w:r>
    </w:p>
    <w:p>
      <w:pPr>
        <w:spacing w:after="120" w:line="276" w:lineRule="auto"/>
      </w:pPr>
      <w:r>
        <w:t>- Proficiency in Python, REST APIs, SQL (demonstrated or proven via assessment) - NexaCRM Pro architecture and data model knowledge (training within 30 days) - ITIL Foundation understanding (certification preferred, training within 60 days) - Secure coding and data handling practices (information security training required within 5 days) - Advanced data privacy requirements for client data handling (training within 5 days)</w:t>
      </w:r>
    </w:p>
    <w:p>
      <w:pPr>
        <w:pStyle w:val="Heading1"/>
        <w:spacing w:before="240" w:after="120"/>
      </w:pPr>
      <w:r>
        <w:t>SECTION 4: MANDATORY ONBOARDING REQUIREMENTS</w:t>
      </w:r>
    </w:p>
    <w:p>
      <w:pPr>
        <w:spacing w:after="120" w:line="276" w:lineRule="auto"/>
      </w:pPr>
      <w:r>
        <w:t>- Company orientation (Day 1) - NexaCRM Pro technical architecture deep-dive (Week 1-3) - API documentation and integration patterns training (Week 2-3) - Information security advanced training (Week 1) - Data privacy advanced training for technical staff (Week 1) - Code of conduct acknowledgment (Day 1) - Bug reporting and escalation procedures training (Week 1-2) - Supervised P1 ticket shadow resolution (Weeks 2-3, minimum 5 tickets) - Technical competency assessment (Python/SQL/REST API) (Week 3) - Secure coding practices workshop (Week 2)</w:t>
      </w:r>
    </w:p>
    <w:p>
      <w:pPr>
        <w:pStyle w:val="Heading1"/>
        <w:spacing w:before="240" w:after="120"/>
      </w:pPr>
      <w:r>
        <w:t>SECTION 5: KPIs</w:t>
      </w:r>
    </w:p>
    <w:p>
      <w:pPr>
        <w:spacing w:after="120" w:line="276" w:lineRule="auto"/>
      </w:pPr>
      <w:r>
        <w:t>- P1 resolution time (target: within 4 hours) - P2 resolution time (target: within 24 hours) - Knowledge base contribution (target: minimum 2 articles/month) - Recurring issue reduction rate (quarterly metric)</w:t>
      </w:r>
    </w:p>
    <w:p>
      <w:pPr>
        <w:spacing w:after="120"/>
      </w:pPr>
      <w:r>
        <w:t>--- END OF DOCUMENT — Role Description: Software Support Engineer (DOC-017)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