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NimbusWorks Incident Response Standard Operating Procedure</w:t>
      </w:r>
    </w:p>
    <w:p>
      <w:r>
        <w:t>Version: 1.0 | Effective: 2026-01-01</w:t>
      </w:r>
    </w:p>
    <w:p>
      <w:pPr>
        <w:pStyle w:val="Heading2"/>
      </w:pPr>
      <w:r>
        <w:t>1. Incident Classification and Roles</w:t>
      </w:r>
    </w:p>
    <w:p>
      <w:pPr>
        <w:pStyle w:val="Heading3"/>
      </w:pPr>
      <w:r>
        <w:t>1.1 Severity Level Matrix</w:t>
      </w:r>
    </w:p>
    <w:p>
      <w:r>
        <w:t>Incidents are classified into Severity 1 (Critical Outage/Security Breach), Severity 2 (Major Service Degradation), and Severity 3 (Minor Defect).</w:t>
      </w:r>
    </w:p>
    <w:p>
      <w:pPr>
        <w:pStyle w:val="Heading3"/>
      </w:pPr>
      <w:r>
        <w:t>1.2 Incident Commander</w:t>
      </w:r>
    </w:p>
    <w:p>
      <w:r>
        <w:t>For Severity 1 incidents, a designated DevOps/IT Engineer serves as Incident Commander and assumes full control of technical response efforts.</w:t>
      </w:r>
    </w:p>
    <w:p>
      <w:pPr>
        <w:pStyle w:val="Heading2"/>
      </w:pPr>
      <w:r>
        <w:t>2. Triage and Containment</w:t>
      </w:r>
    </w:p>
    <w:p>
      <w:pPr>
        <w:pStyle w:val="Heading3"/>
      </w:pPr>
      <w:r>
        <w:t>2.1 Initial Assessment</w:t>
      </w:r>
    </w:p>
    <w:p>
      <w:r>
        <w:t>Upon receiving an alert, the on-call DevOps/IT Engineer must triage the issue and establish a dedicated Incident Command Slack channel within 10 minutes.</w:t>
      </w:r>
    </w:p>
    <w:p>
      <w:pPr>
        <w:pStyle w:val="Heading3"/>
      </w:pPr>
      <w:r>
        <w:t>2.2 Containment Actions</w:t>
      </w:r>
    </w:p>
    <w:p>
      <w:r>
        <w:t>For security incidents, DevOps/IT Engineers must isolate compromised servers or revoke affected credentials within 15 minutes of triage.</w:t>
      </w:r>
    </w:p>
    <w:p>
      <w:pPr>
        <w:pStyle w:val="Heading2"/>
      </w:pPr>
      <w:r>
        <w:t>3. Communication Protocols</w:t>
      </w:r>
    </w:p>
    <w:p>
      <w:pPr>
        <w:pStyle w:val="Heading3"/>
      </w:pPr>
      <w:r>
        <w:t>3.1 Customer Advisory Updates</w:t>
      </w:r>
    </w:p>
    <w:p>
      <w:r>
        <w:t>Software Support Engineers and Customer Support Executives must issue customer status updates every 30 minutes during Severity 1 outages.</w:t>
      </w:r>
    </w:p>
    <w:p>
      <w:pPr>
        <w:pStyle w:val="Heading3"/>
      </w:pPr>
      <w:r>
        <w:t>3.2 Post-Incident Report (PIR)</w:t>
      </w:r>
    </w:p>
    <w:p>
      <w:r>
        <w:t>Within 48 hours of resolving a Severity 1 incident, the Incident Commander must publish a Post-Incident Report (PIR) detailing root cause and preventative actions.</w:t>
      </w:r>
    </w:p>
    <w:p>
      <w:pPr>
        <w:pStyle w:val="Heading2"/>
      </w:pPr>
      <w:r>
        <w:t>4. Continuous Improvement</w:t>
      </w:r>
    </w:p>
    <w:p>
      <w:pPr>
        <w:pStyle w:val="Heading3"/>
      </w:pPr>
      <w:r>
        <w:t>4.1 Action Item Tracking</w:t>
      </w:r>
    </w:p>
    <w:p>
      <w:r>
        <w:t>Action items identified in PIRs must be logged in project management tools and assigned to responsible teams with completion deadlines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