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NimbusWorks Finance Standard Operating Procedure</w:t>
      </w:r>
    </w:p>
    <w:p>
      <w:r>
        <w:t>Version: 1.0 | Effective: 2026-01-01</w:t>
      </w:r>
    </w:p>
    <w:p>
      <w:pPr>
        <w:pStyle w:val="Heading2"/>
      </w:pPr>
      <w:r>
        <w:t>1. Payroll Processing</w:t>
      </w:r>
    </w:p>
    <w:p>
      <w:pPr>
        <w:pStyle w:val="Heading3"/>
      </w:pPr>
      <w:r>
        <w:t>1.1 Timesheets</w:t>
      </w:r>
    </w:p>
    <w:p>
      <w:r>
        <w:t>All hourly employees must submit their timesheets by the 15th of each month. Branch/Team Managers must approve them by the 18th.</w:t>
      </w:r>
    </w:p>
    <w:p>
      <w:pPr>
        <w:pStyle w:val="Heading3"/>
      </w:pPr>
      <w:r>
        <w:t>1.2 Salary Disbursal</w:t>
      </w:r>
    </w:p>
    <w:p>
      <w:r>
        <w:t>Finance Associates process payroll on the 25th to ensure funds reach employees by the 28th. Any delays must be communicated company-wide immediately.</w:t>
      </w:r>
    </w:p>
    <w:p>
      <w:pPr>
        <w:pStyle w:val="Heading2"/>
      </w:pPr>
      <w:r>
        <w:t>2. Expense Reimbursement</w:t>
      </w:r>
    </w:p>
    <w:p>
      <w:pPr>
        <w:pStyle w:val="Heading3"/>
      </w:pPr>
      <w:r>
        <w:t>2.1 Submitting Claims</w:t>
      </w:r>
    </w:p>
    <w:p>
      <w:r>
        <w:t>Employees must submit expense claims via the internal finance portal within 30 days of the transaction, accompanied by valid receipts.</w:t>
      </w:r>
    </w:p>
    <w:p>
      <w:pPr>
        <w:pStyle w:val="Heading3"/>
      </w:pPr>
      <w:r>
        <w:t>2.2 Approval Limits</w:t>
      </w:r>
    </w:p>
    <w:p>
      <w:r>
        <w:t>Branch/Team Managers can approve expenses up to $500. Expenses above this amount require sign-off from the Finance Director.</w:t>
      </w:r>
    </w:p>
    <w:p>
      <w:pPr>
        <w:pStyle w:val="Heading2"/>
      </w:pPr>
      <w:r>
        <w:t>3. Client Invoicing</w:t>
      </w:r>
    </w:p>
    <w:p>
      <w:pPr>
        <w:pStyle w:val="Heading3"/>
      </w:pPr>
      <w:r>
        <w:t>3.1 Invoice Generation</w:t>
      </w:r>
    </w:p>
    <w:p>
      <w:r>
        <w:t>Invoices are generated automatically by the billing system on the 1st of each month. Finance Associates must perform a spot check on 10% of generated invoices.</w:t>
      </w:r>
    </w:p>
    <w:p>
      <w:pPr>
        <w:pStyle w:val="Heading3"/>
      </w:pPr>
      <w:r>
        <w:t>3.2 Outstanding Payments</w:t>
      </w:r>
    </w:p>
    <w:p>
      <w:r>
        <w:t>Clients with invoices overdue by 30 days must receive a reminder. At 60 days overdue, account access will be suspended until payment is received.</w:t>
      </w:r>
    </w:p>
    <w:p>
      <w:pPr>
        <w:pStyle w:val="Heading2"/>
      </w:pPr>
      <w:r>
        <w:t>4. Vendor Payments</w:t>
      </w:r>
    </w:p>
    <w:p>
      <w:pPr>
        <w:pStyle w:val="Heading3"/>
      </w:pPr>
      <w:r>
        <w:t>4.1 Payment Terms</w:t>
      </w:r>
    </w:p>
    <w:p>
      <w:r>
        <w:t>NimbusWorks standard payment terms for vendors are Net 30. Finance Associates must ensure all vendor invoices are logged upon receipt.</w:t>
      </w:r>
    </w:p>
    <w:p>
      <w:pPr>
        <w:pStyle w:val="Heading3"/>
      </w:pPr>
      <w:r>
        <w:t>4.2 Approvals</w:t>
      </w:r>
    </w:p>
    <w:p>
      <w:r>
        <w:t>All vendor payments require a dual-approval process to prevent fraudulent transactions.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