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Sales Standard Operating Procedure</w:t>
      </w:r>
    </w:p>
    <w:p>
      <w:r>
        <w:t>Version: 1.0 | Effective: 2026-01-01</w:t>
      </w:r>
    </w:p>
    <w:p>
      <w:pPr>
        <w:pStyle w:val="Heading2"/>
      </w:pPr>
      <w:r>
        <w:t>1. Lead Generation</w:t>
      </w:r>
    </w:p>
    <w:p>
      <w:pPr>
        <w:pStyle w:val="Heading3"/>
      </w:pPr>
      <w:r>
        <w:t>1.1 Sourcing Leads</w:t>
      </w:r>
    </w:p>
    <w:p>
      <w:r>
        <w:t>Sales Executives are responsible for sourcing leads via LinkedIn, industry conferences, and inbound marketing funnels managed by Marketing Executives.</w:t>
      </w:r>
    </w:p>
    <w:p>
      <w:pPr>
        <w:pStyle w:val="Heading3"/>
      </w:pPr>
      <w:r>
        <w:t>1.2 Qualification</w:t>
      </w:r>
    </w:p>
    <w:p>
      <w:r>
        <w:t>Leads must be qualified using the BANT (Budget, Authority, Need, Timeline) framework before being added to the CRM as an active opportunity.</w:t>
      </w:r>
    </w:p>
    <w:p>
      <w:pPr>
        <w:pStyle w:val="Heading2"/>
      </w:pPr>
      <w:r>
        <w:t>2. The Pitch</w:t>
      </w:r>
    </w:p>
    <w:p>
      <w:pPr>
        <w:pStyle w:val="Heading3"/>
      </w:pPr>
      <w:r>
        <w:t>2.1 Demonstrations</w:t>
      </w:r>
    </w:p>
    <w:p>
      <w:r>
        <w:t>Product demos should be tailored to the prospect's specific pain points in project management or billing. Software Support Engineers may be looped in for technical queries.</w:t>
      </w:r>
    </w:p>
    <w:p>
      <w:pPr>
        <w:pStyle w:val="Heading3"/>
      </w:pPr>
      <w:r>
        <w:t>2.2 Proposal Creation</w:t>
      </w:r>
    </w:p>
    <w:p>
      <w:r>
        <w:t>Proposals must use the official NimbusWorks template and include standard pricing tiers. Custom pricing requires approval from a Branch/Team Manager.</w:t>
      </w:r>
    </w:p>
    <w:p>
      <w:pPr>
        <w:pStyle w:val="Heading2"/>
      </w:pPr>
      <w:r>
        <w:t>3. Closing the Deal</w:t>
      </w:r>
    </w:p>
    <w:p>
      <w:pPr>
        <w:pStyle w:val="Heading3"/>
      </w:pPr>
      <w:r>
        <w:t>3.1 Contract Negotiation</w:t>
      </w:r>
    </w:p>
    <w:p>
      <w:r>
        <w:t>Legal counsel must review any modifications to the standard Master Service Agreement (MSA) requested by the client.</w:t>
      </w:r>
    </w:p>
    <w:p>
      <w:pPr>
        <w:pStyle w:val="Heading3"/>
      </w:pPr>
      <w:r>
        <w:t>3.2 Handoff</w:t>
      </w:r>
    </w:p>
    <w:p>
      <w:r>
        <w:t>Once a contract is signed, the Sales Executive must complete the handoff form in the CRM to transition the account to Customer Support Executives.</w:t>
      </w:r>
    </w:p>
    <w:p>
      <w:pPr>
        <w:pStyle w:val="Heading2"/>
      </w:pPr>
      <w:r>
        <w:t>4. Post-Sale Activity</w:t>
      </w:r>
    </w:p>
    <w:p>
      <w:pPr>
        <w:pStyle w:val="Heading3"/>
      </w:pPr>
      <w:r>
        <w:t>4.1 Follow-up</w:t>
      </w:r>
    </w:p>
    <w:p>
      <w:r>
        <w:t>Sales Executives should check in with new clients 30 days post-launch to ensure satisfaction and identify upsell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