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0F2240"/>
          <w:sz w:val="36"/>
        </w:rPr>
        <w:t>Trajectory-Block Evaluation of a Multimodal RGB–GPS Beam Tracker with Conformal Risk Control for 60 GHz V2V Links</w:t>
      </w:r>
    </w:p>
    <w:p>
      <w:pPr>
        <w:spacing w:before="40" w:after="40"/>
        <w:jc w:val="center"/>
      </w:pPr>
      <w:r>
        <w:rPr>
          <w:rFonts w:ascii="Times New Roman" w:hAnsi="Times New Roman"/>
          <w:color w:val="212529"/>
          <w:sz w:val="19"/>
        </w:rPr>
        <w:t>Syed Kafi</w:t>
        <w:br/>
        <w:t>Department of Computer Science &amp; Engineering</w:t>
        <w:br/>
        <w:t>Course CSE 424: Pattern Recognition &amp; Machine Learning — Summer 2026</w:t>
        <w:br/>
        <w:t>Date: August 2026</w:t>
      </w:r>
    </w:p>
    <w:p>
      <w:pPr>
        <w:spacing w:before="160" w:after="40"/>
      </w:pPr>
      <w:r>
        <w:rPr>
          <w:rFonts w:ascii="Times New Roman" w:hAnsi="Times New Roman"/>
          <w:b/>
          <w:sz w:val="18"/>
        </w:rPr>
        <w:t>Abstract—</w:t>
      </w:r>
      <w:r>
        <w:rPr>
          <w:rFonts w:ascii="Times New Roman" w:hAnsi="Times New Roman"/>
          <w:color w:val="212529"/>
          <w:sz w:val="18"/>
        </w:rPr>
        <w:t>Next-generation 6G Vehicle-to-Vehicle (V2V) links at 60 GHz millimeter-wave (mmWave) frequencies require frequent, low-latency beam realignment as vehicles maneuver, since exhaustive sweeping of a 256-beam codebook costs 50–100 ms per alignment. This paper implements and rigorously evaluates a multimodal deep sensor-fusion architecture (P3_MultiTaskProfile, ≈15.15M parameters) that predicts the optimal beam and the full 256-beam power profile from synchronized front-facing RGB video and GPS kinematics on the DeepSense 6G Scenario 36 dataset (24,179 sequence samples, 124 independent drives), under a strict zero-leakage trajectory-block partition. On held-out test drives the model reaches Top-1/Top-3/Top-5/Top-13 beam accuracy of 1.65%/5.36%/11.43%/40.55%, with 16.83 dB mean power loss versus the true optimal beam. We further calibrate a Conformal Risk Control (CRC) candidate beam set at target risk α = 0.10 on a held-out calibration split (q̂ = 7.30 dB, yielding a mean candidate set size of 12.1/256 beams on calibration and 13.9/256 beams on test). While this set achieves its target 90% empirical coverage on the calibration split itself (90.2%), coverage falls to 68.7% on validation drives and collapses to 33.4% on test drives — a direct, quantified demonstration that the exchangeability assumption underlying static conformal guarantees is violated under trajectory-based distribution shift in this dataset. We report these results, including a forensic audit of an evaluation-pipeline checkpoint defect that produced an untrustworthy 7-epoch artifact in the repository, and outline the concrete steps required before any accuracy or overhead-reduction claim can be defended in a peer-reviewed submission.</w:t>
      </w:r>
    </w:p>
    <w:p>
      <w:pPr>
        <w:spacing w:before="40" w:after="200"/>
      </w:pPr>
      <w:r>
        <w:rPr>
          <w:rFonts w:ascii="Times New Roman" w:hAnsi="Times New Roman"/>
          <w:b/>
          <w:sz w:val="18"/>
        </w:rPr>
        <w:t>Index Terms—</w:t>
      </w:r>
      <w:r>
        <w:rPr>
          <w:rFonts w:ascii="Times New Roman" w:hAnsi="Times New Roman"/>
          <w:color w:val="212529"/>
          <w:sz w:val="18"/>
        </w:rPr>
        <w:t>6G V2V communication, millimeter-wave beam tracking, multimodal sensor fusion, conformal risk control, adaptive conformal inference, distribution shift.</w:t>
      </w:r>
    </w:p>
    <w:p>
      <w:pPr>
        <w:keepNext/>
        <w:spacing w:before="280" w:after="80"/>
        <w:jc w:val="center"/>
      </w:pPr>
      <w:r>
        <w:rPr>
          <w:rFonts w:ascii="Times New Roman" w:hAnsi="Times New Roman"/>
          <w:b/>
          <w:color w:val="0F2240"/>
          <w:sz w:val="22"/>
        </w:rPr>
        <w:t>I. INTRODUCTION</w:t>
      </w:r>
    </w:p>
    <w:p>
      <w:pPr>
        <w:keepNext/>
        <w:spacing w:before="200" w:after="40"/>
        <w:jc w:val="left"/>
      </w:pPr>
      <w:r>
        <w:rPr>
          <w:rFonts w:ascii="Times New Roman" w:hAnsi="Times New Roman"/>
          <w:b/>
          <w:i/>
          <w:color w:val="212529"/>
          <w:sz w:val="20"/>
        </w:rPr>
        <w:t>A. The Connected Autonomous Vehicle (CAV) Paradigm</w:t>
      </w:r>
    </w:p>
    <w:p>
      <w:pPr>
        <w:spacing w:before="40" w:after="80" w:line="276" w:lineRule="auto"/>
      </w:pPr>
      <w:r>
        <w:rPr>
          <w:rFonts w:ascii="Times New Roman" w:hAnsi="Times New Roman"/>
          <w:color w:val="212529"/>
          <w:sz w:val="20"/>
        </w:rPr>
        <w:t>Level 4/5 autonomous driving requires vehicles to cooperate beyond the physical line-of-sight limits of onboard sensing. Camera, LiDAR, and radar suites provide only local perception, leaving an isolated vehicle vulnerable to blind corners and occluded hazards. Connected Autonomous Vehicles (CAVs) address this by sharing 3D point clouds, occupancy grids, and raw video streams over V2V links, which requires throughput on the order of 10–20 Gbps at sub-5 ms latency — capabilities that exceed sub-6 GHz DSRC/C-V2X and motivate the operational migration to 60 GHz mmWave spectrum.</w:t>
      </w:r>
    </w:p>
    <w:p>
      <w:pPr>
        <w:keepNext/>
        <w:spacing w:before="200" w:after="40"/>
        <w:jc w:val="left"/>
      </w:pPr>
      <w:r>
        <w:rPr>
          <w:rFonts w:ascii="Times New Roman" w:hAnsi="Times New Roman"/>
          <w:b/>
          <w:i/>
          <w:color w:val="212529"/>
          <w:sz w:val="20"/>
        </w:rPr>
        <w:t>B. Physics of 60 GHz Propagation</w:t>
      </w:r>
    </w:p>
    <w:p>
      <w:pPr>
        <w:spacing w:before="40" w:after="80" w:line="276" w:lineRule="auto"/>
      </w:pPr>
      <w:r>
        <w:rPr>
          <w:rFonts w:ascii="Times New Roman" w:hAnsi="Times New Roman"/>
          <w:color w:val="212529"/>
          <w:sz w:val="20"/>
        </w:rPr>
        <w:t>By the Friis transmission equation, free-space path loss (FSPL) scales quadratically with both carrier frequency f and inter-vehicle distance d:</w:t>
      </w:r>
    </w:p>
    <w:p>
      <w:pPr>
        <w:spacing w:before="80" w:after="80"/>
        <w:jc w:val="center"/>
      </w:pPr>
      <w:r>
        <w:rPr>
          <w:rFonts w:ascii="Cambria Math" w:hAnsi="Cambria Math"/>
          <w:i/>
          <w:color w:val="000000"/>
          <w:sz w:val="21"/>
        </w:rPr>
        <w:t>FSPL(d, f) = 20 log₁₀(d) + 20 log₁₀(f) + 20 log₁₀(4π / c)</w:t>
      </w:r>
      <w:r>
        <w:rPr>
          <w:rFonts w:ascii="Times New Roman" w:hAnsi="Times New Roman"/>
          <w:b/>
          <w:i w:val="0"/>
          <w:sz w:val="20"/>
        </w:rPr>
        <w:t xml:space="preserve">    (1)</w:t>
      </w:r>
    </w:p>
    <w:p>
      <w:pPr>
        <w:spacing w:before="40" w:after="80" w:line="276" w:lineRule="auto"/>
      </w:pPr>
      <w:r>
        <w:rPr>
          <w:rFonts w:ascii="Times New Roman" w:hAnsi="Times New Roman"/>
          <w:color w:val="212529"/>
          <w:sz w:val="20"/>
        </w:rPr>
        <w:t>At 60 GHz, path loss is approximately 40 dB more severe than in sub-6 GHz cellular bands, while atmospheric oxygen (O₂) resonance adds a continuous ~15 dB/km absorption penalty. To overcome severe path attenuation, vehicles deploy large phased-array antennas with narrow pencil beams, transforming communication into a continuous dynamic geometric alignment problem.</w:t>
      </w:r>
    </w:p>
    <w:p>
      <w:pPr>
        <w:keepNext/>
        <w:spacing w:before="200" w:after="40"/>
        <w:jc w:val="left"/>
      </w:pPr>
      <w:r>
        <w:rPr>
          <w:rFonts w:ascii="Times New Roman" w:hAnsi="Times New Roman"/>
          <w:b/>
          <w:i/>
          <w:color w:val="212529"/>
          <w:sz w:val="20"/>
        </w:rPr>
        <w:t>C. The Beam-Sweeping Bottleneck</w:t>
      </w:r>
    </w:p>
    <w:p>
      <w:pPr>
        <w:spacing w:before="40" w:after="80" w:line="276" w:lineRule="auto"/>
      </w:pPr>
      <w:r>
        <w:rPr>
          <w:rFonts w:ascii="Times New Roman" w:hAnsi="Times New Roman"/>
          <w:color w:val="212529"/>
          <w:sz w:val="20"/>
        </w:rPr>
        <w:t>Standard IEEE 802.11ad/ay and 5G NR Rel-16 protocols perform beam alignment via exhaustive sweeping across the codebook, consuming 50–100 ms for a 256-beam (4×64) array. At highway speed (~31.3 m/s), a vehicle travels over 3 meters during a single alignment sweep, meaning the optimal beam has frequently shifted before transmission even commences. This latency bottleneck demands predictive, out-of-band beam alignment utilizing passive onboard sensors.</w:t>
      </w:r>
    </w:p>
    <w:p>
      <w:pPr>
        <w:keepNext/>
        <w:spacing w:before="200" w:after="40"/>
        <w:jc w:val="left"/>
      </w:pPr>
      <w:r>
        <w:rPr>
          <w:rFonts w:ascii="Times New Roman" w:hAnsi="Times New Roman"/>
          <w:b/>
          <w:i/>
          <w:color w:val="212529"/>
          <w:sz w:val="20"/>
        </w:rPr>
        <w:t>D. Problem Formulation</w:t>
      </w:r>
    </w:p>
    <w:p>
      <w:pPr>
        <w:spacing w:before="40" w:after="80" w:line="276" w:lineRule="auto"/>
      </w:pPr>
      <w:r>
        <w:rPr>
          <w:rFonts w:ascii="Times New Roman" w:hAnsi="Times New Roman"/>
          <w:color w:val="212529"/>
          <w:sz w:val="20"/>
        </w:rPr>
        <w:t>Let S_t = {(x_GPS,τ, x_RGB,τ)}_{τ = t - T + 1}^t represent the synchronized temporal multimodal observation history up to time t across a sliding window of length T, B = {0, 1, ..., N_b - 1} denote the discrete beam codebook of size N_b = 256, and p_t ∈ R^{N_b} denote the ground-truth received power vector (in dBm). The ground-truth optimal beam index b*_t is defined as:</w:t>
      </w:r>
    </w:p>
    <w:p>
      <w:pPr>
        <w:spacing w:before="80" w:after="80"/>
        <w:jc w:val="center"/>
      </w:pPr>
      <w:r>
        <w:rPr>
          <w:rFonts w:ascii="Cambria Math" w:hAnsi="Cambria Math"/>
          <w:i/>
          <w:color w:val="000000"/>
          <w:sz w:val="21"/>
        </w:rPr>
        <w:t>b*_t = argmax_{b ∈ B} p_t[b]</w:t>
      </w:r>
      <w:r>
        <w:rPr>
          <w:rFonts w:ascii="Times New Roman" w:hAnsi="Times New Roman"/>
          <w:b/>
          <w:i w:val="0"/>
          <w:sz w:val="20"/>
        </w:rPr>
        <w:t xml:space="preserve">    (2)</w:t>
      </w:r>
    </w:p>
    <w:p>
      <w:pPr>
        <w:spacing w:before="40" w:after="80" w:line="276" w:lineRule="auto"/>
      </w:pPr>
      <w:r>
        <w:rPr>
          <w:rFonts w:ascii="Times New Roman" w:hAnsi="Times New Roman"/>
          <w:color w:val="212529"/>
          <w:sz w:val="20"/>
        </w:rPr>
        <w:t>The objective is to train: (i) a classification head f_cls(S_t) ∈ Δ^{N_b} predicting candidate beam probabilities, (ii) an auxiliary regression head f_reg(S_t) = p̂_t ∈ R^{N_b} reconstructing the continuous 256-beam power profile, and (iii) a calibrated conformal safety mapping C(S_t) ⊆ B guaranteed to contain a near-optimal beam with bounded power loss at statistical confidence 1 - α.</w:t>
      </w:r>
    </w:p>
    <w:p>
      <w:pPr>
        <w:keepNext/>
        <w:spacing w:before="280" w:after="80"/>
        <w:jc w:val="center"/>
      </w:pPr>
      <w:r>
        <w:rPr>
          <w:rFonts w:ascii="Times New Roman" w:hAnsi="Times New Roman"/>
          <w:b/>
          <w:color w:val="0F2240"/>
          <w:sz w:val="22"/>
        </w:rPr>
        <w:t>II. RELATED WORK AND NOVELTY POSITIONING</w:t>
      </w:r>
    </w:p>
    <w:p>
      <w:pPr>
        <w:keepNext/>
        <w:spacing w:before="200" w:after="40"/>
        <w:jc w:val="left"/>
      </w:pPr>
      <w:r>
        <w:rPr>
          <w:rFonts w:ascii="Times New Roman" w:hAnsi="Times New Roman"/>
          <w:b/>
          <w:i/>
          <w:color w:val="212529"/>
          <w:sz w:val="20"/>
        </w:rPr>
        <w:t>A. Conventional and Sensor-Assisted Beam Alignment</w:t>
      </w:r>
    </w:p>
    <w:p>
      <w:pPr>
        <w:spacing w:before="40" w:after="80" w:line="276" w:lineRule="auto"/>
      </w:pPr>
      <w:r>
        <w:rPr>
          <w:rFonts w:ascii="Times New Roman" w:hAnsi="Times New Roman"/>
          <w:color w:val="212529"/>
          <w:sz w:val="20"/>
        </w:rPr>
        <w:t>Beam training under IEEE 802.11ad/ay and 3GPP NR relies on hierarchical sector sweeping, which severely degrades once angular velocities exceed ~10°/s and constantly consumes precious in-band frame airtime. Out-of-band sensor assistance has been explored along two primary paradigms: GPS/kinematics-only approaches [2], which are computationally lightweight but vulnerable to 5–10 m GNSS multipath errors in urban canyons; and vision-only approaches (e.g., Charan et al.), which are sensitive to illumination changes and lack direct metric depth or velocity cues. The DeepSense 6G testbed [1] established the multimodal RGB+GPS+RF benchmark used in this work, explicitly allowing optical road context and kinematic telemetry to mutually compensate for individual sensor failure modes.</w:t>
      </w:r>
    </w:p>
    <w:p>
      <w:pPr>
        <w:keepNext/>
        <w:spacing w:before="200" w:after="40"/>
        <w:jc w:val="left"/>
      </w:pPr>
      <w:r>
        <w:rPr>
          <w:rFonts w:ascii="Times New Roman" w:hAnsi="Times New Roman"/>
          <w:b/>
          <w:i/>
          <w:color w:val="212529"/>
          <w:sz w:val="20"/>
        </w:rPr>
        <w:t>B. Multimodal and Transformer-Based Beam Prediction</w:t>
      </w:r>
    </w:p>
    <w:p>
      <w:pPr>
        <w:spacing w:before="40" w:after="80" w:line="276" w:lineRule="auto"/>
      </w:pPr>
      <w:r>
        <w:rPr>
          <w:rFonts w:ascii="Times New Roman" w:hAnsi="Times New Roman"/>
          <w:color w:val="212529"/>
          <w:sz w:val="20"/>
        </w:rPr>
        <w:t>Multimodal Transformer fusion for beam prediction was formulated by Brilhante et al. [9] as a general representation study. Multi-task learning combining beam classification with auxiliary regression heads was demonstrated by Khan et al. [14] to regularize latent feature representations. Robustness against missing or degraded modalities was addressed by Gao et al. in the CLBP framework [11] and by Yao et al. with masked-Transformer architectures [12], while adaptive probing budgets were investigated by Orimogunje et al. [13]. However, none of these architectures jointly predict the full continuous 256-beam power spectrum alongside a dynamic online risk controller — the architectural formulation built upon in this work.</w:t>
      </w:r>
    </w:p>
    <w:p>
      <w:pPr>
        <w:keepNext/>
        <w:spacing w:before="200" w:after="40"/>
        <w:jc w:val="left"/>
      </w:pPr>
      <w:r>
        <w:rPr>
          <w:rFonts w:ascii="Times New Roman" w:hAnsi="Times New Roman"/>
          <w:b/>
          <w:i/>
          <w:color w:val="212529"/>
          <w:sz w:val="20"/>
        </w:rPr>
        <w:t>C. Conformal Prediction for Beam Selection</w:t>
      </w:r>
    </w:p>
    <w:p>
      <w:pPr>
        <w:spacing w:before="40" w:after="80" w:line="276" w:lineRule="auto"/>
      </w:pPr>
      <w:r>
        <w:rPr>
          <w:rFonts w:ascii="Times New Roman" w:hAnsi="Times New Roman"/>
          <w:color w:val="212529"/>
          <w:sz w:val="20"/>
        </w:rPr>
        <w:t>Conformal prediction [3, 4] constructs distribution-free prediction sets C(X) ⊆ B that satisfy the finite-sample marginal coverage guarantee:</w:t>
      </w:r>
    </w:p>
    <w:p>
      <w:pPr>
        <w:spacing w:before="80" w:after="80"/>
        <w:jc w:val="center"/>
      </w:pPr>
      <w:r>
        <w:rPr>
          <w:rFonts w:ascii="Cambria Math" w:hAnsi="Cambria Math"/>
          <w:i/>
          <w:color w:val="000000"/>
          <w:sz w:val="21"/>
        </w:rPr>
        <w:t>P( Y ∈ C(X) ) ≥ 1 - α</w:t>
      </w:r>
      <w:r>
        <w:rPr>
          <w:rFonts w:ascii="Times New Roman" w:hAnsi="Times New Roman"/>
          <w:b/>
          <w:i w:val="0"/>
          <w:sz w:val="20"/>
        </w:rPr>
        <w:t xml:space="preserve">    (3)</w:t>
      </w:r>
    </w:p>
    <w:p>
      <w:pPr>
        <w:spacing w:before="40" w:after="80" w:line="276" w:lineRule="auto"/>
      </w:pPr>
      <w:r>
        <w:rPr>
          <w:rFonts w:ascii="Times New Roman" w:hAnsi="Times New Roman"/>
          <w:color w:val="212529"/>
          <w:sz w:val="20"/>
        </w:rPr>
        <w:t>under the fundamental assumption that calibration and test samples are exchangeable. Within mmWave communications, SCAN-BEST by Deng et al. [10] employed conformal risk control for near-field beam selection with relaxed optimality criteria and weighted calibration. However, SCAN-BEST assumed that a one-shot static calibration step is sufficient. Adaptive Conformal Inference (ACI), formulated by Gibbs and Candès [5], relaxes this assumption to non-stationary streaming distributions — a theoretical necessity that our empirical findings prove is essential for vehicular trajectory drift.</w:t>
      </w:r>
    </w:p>
    <w:p>
      <w:pPr>
        <w:keepNext/>
        <w:spacing w:before="200" w:after="40"/>
        <w:jc w:val="left"/>
      </w:pPr>
      <w:r>
        <w:rPr>
          <w:rFonts w:ascii="Times New Roman" w:hAnsi="Times New Roman"/>
          <w:b/>
          <w:i/>
          <w:color w:val="212529"/>
          <w:sz w:val="20"/>
        </w:rPr>
        <w:t>D. Positioning of This Work</w:t>
      </w:r>
    </w:p>
    <w:p>
      <w:pPr>
        <w:spacing w:before="40" w:after="80" w:line="276" w:lineRule="auto"/>
      </w:pPr>
      <w:r>
        <w:rPr>
          <w:rFonts w:ascii="Times New Roman" w:hAnsi="Times New Roman"/>
          <w:color w:val="212529"/>
          <w:sz w:val="20"/>
        </w:rPr>
        <w:t>Prior work has established multimodal beam prediction, missing-modality robustness, auxiliary regression heads, and static conformal subset selection. This paper does not claim to outperform point-prediction baselines; its contribution is rigorously methodological and diagnostic: (i) establishing an authenticated zero-leakage trajectory-block partition protocol on DeepSense 6G Scenario 36, and (ii) presenting the first quantified empirical demonstration that a static conformal calibration loses the large majority of its nominal safety guarantee (collapsing from 90.2% down to 33.4%) when tested on genuinely disjoint vehicle trajectories, thereby proving why streaming online adaptation is non-negotiable for safe CAV deployment.</w:t>
      </w:r>
    </w:p>
    <w:p>
      <w:pPr>
        <w:keepNext/>
        <w:spacing w:before="280" w:after="80"/>
        <w:jc w:val="center"/>
      </w:pPr>
      <w:r>
        <w:rPr>
          <w:rFonts w:ascii="Times New Roman" w:hAnsi="Times New Roman"/>
          <w:b/>
          <w:color w:val="0F2240"/>
          <w:sz w:val="22"/>
        </w:rPr>
        <w:t>III. DATASET AND METHODOLOGY</w:t>
      </w:r>
    </w:p>
    <w:p>
      <w:pPr>
        <w:keepNext/>
        <w:spacing w:before="200" w:after="40"/>
        <w:jc w:val="left"/>
      </w:pPr>
      <w:r>
        <w:rPr>
          <w:rFonts w:ascii="Times New Roman" w:hAnsi="Times New Roman"/>
          <w:b/>
          <w:i/>
          <w:color w:val="212529"/>
          <w:sz w:val="20"/>
        </w:rPr>
        <w:t>A. DeepSense 6G Scenario 36 Testbed</w:t>
      </w:r>
    </w:p>
    <w:p>
      <w:pPr>
        <w:spacing w:before="40" w:after="80" w:line="276" w:lineRule="auto"/>
      </w:pPr>
      <w:r>
        <w:rPr>
          <w:rFonts w:ascii="Times New Roman" w:hAnsi="Times New Roman"/>
          <w:color w:val="212529"/>
          <w:sz w:val="20"/>
        </w:rPr>
        <w:t>The experimental testbed comprises two instrumented vehicles deployed in real-world urban and suburban traffic: Unit 1 (receiver — Ford Transit) equipped with four 60 GHz 64-element phased-array panels (forming a 256-beam codebook), a front-facing ZED2 RGB stereo camera, and an RTK-GPS receiver; and Unit 2 (transmitter — Lincoln MKZ) equipped with a 60 GHz quasi-omnidirectional beacon antenna and synchronized RTK-GPS. The curated dataset contains 24,179 synchronized temporal sequence samples across 124 continuous vehicle drives.</w:t>
      </w:r>
    </w:p>
    <w:p>
      <w:pPr>
        <w:keepNext/>
        <w:spacing w:before="200" w:after="40"/>
        <w:jc w:val="left"/>
      </w:pPr>
      <w:r>
        <w:rPr>
          <w:rFonts w:ascii="Times New Roman" w:hAnsi="Times New Roman"/>
          <w:b/>
          <w:i/>
          <w:color w:val="212529"/>
          <w:sz w:val="20"/>
        </w:rPr>
        <w:t>B. Kinematic Feature Engineering</w:t>
      </w:r>
    </w:p>
    <w:p>
      <w:pPr>
        <w:spacing w:before="40" w:after="80" w:line="276" w:lineRule="auto"/>
      </w:pPr>
      <w:r>
        <w:rPr>
          <w:rFonts w:ascii="Times New Roman" w:hAnsi="Times New Roman"/>
          <w:color w:val="212529"/>
          <w:sz w:val="20"/>
        </w:rPr>
        <w:t>Nine continuous kinematic features are engineered at each timestep from raw GPS telemetry, as summarized in Table I. Crucially, the azimuth bearing angle θ is decomposed into orthogonal trigonometric components (sin θ, cos θ), which eliminates the severe -179° ↔ +179° modular boundary cliff that destabilizes neural network gradient descent.</w:t>
      </w:r>
    </w:p>
    <w:p>
      <w:pPr>
        <w:jc w:val="center"/>
      </w:pPr>
      <w:r>
        <w:rPr>
          <w:rFonts w:ascii="Times New Roman" w:hAnsi="Times New Roman"/>
          <w:b/>
          <w:sz w:val="17"/>
        </w:rPr>
        <w:t>TABLE I: ENGINEERED KINEMATIC FEATURES &amp; PHYSICAL INTERPRETATION</w:t>
      </w:r>
    </w:p>
    <w:tbl>
      <w:tblPr>
        <w:tblW w:type="auto" w:w="0"/>
        <w:jc w:val="center"/>
        <w:tblLook w:firstColumn="1" w:firstRow="1" w:lastColumn="0" w:lastRow="0" w:noHBand="0" w:noVBand="1" w:val="04A0"/>
      </w:tblPr>
      <w:tblGrid>
        <w:gridCol w:w="3360"/>
        <w:gridCol w:w="3360"/>
        <w:gridCol w:w="3360"/>
      </w:tblGrid>
      <w:tr>
        <w:tc>
          <w:tcPr>
            <w:tcW w:type="dxa" w:w="3360"/>
            <w:shd w:fill="0F2240"/>
            <w:tcMar>
              <w:top w:w="70" w:type="dxa"/>
              <w:bottom w:w="70" w:type="dxa"/>
              <w:left w:w="90" w:type="dxa"/>
              <w:right w:w="90" w:type="dxa"/>
            </w:tcMar>
          </w:tcPr>
          <w:p>
            <w:r>
              <w:rPr>
                <w:rFonts w:ascii="Times New Roman" w:hAnsi="Times New Roman"/>
                <w:b/>
                <w:color w:val="FFFFFF"/>
                <w:sz w:val="16"/>
              </w:rPr>
              <w:t>Feature</w:t>
            </w:r>
          </w:p>
        </w:tc>
        <w:tc>
          <w:tcPr>
            <w:tcW w:type="dxa" w:w="3360"/>
            <w:shd w:fill="0F2240"/>
            <w:tcMar>
              <w:top w:w="70" w:type="dxa"/>
              <w:bottom w:w="70" w:type="dxa"/>
              <w:left w:w="90" w:type="dxa"/>
              <w:right w:w="90" w:type="dxa"/>
            </w:tcMar>
          </w:tcPr>
          <w:p>
            <w:r>
              <w:rPr>
                <w:rFonts w:ascii="Times New Roman" w:hAnsi="Times New Roman"/>
                <w:b/>
                <w:color w:val="FFFFFF"/>
                <w:sz w:val="16"/>
              </w:rPr>
              <w:t>Mathematical Formulation</w:t>
            </w:r>
          </w:p>
        </w:tc>
        <w:tc>
          <w:tcPr>
            <w:tcW w:type="dxa" w:w="3360"/>
            <w:shd w:fill="0F2240"/>
            <w:tcMar>
              <w:top w:w="70" w:type="dxa"/>
              <w:bottom w:w="70" w:type="dxa"/>
              <w:left w:w="90" w:type="dxa"/>
              <w:right w:w="90" w:type="dxa"/>
            </w:tcMar>
          </w:tcPr>
          <w:p>
            <w:r>
              <w:rPr>
                <w:rFonts w:ascii="Times New Roman" w:hAnsi="Times New Roman"/>
                <w:b/>
                <w:color w:val="FFFFFF"/>
                <w:sz w:val="16"/>
              </w:rPr>
              <w:t>Physical &amp; Engineering Role</w:t>
            </w:r>
          </w:p>
        </w:tc>
      </w:tr>
      <w:tr>
        <w:tc>
          <w:tcPr>
            <w:tcW w:type="dxa" w:w="3360"/>
            <w:shd w:fill="F8F9FA"/>
            <w:tcMar>
              <w:top w:w="50" w:type="dxa"/>
              <w:bottom w:w="50" w:type="dxa"/>
              <w:left w:w="80" w:type="dxa"/>
              <w:right w:w="80" w:type="dxa"/>
            </w:tcMar>
          </w:tcPr>
          <w:p>
            <w:r>
              <w:rPr>
                <w:rFonts w:ascii="Times New Roman" w:hAnsi="Times New Roman"/>
                <w:b/>
                <w:color w:val="212529"/>
                <w:sz w:val="16"/>
              </w:rPr>
              <w:t>Δlat, Δlon</w:t>
            </w:r>
          </w:p>
        </w:tc>
        <w:tc>
          <w:tcPr>
            <w:tcW w:type="dxa" w:w="3360"/>
            <w:shd w:fill="F8F9FA"/>
            <w:tcMar>
              <w:top w:w="50" w:type="dxa"/>
              <w:bottom w:w="50" w:type="dxa"/>
              <w:left w:w="80" w:type="dxa"/>
              <w:right w:w="80" w:type="dxa"/>
            </w:tcMar>
          </w:tcPr>
          <w:p>
            <w:r>
              <w:rPr>
                <w:rFonts w:ascii="Times New Roman" w:hAnsi="Times New Roman"/>
                <w:color w:val="212529"/>
                <w:sz w:val="16"/>
              </w:rPr>
              <w:t>Δlat = Lat_U2 - Lat_U1, Δlon = Lon_U2 - Lon_U1</w:t>
            </w:r>
          </w:p>
        </w:tc>
        <w:tc>
          <w:tcPr>
            <w:tcW w:type="dxa" w:w="3360"/>
            <w:shd w:fill="F8F9FA"/>
            <w:tcMar>
              <w:top w:w="50" w:type="dxa"/>
              <w:bottom w:w="50" w:type="dxa"/>
              <w:left w:w="80" w:type="dxa"/>
              <w:right w:w="80" w:type="dxa"/>
            </w:tcMar>
          </w:tcPr>
          <w:p>
            <w:r>
              <w:rPr>
                <w:rFonts w:ascii="Times New Roman" w:hAnsi="Times New Roman"/>
                <w:color w:val="212529"/>
                <w:sz w:val="16"/>
              </w:rPr>
              <w:t>North-South and East-West spatial displacement vectors</w:t>
            </w:r>
          </w:p>
        </w:tc>
      </w:tr>
      <w:tr>
        <w:tc>
          <w:tcPr>
            <w:tcW w:type="dxa" w:w="3360"/>
            <w:shd w:fill="FFFFFF"/>
            <w:tcMar>
              <w:top w:w="50" w:type="dxa"/>
              <w:bottom w:w="50" w:type="dxa"/>
              <w:left w:w="80" w:type="dxa"/>
              <w:right w:w="80" w:type="dxa"/>
            </w:tcMar>
          </w:tcPr>
          <w:p>
            <w:r>
              <w:rPr>
                <w:rFonts w:ascii="Times New Roman" w:hAnsi="Times New Roman"/>
                <w:b/>
                <w:color w:val="212529"/>
                <w:sz w:val="16"/>
              </w:rPr>
              <w:t>Distance (d)</w:t>
            </w:r>
          </w:p>
        </w:tc>
        <w:tc>
          <w:tcPr>
            <w:tcW w:type="dxa" w:w="3360"/>
            <w:shd w:fill="FFFFFF"/>
            <w:tcMar>
              <w:top w:w="50" w:type="dxa"/>
              <w:bottom w:w="50" w:type="dxa"/>
              <w:left w:w="80" w:type="dxa"/>
              <w:right w:w="80" w:type="dxa"/>
            </w:tcMar>
          </w:tcPr>
          <w:p>
            <w:r>
              <w:rPr>
                <w:rFonts w:ascii="Times New Roman" w:hAnsi="Times New Roman"/>
                <w:color w:val="212529"/>
                <w:sz w:val="16"/>
              </w:rPr>
              <w:t>d = √(Δlat² + Δlon²) × 111,000 meters</w:t>
            </w:r>
          </w:p>
        </w:tc>
        <w:tc>
          <w:tcPr>
            <w:tcW w:type="dxa" w:w="3360"/>
            <w:shd w:fill="FFFFFF"/>
            <w:tcMar>
              <w:top w:w="50" w:type="dxa"/>
              <w:bottom w:w="50" w:type="dxa"/>
              <w:left w:w="80" w:type="dxa"/>
              <w:right w:w="80" w:type="dxa"/>
            </w:tcMar>
          </w:tcPr>
          <w:p>
            <w:r>
              <w:rPr>
                <w:rFonts w:ascii="Times New Roman" w:hAnsi="Times New Roman"/>
                <w:color w:val="212529"/>
                <w:sz w:val="16"/>
              </w:rPr>
              <w:t>Line-of-Sight Euclidean distance governing free-space path loss</w:t>
            </w:r>
          </w:p>
        </w:tc>
      </w:tr>
      <w:tr>
        <w:tc>
          <w:tcPr>
            <w:tcW w:type="dxa" w:w="3360"/>
            <w:shd w:fill="F8F9FA"/>
            <w:tcMar>
              <w:top w:w="50" w:type="dxa"/>
              <w:bottom w:w="50" w:type="dxa"/>
              <w:left w:w="80" w:type="dxa"/>
              <w:right w:w="80" w:type="dxa"/>
            </w:tcMar>
          </w:tcPr>
          <w:p>
            <w:r>
              <w:rPr>
                <w:rFonts w:ascii="Times New Roman" w:hAnsi="Times New Roman"/>
                <w:b/>
                <w:color w:val="212529"/>
                <w:sz w:val="16"/>
              </w:rPr>
              <w:t>Bearing Angle (θ)</w:t>
            </w:r>
          </w:p>
        </w:tc>
        <w:tc>
          <w:tcPr>
            <w:tcW w:type="dxa" w:w="3360"/>
            <w:shd w:fill="F8F9FA"/>
            <w:tcMar>
              <w:top w:w="50" w:type="dxa"/>
              <w:bottom w:w="50" w:type="dxa"/>
              <w:left w:w="80" w:type="dxa"/>
              <w:right w:w="80" w:type="dxa"/>
            </w:tcMar>
          </w:tcPr>
          <w:p>
            <w:r>
              <w:rPr>
                <w:rFonts w:ascii="Times New Roman" w:hAnsi="Times New Roman"/>
                <w:color w:val="212529"/>
                <w:sz w:val="16"/>
              </w:rPr>
              <w:t>θ = arctan2(Δlon, Δlat) ∈ [-π, π] rad</w:t>
            </w:r>
          </w:p>
        </w:tc>
        <w:tc>
          <w:tcPr>
            <w:tcW w:type="dxa" w:w="3360"/>
            <w:shd w:fill="F8F9FA"/>
            <w:tcMar>
              <w:top w:w="50" w:type="dxa"/>
              <w:bottom w:w="50" w:type="dxa"/>
              <w:left w:w="80" w:type="dxa"/>
              <w:right w:w="80" w:type="dxa"/>
            </w:tcMar>
          </w:tcPr>
          <w:p>
            <w:r>
              <w:rPr>
                <w:rFonts w:ascii="Times New Roman" w:hAnsi="Times New Roman"/>
                <w:color w:val="212529"/>
                <w:sz w:val="16"/>
              </w:rPr>
              <w:t>Geometric azimuth orientation of transmitter relative to receiver array</w:t>
            </w:r>
          </w:p>
        </w:tc>
      </w:tr>
      <w:tr>
        <w:tc>
          <w:tcPr>
            <w:tcW w:type="dxa" w:w="3360"/>
            <w:shd w:fill="FFFFFF"/>
            <w:tcMar>
              <w:top w:w="50" w:type="dxa"/>
              <w:bottom w:w="50" w:type="dxa"/>
              <w:left w:w="80" w:type="dxa"/>
              <w:right w:w="80" w:type="dxa"/>
            </w:tcMar>
          </w:tcPr>
          <w:p>
            <w:r>
              <w:rPr>
                <w:rFonts w:ascii="Times New Roman" w:hAnsi="Times New Roman"/>
                <w:b/>
                <w:color w:val="212529"/>
                <w:sz w:val="16"/>
              </w:rPr>
              <w:t>sin(θ), cos(θ)</w:t>
            </w:r>
          </w:p>
        </w:tc>
        <w:tc>
          <w:tcPr>
            <w:tcW w:type="dxa" w:w="3360"/>
            <w:shd w:fill="FFFFFF"/>
            <w:tcMar>
              <w:top w:w="50" w:type="dxa"/>
              <w:bottom w:w="50" w:type="dxa"/>
              <w:left w:w="80" w:type="dxa"/>
              <w:right w:w="80" w:type="dxa"/>
            </w:tcMar>
          </w:tcPr>
          <w:p>
            <w:r>
              <w:rPr>
                <w:rFonts w:ascii="Times New Roman" w:hAnsi="Times New Roman"/>
                <w:color w:val="212529"/>
                <w:sz w:val="16"/>
              </w:rPr>
              <w:t>sin(θ), cos(θ) ∈ [-1, +1]</w:t>
            </w:r>
          </w:p>
        </w:tc>
        <w:tc>
          <w:tcPr>
            <w:tcW w:type="dxa" w:w="3360"/>
            <w:shd w:fill="FFFFFF"/>
            <w:tcMar>
              <w:top w:w="50" w:type="dxa"/>
              <w:bottom w:w="50" w:type="dxa"/>
              <w:left w:w="80" w:type="dxa"/>
              <w:right w:w="80" w:type="dxa"/>
            </w:tcMar>
          </w:tcPr>
          <w:p>
            <w:r>
              <w:rPr>
                <w:rFonts w:ascii="Times New Roman" w:hAnsi="Times New Roman"/>
                <w:color w:val="212529"/>
                <w:sz w:val="16"/>
              </w:rPr>
              <w:t>Orthogonal projections eliminating -179° ↔ +179° boundary cliff discontinuity</w:t>
            </w:r>
          </w:p>
        </w:tc>
      </w:tr>
      <w:tr>
        <w:tc>
          <w:tcPr>
            <w:tcW w:type="dxa" w:w="3360"/>
            <w:shd w:fill="F8F9FA"/>
            <w:tcMar>
              <w:top w:w="50" w:type="dxa"/>
              <w:bottom w:w="50" w:type="dxa"/>
              <w:left w:w="80" w:type="dxa"/>
              <w:right w:w="80" w:type="dxa"/>
            </w:tcMar>
          </w:tcPr>
          <w:p>
            <w:r>
              <w:rPr>
                <w:rFonts w:ascii="Times New Roman" w:hAnsi="Times New Roman"/>
                <w:b/>
                <w:color w:val="212529"/>
                <w:sz w:val="16"/>
              </w:rPr>
              <w:t>Bearing Rate (θ̇)</w:t>
            </w:r>
          </w:p>
        </w:tc>
        <w:tc>
          <w:tcPr>
            <w:tcW w:type="dxa" w:w="3360"/>
            <w:shd w:fill="F8F9FA"/>
            <w:tcMar>
              <w:top w:w="50" w:type="dxa"/>
              <w:bottom w:w="50" w:type="dxa"/>
              <w:left w:w="80" w:type="dxa"/>
              <w:right w:w="80" w:type="dxa"/>
            </w:tcMar>
          </w:tcPr>
          <w:p>
            <w:r>
              <w:rPr>
                <w:rFonts w:ascii="Times New Roman" w:hAnsi="Times New Roman"/>
                <w:color w:val="212529"/>
                <w:sz w:val="16"/>
              </w:rPr>
              <w:t>θ̇ = dθ/dt = gradient(θ)</w:t>
            </w:r>
          </w:p>
        </w:tc>
        <w:tc>
          <w:tcPr>
            <w:tcW w:type="dxa" w:w="3360"/>
            <w:shd w:fill="F8F9FA"/>
            <w:tcMar>
              <w:top w:w="50" w:type="dxa"/>
              <w:bottom w:w="50" w:type="dxa"/>
              <w:left w:w="80" w:type="dxa"/>
              <w:right w:w="80" w:type="dxa"/>
            </w:tcMar>
          </w:tcPr>
          <w:p>
            <w:r>
              <w:rPr>
                <w:rFonts w:ascii="Times New Roman" w:hAnsi="Times New Roman"/>
                <w:color w:val="212529"/>
                <w:sz w:val="16"/>
              </w:rPr>
              <w:t>Angular velocity tracking how fast the transmitter sweeps across FOV</w:t>
            </w:r>
          </w:p>
        </w:tc>
      </w:tr>
      <w:tr>
        <w:tc>
          <w:tcPr>
            <w:tcW w:type="dxa" w:w="3360"/>
            <w:shd w:fill="FFFFFF"/>
            <w:tcMar>
              <w:top w:w="50" w:type="dxa"/>
              <w:bottom w:w="50" w:type="dxa"/>
              <w:left w:w="80" w:type="dxa"/>
              <w:right w:w="80" w:type="dxa"/>
            </w:tcMar>
          </w:tcPr>
          <w:p>
            <w:r>
              <w:rPr>
                <w:rFonts w:ascii="Times New Roman" w:hAnsi="Times New Roman"/>
                <w:b/>
                <w:color w:val="212529"/>
                <w:sz w:val="16"/>
              </w:rPr>
              <w:t>Range Rate (ḋ)</w:t>
            </w:r>
          </w:p>
        </w:tc>
        <w:tc>
          <w:tcPr>
            <w:tcW w:type="dxa" w:w="3360"/>
            <w:shd w:fill="FFFFFF"/>
            <w:tcMar>
              <w:top w:w="50" w:type="dxa"/>
              <w:bottom w:w="50" w:type="dxa"/>
              <w:left w:w="80" w:type="dxa"/>
              <w:right w:w="80" w:type="dxa"/>
            </w:tcMar>
          </w:tcPr>
          <w:p>
            <w:r>
              <w:rPr>
                <w:rFonts w:ascii="Times New Roman" w:hAnsi="Times New Roman"/>
                <w:color w:val="212529"/>
                <w:sz w:val="16"/>
              </w:rPr>
              <w:t>ḋ = dd/dt = gradient(d)</w:t>
            </w:r>
          </w:p>
        </w:tc>
        <w:tc>
          <w:tcPr>
            <w:tcW w:type="dxa" w:w="3360"/>
            <w:shd w:fill="FFFFFF"/>
            <w:tcMar>
              <w:top w:w="50" w:type="dxa"/>
              <w:bottom w:w="50" w:type="dxa"/>
              <w:left w:w="80" w:type="dxa"/>
              <w:right w:w="80" w:type="dxa"/>
            </w:tcMar>
          </w:tcPr>
          <w:p>
            <w:r>
              <w:rPr>
                <w:rFonts w:ascii="Times New Roman" w:hAnsi="Times New Roman"/>
                <w:color w:val="212529"/>
                <w:sz w:val="16"/>
              </w:rPr>
              <w:t>Range closing rate capturing relative velocity and Doppler frequency shift</w:t>
            </w:r>
          </w:p>
        </w:tc>
      </w:tr>
      <w:tr>
        <w:tc>
          <w:tcPr>
            <w:tcW w:type="dxa" w:w="3360"/>
            <w:shd w:fill="F8F9FA"/>
            <w:tcMar>
              <w:top w:w="50" w:type="dxa"/>
              <w:bottom w:w="50" w:type="dxa"/>
              <w:left w:w="80" w:type="dxa"/>
              <w:right w:w="80" w:type="dxa"/>
            </w:tcMar>
          </w:tcPr>
          <w:p>
            <w:r>
              <w:rPr>
                <w:rFonts w:ascii="Times New Roman" w:hAnsi="Times New Roman"/>
                <w:b/>
                <w:color w:val="212529"/>
                <w:sz w:val="16"/>
              </w:rPr>
              <w:t>Receiver Speed (v₁)</w:t>
            </w:r>
          </w:p>
        </w:tc>
        <w:tc>
          <w:tcPr>
            <w:tcW w:type="dxa" w:w="3360"/>
            <w:shd w:fill="F8F9FA"/>
            <w:tcMar>
              <w:top w:w="50" w:type="dxa"/>
              <w:bottom w:w="50" w:type="dxa"/>
              <w:left w:w="80" w:type="dxa"/>
              <w:right w:w="80" w:type="dxa"/>
            </w:tcMar>
          </w:tcPr>
          <w:p>
            <w:r>
              <w:rPr>
                <w:rFonts w:ascii="Times New Roman" w:hAnsi="Times New Roman"/>
                <w:color w:val="212529"/>
                <w:sz w:val="16"/>
              </w:rPr>
              <w:t>v₁ = instantaneous speed (m/s)</w:t>
            </w:r>
          </w:p>
        </w:tc>
        <w:tc>
          <w:tcPr>
            <w:tcW w:type="dxa" w:w="3360"/>
            <w:shd w:fill="F8F9FA"/>
            <w:tcMar>
              <w:top w:w="50" w:type="dxa"/>
              <w:bottom w:w="50" w:type="dxa"/>
              <w:left w:w="80" w:type="dxa"/>
              <w:right w:w="80" w:type="dxa"/>
            </w:tcMar>
          </w:tcPr>
          <w:p>
            <w:r>
              <w:rPr>
                <w:rFonts w:ascii="Times New Roman" w:hAnsi="Times New Roman"/>
                <w:color w:val="212529"/>
                <w:sz w:val="16"/>
              </w:rPr>
              <w:t>Unit 1 vehicle velocity providing dynamic ego-motion baseline</w:t>
            </w:r>
          </w:p>
        </w:tc>
      </w:tr>
      <w:tr>
        <w:tc>
          <w:tcPr>
            <w:tcW w:type="dxa" w:w="3360"/>
            <w:shd w:fill="FFFFFF"/>
            <w:tcMar>
              <w:top w:w="50" w:type="dxa"/>
              <w:bottom w:w="50" w:type="dxa"/>
              <w:left w:w="80" w:type="dxa"/>
              <w:right w:w="80" w:type="dxa"/>
            </w:tcMar>
          </w:tcPr>
          <w:p>
            <w:r>
              <w:rPr>
                <w:rFonts w:ascii="Times New Roman" w:hAnsi="Times New Roman"/>
                <w:b/>
                <w:color w:val="212529"/>
                <w:sz w:val="16"/>
              </w:rPr>
              <w:t>Temporal History (T_gps)</w:t>
            </w:r>
          </w:p>
        </w:tc>
        <w:tc>
          <w:tcPr>
            <w:tcW w:type="dxa" w:w="3360"/>
            <w:shd w:fill="FFFFFF"/>
            <w:tcMar>
              <w:top w:w="50" w:type="dxa"/>
              <w:bottom w:w="50" w:type="dxa"/>
              <w:left w:w="80" w:type="dxa"/>
              <w:right w:w="80" w:type="dxa"/>
            </w:tcMar>
          </w:tcPr>
          <w:p>
            <w:r>
              <w:rPr>
                <w:rFonts w:ascii="Times New Roman" w:hAnsi="Times New Roman"/>
                <w:color w:val="212529"/>
                <w:sz w:val="16"/>
              </w:rPr>
              <w:t>T_gps = 30 frames (3.0 seconds at 10 Hz)</w:t>
            </w:r>
          </w:p>
        </w:tc>
        <w:tc>
          <w:tcPr>
            <w:tcW w:type="dxa" w:w="3360"/>
            <w:shd w:fill="FFFFFF"/>
            <w:tcMar>
              <w:top w:w="50" w:type="dxa"/>
              <w:bottom w:w="50" w:type="dxa"/>
              <w:left w:w="80" w:type="dxa"/>
              <w:right w:w="80" w:type="dxa"/>
            </w:tcMar>
          </w:tcPr>
          <w:p>
            <w:r>
              <w:rPr>
                <w:rFonts w:ascii="Times New Roman" w:hAnsi="Times New Roman"/>
                <w:color w:val="212529"/>
                <w:sz w:val="16"/>
              </w:rPr>
              <w:t>Sequential sliding window capturing continuous vehicular trajectories</w:t>
            </w:r>
          </w:p>
        </w:tc>
      </w:tr>
      <w:tr>
        <w:tc>
          <w:tcPr>
            <w:tcW w:type="dxa" w:w="3360"/>
            <w:shd w:fill="F8F9FA"/>
            <w:tcMar>
              <w:top w:w="50" w:type="dxa"/>
              <w:bottom w:w="50" w:type="dxa"/>
              <w:left w:w="80" w:type="dxa"/>
              <w:right w:w="80" w:type="dxa"/>
            </w:tcMar>
          </w:tcPr>
          <w:p>
            <w:r>
              <w:rPr>
                <w:rFonts w:ascii="Times New Roman" w:hAnsi="Times New Roman"/>
                <w:b/>
                <w:color w:val="212529"/>
                <w:sz w:val="16"/>
              </w:rPr>
              <w:t>Visual Frames (T_img)</w:t>
            </w:r>
          </w:p>
        </w:tc>
        <w:tc>
          <w:tcPr>
            <w:tcW w:type="dxa" w:w="3360"/>
            <w:shd w:fill="F8F9FA"/>
            <w:tcMar>
              <w:top w:w="50" w:type="dxa"/>
              <w:bottom w:w="50" w:type="dxa"/>
              <w:left w:w="80" w:type="dxa"/>
              <w:right w:w="80" w:type="dxa"/>
            </w:tcMar>
          </w:tcPr>
          <w:p>
            <w:r>
              <w:rPr>
                <w:rFonts w:ascii="Times New Roman" w:hAnsi="Times New Roman"/>
                <w:color w:val="212529"/>
                <w:sz w:val="16"/>
              </w:rPr>
              <w:t>T_img = 5 frames (0.5 seconds at 10 Hz)</w:t>
            </w:r>
          </w:p>
        </w:tc>
        <w:tc>
          <w:tcPr>
            <w:tcW w:type="dxa" w:w="3360"/>
            <w:shd w:fill="F8F9FA"/>
            <w:tcMar>
              <w:top w:w="50" w:type="dxa"/>
              <w:bottom w:w="50" w:type="dxa"/>
              <w:left w:w="80" w:type="dxa"/>
              <w:right w:w="80" w:type="dxa"/>
            </w:tcMar>
          </w:tcPr>
          <w:p>
            <w:r>
              <w:rPr>
                <w:rFonts w:ascii="Times New Roman" w:hAnsi="Times New Roman"/>
                <w:color w:val="212529"/>
                <w:sz w:val="16"/>
              </w:rPr>
              <w:t>Downsampled camera sequence (96×96×3) capturing road scene dynamics</w:t>
            </w:r>
          </w:p>
        </w:tc>
      </w:tr>
    </w:tbl>
    <w:p>
      <w:pPr>
        <w:keepNext/>
        <w:spacing w:before="200" w:after="40"/>
        <w:jc w:val="left"/>
      </w:pPr>
      <w:r>
        <w:rPr>
          <w:rFonts w:ascii="Times New Roman" w:hAnsi="Times New Roman"/>
          <w:b/>
          <w:i/>
          <w:color w:val="212529"/>
          <w:sz w:val="20"/>
        </w:rPr>
        <w:t>C. Zero-Leakage Trajectory Partitioning</w:t>
      </w:r>
    </w:p>
    <w:p>
      <w:pPr>
        <w:spacing w:before="40" w:after="80" w:line="276" w:lineRule="auto"/>
      </w:pPr>
      <w:r>
        <w:rPr>
          <w:rFonts w:ascii="Times New Roman" w:hAnsi="Times New Roman"/>
          <w:color w:val="212529"/>
          <w:sz w:val="20"/>
        </w:rPr>
        <w:t>Random row-level splitting of overlapping sliding windows severely leaks temporal information, because sample t and sample t+1 share 29 of their 30 observation frames. We enforce an authenticated zero-leakage protocol by partitioning all 124 continuous driving trajectories into mutually disjoint sets, detailed in Table II.</w:t>
      </w:r>
    </w:p>
    <w:p>
      <w:pPr>
        <w:spacing w:before="160"/>
        <w:jc w:val="center"/>
      </w:pPr>
      <w:r>
        <w:rPr>
          <w:rFonts w:ascii="Times New Roman" w:hAnsi="Times New Roman"/>
          <w:b/>
          <w:sz w:val="17"/>
        </w:rPr>
        <w:t>TABLE II: ZERO-LEAKAGE TRAJECTORY SPLIT SIZES &amp; EMPIRICAL CRC COVERAGE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2240"/>
            <w:tcMar>
              <w:top w:w="70" w:type="dxa"/>
              <w:bottom w:w="70" w:type="dxa"/>
              <w:left w:w="80" w:type="dxa"/>
              <w:right w:w="80" w:type="dxa"/>
            </w:tcMar>
          </w:tcPr>
          <w:p>
            <w:r>
              <w:rPr>
                <w:rFonts w:ascii="Times New Roman" w:hAnsi="Times New Roman"/>
                <w:b/>
                <w:color w:val="FFFFFF"/>
                <w:sz w:val="16"/>
              </w:rPr>
              <w:t>Split Name</w:t>
            </w:r>
          </w:p>
        </w:tc>
        <w:tc>
          <w:tcPr>
            <w:tcW w:type="dxa" w:w="2016"/>
            <w:shd w:fill="0F2240"/>
            <w:tcMar>
              <w:top w:w="70" w:type="dxa"/>
              <w:bottom w:w="70" w:type="dxa"/>
              <w:left w:w="80" w:type="dxa"/>
              <w:right w:w="80" w:type="dxa"/>
            </w:tcMar>
          </w:tcPr>
          <w:p>
            <w:r>
              <w:rPr>
                <w:rFonts w:ascii="Times New Roman" w:hAnsi="Times New Roman"/>
                <w:b/>
                <w:color w:val="FFFFFF"/>
                <w:sz w:val="16"/>
              </w:rPr>
              <w:t>Drives</w:t>
            </w:r>
          </w:p>
        </w:tc>
        <w:tc>
          <w:tcPr>
            <w:tcW w:type="dxa" w:w="2016"/>
            <w:shd w:fill="0F2240"/>
            <w:tcMar>
              <w:top w:w="70" w:type="dxa"/>
              <w:bottom w:w="70" w:type="dxa"/>
              <w:left w:w="80" w:type="dxa"/>
              <w:right w:w="80" w:type="dxa"/>
            </w:tcMar>
          </w:tcPr>
          <w:p>
            <w:r>
              <w:rPr>
                <w:rFonts w:ascii="Times New Roman" w:hAnsi="Times New Roman"/>
                <w:b/>
                <w:color w:val="FFFFFF"/>
                <w:sz w:val="16"/>
              </w:rPr>
              <w:t>Sequences</w:t>
            </w:r>
          </w:p>
        </w:tc>
        <w:tc>
          <w:tcPr>
            <w:tcW w:type="dxa" w:w="2016"/>
            <w:shd w:fill="0F2240"/>
            <w:tcMar>
              <w:top w:w="70" w:type="dxa"/>
              <w:bottom w:w="70" w:type="dxa"/>
              <w:left w:w="80" w:type="dxa"/>
              <w:right w:w="80" w:type="dxa"/>
            </w:tcMar>
          </w:tcPr>
          <w:p>
            <w:r>
              <w:rPr>
                <w:rFonts w:ascii="Times New Roman" w:hAnsi="Times New Roman"/>
                <w:b/>
                <w:color w:val="FFFFFF"/>
                <w:sz w:val="16"/>
              </w:rPr>
              <w:t>Mean CRC Set Size</w:t>
            </w:r>
          </w:p>
        </w:tc>
        <w:tc>
          <w:tcPr>
            <w:tcW w:type="dxa" w:w="2016"/>
            <w:shd w:fill="0F2240"/>
            <w:tcMar>
              <w:top w:w="70" w:type="dxa"/>
              <w:bottom w:w="70" w:type="dxa"/>
              <w:left w:w="80" w:type="dxa"/>
              <w:right w:w="80" w:type="dxa"/>
            </w:tcMar>
          </w:tcPr>
          <w:p>
            <w:r>
              <w:rPr>
                <w:rFonts w:ascii="Times New Roman" w:hAnsi="Times New Roman"/>
                <w:b/>
                <w:color w:val="FFFFFF"/>
                <w:sz w:val="16"/>
              </w:rPr>
              <w:t>Empirical Coverage (Target ≥ 90%)</w:t>
            </w:r>
          </w:p>
        </w:tc>
      </w:tr>
      <w:tr>
        <w:tc>
          <w:tcPr>
            <w:tcW w:type="dxa" w:w="2016"/>
            <w:shd w:fill="F8F9FA"/>
            <w:tcMar>
              <w:top w:w="50" w:type="dxa"/>
              <w:bottom w:w="50" w:type="dxa"/>
              <w:left w:w="70" w:type="dxa"/>
              <w:right w:w="70" w:type="dxa"/>
            </w:tcMar>
          </w:tcPr>
          <w:p>
            <w:r>
              <w:rPr>
                <w:rFonts w:ascii="Times New Roman" w:hAnsi="Times New Roman"/>
                <w:b/>
                <w:color w:val="212529"/>
                <w:sz w:val="16"/>
              </w:rPr>
              <w:t>Train Set</w:t>
            </w:r>
          </w:p>
        </w:tc>
        <w:tc>
          <w:tcPr>
            <w:tcW w:type="dxa" w:w="2016"/>
            <w:shd w:fill="F8F9FA"/>
            <w:tcMar>
              <w:top w:w="50" w:type="dxa"/>
              <w:bottom w:w="50" w:type="dxa"/>
              <w:left w:w="70" w:type="dxa"/>
              <w:right w:w="70" w:type="dxa"/>
            </w:tcMar>
          </w:tcPr>
          <w:p>
            <w:r>
              <w:rPr>
                <w:rFonts w:ascii="Times New Roman" w:hAnsi="Times New Roman"/>
                <w:color w:val="212529"/>
                <w:sz w:val="16"/>
              </w:rPr>
              <w:t>68 drives</w:t>
            </w:r>
          </w:p>
        </w:tc>
        <w:tc>
          <w:tcPr>
            <w:tcW w:type="dxa" w:w="2016"/>
            <w:shd w:fill="F8F9FA"/>
            <w:tcMar>
              <w:top w:w="50" w:type="dxa"/>
              <w:bottom w:w="50" w:type="dxa"/>
              <w:left w:w="70" w:type="dxa"/>
              <w:right w:w="70" w:type="dxa"/>
            </w:tcMar>
          </w:tcPr>
          <w:p>
            <w:r>
              <w:rPr>
                <w:rFonts w:ascii="Times New Roman" w:hAnsi="Times New Roman"/>
                <w:color w:val="212529"/>
                <w:sz w:val="16"/>
              </w:rPr>
              <w:t>13,260 (54.8%)</w:t>
            </w:r>
          </w:p>
        </w:tc>
        <w:tc>
          <w:tcPr>
            <w:tcW w:type="dxa" w:w="2016"/>
            <w:shd w:fill="F8F9FA"/>
            <w:tcMar>
              <w:top w:w="50" w:type="dxa"/>
              <w:bottom w:w="50" w:type="dxa"/>
              <w:left w:w="70" w:type="dxa"/>
              <w:right w:w="70" w:type="dxa"/>
            </w:tcMar>
          </w:tcPr>
          <w:p>
            <w:r>
              <w:rPr>
                <w:rFonts w:ascii="Times New Roman" w:hAnsi="Times New Roman"/>
                <w:color w:val="212529"/>
                <w:sz w:val="16"/>
              </w:rPr>
              <w:t>3.2 / 256 beams</w:t>
            </w:r>
          </w:p>
        </w:tc>
        <w:tc>
          <w:tcPr>
            <w:tcW w:type="dxa" w:w="2016"/>
            <w:shd w:fill="F8F9FA"/>
            <w:tcMar>
              <w:top w:w="50" w:type="dxa"/>
              <w:bottom w:w="50" w:type="dxa"/>
              <w:left w:w="70" w:type="dxa"/>
              <w:right w:w="70" w:type="dxa"/>
            </w:tcMar>
          </w:tcPr>
          <w:p>
            <w:r>
              <w:rPr>
                <w:rFonts w:ascii="Times New Roman" w:hAnsi="Times New Roman"/>
                <w:color w:val="212529"/>
                <w:sz w:val="16"/>
              </w:rPr>
              <w:t>98.4% (In-sample training fit)</w:t>
            </w:r>
          </w:p>
        </w:tc>
      </w:tr>
      <w:tr>
        <w:tc>
          <w:tcPr>
            <w:tcW w:type="dxa" w:w="2016"/>
            <w:shd w:fill="FFFFFF"/>
            <w:tcMar>
              <w:top w:w="50" w:type="dxa"/>
              <w:bottom w:w="50" w:type="dxa"/>
              <w:left w:w="70" w:type="dxa"/>
              <w:right w:w="70" w:type="dxa"/>
            </w:tcMar>
          </w:tcPr>
          <w:p>
            <w:r>
              <w:rPr>
                <w:rFonts w:ascii="Times New Roman" w:hAnsi="Times New Roman"/>
                <w:b/>
                <w:color w:val="212529"/>
                <w:sz w:val="16"/>
              </w:rPr>
              <w:t>Validation Set</w:t>
            </w:r>
          </w:p>
        </w:tc>
        <w:tc>
          <w:tcPr>
            <w:tcW w:type="dxa" w:w="2016"/>
            <w:shd w:fill="FFFFFF"/>
            <w:tcMar>
              <w:top w:w="50" w:type="dxa"/>
              <w:bottom w:w="50" w:type="dxa"/>
              <w:left w:w="70" w:type="dxa"/>
              <w:right w:w="70" w:type="dxa"/>
            </w:tcMar>
          </w:tcPr>
          <w:p>
            <w:r>
              <w:rPr>
                <w:rFonts w:ascii="Times New Roman" w:hAnsi="Times New Roman"/>
                <w:color w:val="212529"/>
                <w:sz w:val="16"/>
              </w:rPr>
              <w:t>19 drives</w:t>
            </w:r>
          </w:p>
        </w:tc>
        <w:tc>
          <w:tcPr>
            <w:tcW w:type="dxa" w:w="2016"/>
            <w:shd w:fill="FFFFFF"/>
            <w:tcMar>
              <w:top w:w="50" w:type="dxa"/>
              <w:bottom w:w="50" w:type="dxa"/>
              <w:left w:w="70" w:type="dxa"/>
              <w:right w:w="70" w:type="dxa"/>
            </w:tcMar>
          </w:tcPr>
          <w:p>
            <w:r>
              <w:rPr>
                <w:rFonts w:ascii="Times New Roman" w:hAnsi="Times New Roman"/>
                <w:color w:val="212529"/>
                <w:sz w:val="16"/>
              </w:rPr>
              <w:t>3,705 (15.3%)</w:t>
            </w:r>
          </w:p>
        </w:tc>
        <w:tc>
          <w:tcPr>
            <w:tcW w:type="dxa" w:w="2016"/>
            <w:shd w:fill="FFFFFF"/>
            <w:tcMar>
              <w:top w:w="50" w:type="dxa"/>
              <w:bottom w:w="50" w:type="dxa"/>
              <w:left w:w="70" w:type="dxa"/>
              <w:right w:w="70" w:type="dxa"/>
            </w:tcMar>
          </w:tcPr>
          <w:p>
            <w:r>
              <w:rPr>
                <w:rFonts w:ascii="Times New Roman" w:hAnsi="Times New Roman"/>
                <w:color w:val="212529"/>
                <w:sz w:val="16"/>
              </w:rPr>
              <w:t>11.8 / 256 beams</w:t>
            </w:r>
          </w:p>
        </w:tc>
        <w:tc>
          <w:tcPr>
            <w:tcW w:type="dxa" w:w="2016"/>
            <w:shd w:fill="FFFFFF"/>
            <w:tcMar>
              <w:top w:w="50" w:type="dxa"/>
              <w:bottom w:w="50" w:type="dxa"/>
              <w:left w:w="70" w:type="dxa"/>
              <w:right w:w="70" w:type="dxa"/>
            </w:tcMar>
          </w:tcPr>
          <w:p>
            <w:r>
              <w:rPr>
                <w:rFonts w:ascii="Times New Roman" w:hAnsi="Times New Roman"/>
                <w:color w:val="212529"/>
                <w:sz w:val="16"/>
              </w:rPr>
              <w:t>68.7% (Degraded under shift)</w:t>
            </w:r>
          </w:p>
        </w:tc>
      </w:tr>
      <w:tr>
        <w:tc>
          <w:tcPr>
            <w:tcW w:type="dxa" w:w="2016"/>
            <w:shd w:fill="F8F9FA"/>
            <w:tcMar>
              <w:top w:w="50" w:type="dxa"/>
              <w:bottom w:w="50" w:type="dxa"/>
              <w:left w:w="70" w:type="dxa"/>
              <w:right w:w="70" w:type="dxa"/>
            </w:tcMar>
          </w:tcPr>
          <w:p>
            <w:r>
              <w:rPr>
                <w:rFonts w:ascii="Times New Roman" w:hAnsi="Times New Roman"/>
                <w:b/>
                <w:color w:val="212529"/>
                <w:sz w:val="16"/>
              </w:rPr>
              <w:t>Calibration Set</w:t>
            </w:r>
          </w:p>
        </w:tc>
        <w:tc>
          <w:tcPr>
            <w:tcW w:type="dxa" w:w="2016"/>
            <w:shd w:fill="F8F9FA"/>
            <w:tcMar>
              <w:top w:w="50" w:type="dxa"/>
              <w:bottom w:w="50" w:type="dxa"/>
              <w:left w:w="70" w:type="dxa"/>
              <w:right w:w="70" w:type="dxa"/>
            </w:tcMar>
          </w:tcPr>
          <w:p>
            <w:r>
              <w:rPr>
                <w:rFonts w:ascii="Times New Roman" w:hAnsi="Times New Roman"/>
                <w:color w:val="212529"/>
                <w:sz w:val="16"/>
              </w:rPr>
              <w:t>19 drives</w:t>
            </w:r>
          </w:p>
        </w:tc>
        <w:tc>
          <w:tcPr>
            <w:tcW w:type="dxa" w:w="2016"/>
            <w:shd w:fill="F8F9FA"/>
            <w:tcMar>
              <w:top w:w="50" w:type="dxa"/>
              <w:bottom w:w="50" w:type="dxa"/>
              <w:left w:w="70" w:type="dxa"/>
              <w:right w:w="70" w:type="dxa"/>
            </w:tcMar>
          </w:tcPr>
          <w:p>
            <w:r>
              <w:rPr>
                <w:rFonts w:ascii="Times New Roman" w:hAnsi="Times New Roman"/>
                <w:color w:val="212529"/>
                <w:sz w:val="16"/>
              </w:rPr>
              <w:t>3,705 (15.3%)</w:t>
            </w:r>
          </w:p>
        </w:tc>
        <w:tc>
          <w:tcPr>
            <w:tcW w:type="dxa" w:w="2016"/>
            <w:shd w:fill="F8F9FA"/>
            <w:tcMar>
              <w:top w:w="50" w:type="dxa"/>
              <w:bottom w:w="50" w:type="dxa"/>
              <w:left w:w="70" w:type="dxa"/>
              <w:right w:w="70" w:type="dxa"/>
            </w:tcMar>
          </w:tcPr>
          <w:p>
            <w:r>
              <w:rPr>
                <w:rFonts w:ascii="Times New Roman" w:hAnsi="Times New Roman"/>
                <w:color w:val="212529"/>
                <w:sz w:val="16"/>
              </w:rPr>
              <w:t>12.1 / 256 beams</w:t>
            </w:r>
          </w:p>
        </w:tc>
        <w:tc>
          <w:tcPr>
            <w:tcW w:type="dxa" w:w="2016"/>
            <w:shd w:fill="F8F9FA"/>
            <w:tcMar>
              <w:top w:w="50" w:type="dxa"/>
              <w:bottom w:w="50" w:type="dxa"/>
              <w:left w:w="70" w:type="dxa"/>
              <w:right w:w="70" w:type="dxa"/>
            </w:tcMar>
          </w:tcPr>
          <w:p>
            <w:r>
              <w:rPr>
                <w:rFonts w:ascii="Times New Roman" w:hAnsi="Times New Roman"/>
                <w:color w:val="212529"/>
                <w:sz w:val="16"/>
              </w:rPr>
              <w:t>90.2% (Satisfied by construction)</w:t>
            </w:r>
          </w:p>
        </w:tc>
      </w:tr>
      <w:tr>
        <w:tc>
          <w:tcPr>
            <w:tcW w:type="dxa" w:w="2016"/>
            <w:shd w:fill="FFFFFF"/>
            <w:tcMar>
              <w:top w:w="50" w:type="dxa"/>
              <w:bottom w:w="50" w:type="dxa"/>
              <w:left w:w="70" w:type="dxa"/>
              <w:right w:w="70" w:type="dxa"/>
            </w:tcMar>
          </w:tcPr>
          <w:p>
            <w:r>
              <w:rPr>
                <w:rFonts w:ascii="Times New Roman" w:hAnsi="Times New Roman"/>
                <w:b/>
                <w:color w:val="212529"/>
                <w:sz w:val="16"/>
              </w:rPr>
              <w:t>Test Set (Unseen)</w:t>
            </w:r>
          </w:p>
        </w:tc>
        <w:tc>
          <w:tcPr>
            <w:tcW w:type="dxa" w:w="2016"/>
            <w:shd w:fill="FFFFFF"/>
            <w:tcMar>
              <w:top w:w="50" w:type="dxa"/>
              <w:bottom w:w="50" w:type="dxa"/>
              <w:left w:w="70" w:type="dxa"/>
              <w:right w:w="70" w:type="dxa"/>
            </w:tcMar>
          </w:tcPr>
          <w:p>
            <w:r>
              <w:rPr>
                <w:rFonts w:ascii="Times New Roman" w:hAnsi="Times New Roman"/>
                <w:color w:val="212529"/>
                <w:sz w:val="16"/>
              </w:rPr>
              <w:t>18 drives</w:t>
            </w:r>
          </w:p>
        </w:tc>
        <w:tc>
          <w:tcPr>
            <w:tcW w:type="dxa" w:w="2016"/>
            <w:shd w:fill="FFFFFF"/>
            <w:tcMar>
              <w:top w:w="50" w:type="dxa"/>
              <w:bottom w:w="50" w:type="dxa"/>
              <w:left w:w="70" w:type="dxa"/>
              <w:right w:w="70" w:type="dxa"/>
            </w:tcMar>
          </w:tcPr>
          <w:p>
            <w:r>
              <w:rPr>
                <w:rFonts w:ascii="Times New Roman" w:hAnsi="Times New Roman"/>
                <w:color w:val="212529"/>
                <w:sz w:val="16"/>
              </w:rPr>
              <w:t>3,509 (14.5%)</w:t>
            </w:r>
          </w:p>
        </w:tc>
        <w:tc>
          <w:tcPr>
            <w:tcW w:type="dxa" w:w="2016"/>
            <w:shd w:fill="FFFFFF"/>
            <w:tcMar>
              <w:top w:w="50" w:type="dxa"/>
              <w:bottom w:w="50" w:type="dxa"/>
              <w:left w:w="70" w:type="dxa"/>
              <w:right w:w="70" w:type="dxa"/>
            </w:tcMar>
          </w:tcPr>
          <w:p>
            <w:r>
              <w:rPr>
                <w:rFonts w:ascii="Times New Roman" w:hAnsi="Times New Roman"/>
                <w:color w:val="212529"/>
                <w:sz w:val="16"/>
              </w:rPr>
              <w:t>13.9 / 256 beams</w:t>
            </w:r>
          </w:p>
        </w:tc>
        <w:tc>
          <w:tcPr>
            <w:tcW w:type="dxa" w:w="2016"/>
            <w:shd w:fill="FFFFFF"/>
            <w:tcMar>
              <w:top w:w="50" w:type="dxa"/>
              <w:bottom w:w="50" w:type="dxa"/>
              <w:left w:w="70" w:type="dxa"/>
              <w:right w:w="70" w:type="dxa"/>
            </w:tcMar>
          </w:tcPr>
          <w:p>
            <w:r>
              <w:rPr>
                <w:rFonts w:ascii="Times New Roman" w:hAnsi="Times New Roman"/>
                <w:b/>
                <w:color w:val="B91C1C"/>
                <w:sz w:val="16"/>
              </w:rPr>
              <w:t>33.4% (Severe coverage collapse)</w:t>
            </w:r>
          </w:p>
        </w:tc>
      </w:tr>
    </w:tbl>
    <w:p>
      <w:pPr>
        <w:keepNext/>
        <w:spacing w:before="280" w:after="80"/>
        <w:jc w:val="center"/>
      </w:pPr>
      <w:r>
        <w:rPr>
          <w:rFonts w:ascii="Times New Roman" w:hAnsi="Times New Roman"/>
          <w:b/>
          <w:color w:val="0F2240"/>
          <w:sz w:val="22"/>
        </w:rPr>
        <w:t>IV. MODEL ARCHITECTURE</w:t>
      </w:r>
    </w:p>
    <w:p>
      <w:pPr>
        <w:spacing w:before="40" w:after="80" w:line="276" w:lineRule="auto"/>
      </w:pPr>
      <w:r>
        <w:rPr>
          <w:rFonts w:ascii="Times New Roman" w:hAnsi="Times New Roman"/>
          <w:b/>
          <w:color w:val="000000"/>
          <w:sz w:val="20"/>
        </w:rPr>
        <w:t xml:space="preserve">Architectural Formulation: </w:t>
      </w:r>
      <w:r>
        <w:rPr>
          <w:rFonts w:ascii="Times New Roman" w:hAnsi="Times New Roman"/>
          <w:color w:val="212529"/>
          <w:sz w:val="20"/>
        </w:rPr>
        <w:t>The P3_MultiTaskProfile architecture (≈15.15M parameters) comprises four tightly integrated deep neural modules optimized for edge inference:</w:t>
      </w:r>
    </w:p>
    <w:p>
      <w:pPr>
        <w:spacing w:before="40" w:after="80" w:line="276" w:lineRule="auto"/>
      </w:pPr>
      <w:r>
        <w:rPr>
          <w:rFonts w:ascii="Times New Roman" w:hAnsi="Times New Roman"/>
          <w:color w:val="212529"/>
          <w:sz w:val="20"/>
        </w:rPr>
        <w:t>1. Kinematics Temporal Encoder: Kinematic sequence X_gps ∈ R^{B × 30 × 9} is projected to a 192-d latent subspace and processed by a 2-layer Bidirectional GRU with LayerNorm and recurrent dropout (0.25), yielding motion representation h_kin = LayerNorm(Linear([h_fwd[-1]; h_bwd[-1]])) ∈ R^{B × 192}.</w:t>
      </w:r>
    </w:p>
    <w:p>
      <w:pPr>
        <w:spacing w:before="40" w:after="80" w:line="276" w:lineRule="auto"/>
      </w:pPr>
      <w:r>
        <w:rPr>
          <w:rFonts w:ascii="Times New Roman" w:hAnsi="Times New Roman"/>
          <w:color w:val="212529"/>
          <w:sz w:val="20"/>
        </w:rPr>
        <w:t>2. Visual Spatial Encoder: Camera frames X_rgb ∈ R^{B × 5 × 3 × 96 × 96} are processed by a ResNet-18 backbone where the stem and layers 1–2 are frozen (preserving foundational ImageNet optical filters) and layers 3–4 are fine-tuned end-to-end. Global average pooling produces 512-d embeddings, which are projected to 192 d to form visual sequence Z_img ∈ R^{B × 5 × 192}.</w:t>
      </w:r>
    </w:p>
    <w:p>
      <w:pPr>
        <w:spacing w:before="40" w:after="80" w:line="276" w:lineRule="auto"/>
      </w:pPr>
      <w:r>
        <w:rPr>
          <w:rFonts w:ascii="Times New Roman" w:hAnsi="Times New Roman"/>
          <w:color w:val="212529"/>
          <w:sz w:val="20"/>
        </w:rPr>
        <w:t>3. Cross-Attention Transformer Core: A learnable classification token z_CLS ∈ R^{1 × 192} is prepended to the fused kinematics and visual tokens alongside learnable 1D sinusoidal positional embeddings Z_0 = [z_CLS; h_kin; Z_img] + E_pos ∈ R^{B × 7 × 192}. This composite sequence is processed by a 2-layer Pre-LayerNorm Transformer encoder (4 attention heads, d_model = 192, d_ff = 768).</w:t>
      </w:r>
    </w:p>
    <w:p>
      <w:pPr>
        <w:spacing w:before="40" w:after="80" w:line="276" w:lineRule="auto"/>
      </w:pPr>
      <w:r>
        <w:rPr>
          <w:rFonts w:ascii="Times New Roman" w:hAnsi="Times New Roman"/>
          <w:color w:val="212529"/>
          <w:sz w:val="20"/>
        </w:rPr>
        <w:t>4. Dual Decoupled Output Heads: The contextualized token z_out feeds a 256-way classification head f_cls with label smoothing (ε = 0.05) and a 256-d regression head f_reg predicting continuous power spectra. Optimization is driven by a joint multi-task loss:</w:t>
      </w:r>
    </w:p>
    <w:p>
      <w:pPr>
        <w:spacing w:before="80" w:after="80"/>
        <w:jc w:val="center"/>
      </w:pPr>
      <w:r>
        <w:rPr>
          <w:rFonts w:ascii="Cambria Math" w:hAnsi="Cambria Math"/>
          <w:i/>
          <w:color w:val="000000"/>
          <w:sz w:val="21"/>
        </w:rPr>
        <w:t>L_total = (1 - α_loss) · L_CE(f_cls(S_t), b*_t) + α_loss · L_MSE(f_reg(S_t), p_t)</w:t>
      </w:r>
      <w:r>
        <w:rPr>
          <w:rFonts w:ascii="Times New Roman" w:hAnsi="Times New Roman"/>
          <w:b/>
          <w:i w:val="0"/>
          <w:sz w:val="20"/>
        </w:rPr>
        <w:t xml:space="preserve">    (4)</w:t>
      </w:r>
    </w:p>
    <w:p>
      <w:pPr>
        <w:spacing w:before="40" w:after="80" w:line="276" w:lineRule="auto"/>
      </w:pPr>
      <w:r>
        <w:rPr>
          <w:rFonts w:ascii="Times New Roman" w:hAnsi="Times New Roman"/>
          <w:color w:val="212529"/>
          <w:sz w:val="20"/>
        </w:rPr>
        <w:t>where α_loss = 0.5 balances discrete beam indexing against continuous RF power-profile reconstruction.</w:t>
      </w:r>
    </w:p>
    <w:p>
      <w:pPr>
        <w:keepNext/>
        <w:spacing w:before="280" w:after="80"/>
        <w:jc w:val="center"/>
      </w:pPr>
      <w:r>
        <w:rPr>
          <w:rFonts w:ascii="Times New Roman" w:hAnsi="Times New Roman"/>
          <w:b/>
          <w:color w:val="0F2240"/>
          <w:sz w:val="22"/>
        </w:rPr>
        <w:t>V. CONFORMAL RISK CONTROL &amp; ADAPTIVE FEEDBACK</w:t>
      </w:r>
    </w:p>
    <w:p>
      <w:pPr>
        <w:keepNext/>
        <w:spacing w:before="200" w:after="40"/>
        <w:jc w:val="left"/>
      </w:pPr>
      <w:r>
        <w:rPr>
          <w:rFonts w:ascii="Times New Roman" w:hAnsi="Times New Roman"/>
          <w:b/>
          <w:i/>
          <w:color w:val="212529"/>
          <w:sz w:val="20"/>
        </w:rPr>
        <w:t>A. Static Conformal Risk Control</w:t>
      </w:r>
    </w:p>
    <w:p>
      <w:pPr>
        <w:spacing w:before="40" w:after="80" w:line="276" w:lineRule="auto"/>
      </w:pPr>
      <w:r>
        <w:rPr>
          <w:rFonts w:ascii="Times New Roman" w:hAnsi="Times New Roman"/>
          <w:color w:val="212529"/>
          <w:sz w:val="20"/>
        </w:rPr>
        <w:t>On the calibration partition (n = 3,705), we define the non-conformity score S_i as the predicted power gap between the estimated maximum beam and candidate beam:</w:t>
      </w:r>
    </w:p>
    <w:p>
      <w:pPr>
        <w:spacing w:before="80" w:after="80"/>
        <w:jc w:val="center"/>
      </w:pPr>
      <w:r>
        <w:rPr>
          <w:rFonts w:ascii="Cambria Math" w:hAnsi="Cambria Math"/>
          <w:i/>
          <w:color w:val="000000"/>
          <w:sz w:val="21"/>
        </w:rPr>
        <w:t>S_i = max_{b ∈ B} p̂_i[b] - p̂_i[b*_i]</w:t>
      </w:r>
      <w:r>
        <w:rPr>
          <w:rFonts w:ascii="Times New Roman" w:hAnsi="Times New Roman"/>
          <w:b/>
          <w:i w:val="0"/>
          <w:sz w:val="20"/>
        </w:rPr>
        <w:t xml:space="preserve">    (5)</w:t>
      </w:r>
    </w:p>
    <w:p>
      <w:pPr>
        <w:spacing w:before="40" w:after="80" w:line="276" w:lineRule="auto"/>
      </w:pPr>
      <w:r>
        <w:rPr>
          <w:rFonts w:ascii="Times New Roman" w:hAnsi="Times New Roman"/>
          <w:color w:val="212529"/>
          <w:sz w:val="20"/>
        </w:rPr>
        <w:t>At user-specified risk tolerance α = 0.10, the calibrated finite-sample quantile threshold q̂ is computed via:</w:t>
      </w:r>
    </w:p>
    <w:p>
      <w:pPr>
        <w:spacing w:before="80" w:after="80"/>
        <w:jc w:val="center"/>
      </w:pPr>
      <w:r>
        <w:rPr>
          <w:rFonts w:ascii="Cambria Math" w:hAnsi="Cambria Math"/>
          <w:i/>
          <w:color w:val="000000"/>
          <w:sz w:val="21"/>
        </w:rPr>
        <w:t>q̂ = Quantile({S_1, ..., S_n},  ⌈(n + 1)(1 - α)⌉ / n)</w:t>
      </w:r>
      <w:r>
        <w:rPr>
          <w:rFonts w:ascii="Times New Roman" w:hAnsi="Times New Roman"/>
          <w:b/>
          <w:i w:val="0"/>
          <w:sz w:val="20"/>
        </w:rPr>
        <w:t xml:space="preserve">    (6)</w:t>
      </w:r>
    </w:p>
    <w:p>
      <w:pPr>
        <w:spacing w:before="40" w:after="80" w:line="276" w:lineRule="auto"/>
      </w:pPr>
      <w:r>
        <w:rPr>
          <w:rFonts w:ascii="Times New Roman" w:hAnsi="Times New Roman"/>
          <w:color w:val="212529"/>
          <w:sz w:val="20"/>
        </w:rPr>
        <w:t>Evaluating (6) on calibration sequences yielded q̂ = 7.30 dB. At inference, candidate beam subsets are formed via C(S_test) = {b ∈ B : max(p̂) - p̂[b] ≤ q̂}.</w:t>
      </w:r>
    </w:p>
    <w:p>
      <w:pPr>
        <w:keepNext/>
        <w:spacing w:before="200" w:after="40"/>
        <w:jc w:val="left"/>
      </w:pPr>
      <w:r>
        <w:rPr>
          <w:rFonts w:ascii="Times New Roman" w:hAnsi="Times New Roman"/>
          <w:b/>
          <w:i/>
          <w:color w:val="212529"/>
          <w:sz w:val="20"/>
        </w:rPr>
        <w:t>B. The Exchangeability Breakdown Under Trajectory Drift</w:t>
      </w:r>
    </w:p>
    <w:p>
      <w:pPr>
        <w:spacing w:before="40" w:after="80" w:line="276" w:lineRule="auto"/>
      </w:pPr>
      <w:r>
        <w:rPr>
          <w:rFonts w:ascii="Times New Roman" w:hAnsi="Times New Roman"/>
          <w:color w:val="212529"/>
          <w:sz w:val="20"/>
        </w:rPr>
        <w:t>The theoretical guarantee of static CRC relies entirely on sample exchangeability. As shown in Table II, while empirical coverage on the calibration split meets the 90% target exactly (90.2%), coverage degrades to 68.7% on validation drives and collapses to 33.4% on test drives. This 2.7× shortfall is a primary empirical contribution of this paper: it demonstrates that vehicular trajectory shifts (road curvature, lighting changes, variable traffic occlusion) systematically violate exchangeability, proving that one-shot offline calibration is unsafe for physical autonomous vehicles.</w:t>
      </w:r>
    </w:p>
    <w:p>
      <w:pPr>
        <w:keepNext/>
        <w:spacing w:before="200" w:after="40"/>
        <w:jc w:val="left"/>
      </w:pPr>
      <w:r>
        <w:rPr>
          <w:rFonts w:ascii="Times New Roman" w:hAnsi="Times New Roman"/>
          <w:b/>
          <w:i/>
          <w:color w:val="212529"/>
          <w:sz w:val="20"/>
        </w:rPr>
        <w:t>C. Adaptive Conformal Inference and Conformal PID Feedback Control</w:t>
      </w:r>
    </w:p>
    <w:p>
      <w:pPr>
        <w:spacing w:before="40" w:after="80" w:line="276" w:lineRule="auto"/>
      </w:pPr>
      <w:r>
        <w:rPr>
          <w:rFonts w:ascii="Times New Roman" w:hAnsi="Times New Roman"/>
          <w:color w:val="212529"/>
          <w:sz w:val="20"/>
        </w:rPr>
        <w:t>To guarantee long-term safety under non-stationary trajectory drift, we formulate an online closed-loop controller. At streaming step t, the instantaneous coverage error is computed as:</w:t>
      </w:r>
    </w:p>
    <w:p>
      <w:pPr>
        <w:spacing w:before="80" w:after="80"/>
        <w:jc w:val="center"/>
      </w:pPr>
      <w:r>
        <w:rPr>
          <w:rFonts w:ascii="Cambria Math" w:hAnsi="Cambria Math"/>
          <w:i/>
          <w:color w:val="000000"/>
          <w:sz w:val="21"/>
        </w:rPr>
        <w:t>e_t = I( Loss(C_t) &gt; Δ_dB ) - α</w:t>
      </w:r>
      <w:r>
        <w:rPr>
          <w:rFonts w:ascii="Times New Roman" w:hAnsi="Times New Roman"/>
          <w:b/>
          <w:i w:val="0"/>
          <w:sz w:val="20"/>
        </w:rPr>
        <w:t xml:space="preserve">    (7)</w:t>
      </w:r>
    </w:p>
    <w:p>
      <w:pPr>
        <w:spacing w:before="40" w:after="80" w:line="276" w:lineRule="auto"/>
      </w:pPr>
      <w:r>
        <w:rPr>
          <w:rFonts w:ascii="Times New Roman" w:hAnsi="Times New Roman"/>
          <w:color w:val="212529"/>
          <w:sz w:val="20"/>
        </w:rPr>
        <w:t>Standard Adaptive Conformal Inference (ACI) updates the threshold via q_{t+1} = max(0, q_t + η · e_t) with step size η = 0.1. To eliminate steady-state drift and dampen oscillatory overshoot during sharp maneuvers, we generalize ACI into a Conformal PID Feedback Controller:</w:t>
      </w:r>
    </w:p>
    <w:p>
      <w:pPr>
        <w:spacing w:before="80" w:after="80"/>
        <w:jc w:val="center"/>
      </w:pPr>
      <w:r>
        <w:rPr>
          <w:rFonts w:ascii="Cambria Math" w:hAnsi="Cambria Math"/>
          <w:i/>
          <w:color w:val="000000"/>
          <w:sz w:val="21"/>
        </w:rPr>
        <w:t>q_{t+1} = max( 0,  q_t  +  η_P · e_t  +  η_I · ∑_{k=1}^t e_k  +  η_D · (e_t - e_{t-1}) )</w:t>
      </w:r>
      <w:r>
        <w:rPr>
          <w:rFonts w:ascii="Times New Roman" w:hAnsi="Times New Roman"/>
          <w:b/>
          <w:i w:val="0"/>
          <w:sz w:val="20"/>
        </w:rPr>
        <w:t xml:space="preserve">    (8)</w:t>
      </w:r>
    </w:p>
    <w:p>
      <w:pPr>
        <w:spacing w:before="40" w:after="80" w:line="276" w:lineRule="auto"/>
      </w:pPr>
      <w:r>
        <w:rPr>
          <w:rFonts w:ascii="Times New Roman" w:hAnsi="Times New Roman"/>
          <w:color w:val="212529"/>
          <w:sz w:val="20"/>
        </w:rPr>
        <w:t>where η_P = 0.04 provides immediate proportional reaction, η_I = 0.0008 eliminates accumulated tracking offset, and η_D = 0.008 dampens high-frequency boundary chattering.</w:t>
      </w:r>
    </w:p>
    <w:p>
      <w:pPr>
        <w:keepNext/>
        <w:spacing w:before="280" w:after="80"/>
        <w:jc w:val="center"/>
      </w:pPr>
      <w:r>
        <w:rPr>
          <w:rFonts w:ascii="Times New Roman" w:hAnsi="Times New Roman"/>
          <w:b/>
          <w:color w:val="0F2240"/>
          <w:sz w:val="22"/>
        </w:rPr>
        <w:t>VI. EXPERIMENTAL SETUP</w:t>
      </w:r>
    </w:p>
    <w:p>
      <w:pPr>
        <w:spacing w:before="40" w:after="80" w:line="276" w:lineRule="auto"/>
      </w:pPr>
      <w:r>
        <w:rPr>
          <w:rFonts w:ascii="Times New Roman" w:hAnsi="Times New Roman"/>
          <w:color w:val="212529"/>
          <w:sz w:val="20"/>
        </w:rPr>
        <w:t>Training was executed on an NVIDIA GeForce RTX 5070 GPU (12 GB GDDR7 VRAM, Blackwell architecture) with PyTorch 2.12+cu128 and CUDA 12.8. All 24,179 video frames were pre-resized to 96×96×3 uint8 tensors and pinned in RAM, achieving a throughput of ~1,585 samples/sec (~8.2 s/epoch). Optimization used AdamW (β₁ = 0.9, β₂ = 0.999, weight decay 1×10⁻⁴) under a OneCycleLR cosine schedule (peak LR 3×10⁻⁴, 30% warmup) with early stopping configured for patience = 12 on validation Top-1 accuracy.</w:t>
      </w:r>
    </w:p>
    <w:p>
      <w:pPr>
        <w:keepNext/>
        <w:spacing w:before="280" w:after="80"/>
        <w:jc w:val="center"/>
      </w:pPr>
      <w:r>
        <w:rPr>
          <w:rFonts w:ascii="Times New Roman" w:hAnsi="Times New Roman"/>
          <w:b/>
          <w:color w:val="0F2240"/>
          <w:sz w:val="22"/>
        </w:rPr>
        <w:t>VII. RESULTS AND EMPIRICAL EVALUATION</w:t>
      </w:r>
    </w:p>
    <w:p>
      <w:pPr>
        <w:keepNext/>
        <w:spacing w:before="200" w:after="40"/>
        <w:jc w:val="left"/>
      </w:pPr>
      <w:r>
        <w:rPr>
          <w:rFonts w:ascii="Times New Roman" w:hAnsi="Times New Roman"/>
          <w:b/>
          <w:i/>
          <w:color w:val="212529"/>
          <w:sz w:val="20"/>
        </w:rPr>
        <w:t>A. Full Benchmark Across Partitions</w:t>
      </w:r>
    </w:p>
    <w:p>
      <w:pPr>
        <w:spacing w:before="40" w:after="80" w:line="276" w:lineRule="auto"/>
      </w:pPr>
      <w:r>
        <w:rPr>
          <w:rFonts w:ascii="Times New Roman" w:hAnsi="Times New Roman"/>
          <w:color w:val="212529"/>
          <w:sz w:val="20"/>
        </w:rPr>
        <w:t>Table III summarizes the side-by-side performance of P3_MultiTaskProfile across all four zero-leakage partitions:</w:t>
      </w:r>
    </w:p>
    <w:p>
      <w:pPr>
        <w:jc w:val="center"/>
      </w:pPr>
      <w:r>
        <w:rPr>
          <w:rFonts w:ascii="Times New Roman" w:hAnsi="Times New Roman"/>
          <w:b/>
          <w:sz w:val="17"/>
        </w:rPr>
        <w:t>TABLE III: PERFORMANCE BENCHMARK ACROSS ALL FOUR ZERO-LEAKAGE SPLITS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F2240"/>
            <w:tcMar>
              <w:top w:w="70" w:type="dxa"/>
              <w:bottom w:w="70" w:type="dxa"/>
              <w:left w:w="70" w:type="dxa"/>
              <w:right w:w="70" w:type="dxa"/>
            </w:tcMar>
          </w:tcPr>
          <w:p>
            <w:r>
              <w:rPr>
                <w:rFonts w:ascii="Times New Roman" w:hAnsi="Times New Roman"/>
                <w:b/>
                <w:color w:val="FFFFFF"/>
                <w:sz w:val="16"/>
              </w:rPr>
              <w:t>Metric Category</w:t>
            </w:r>
          </w:p>
        </w:tc>
        <w:tc>
          <w:tcPr>
            <w:tcW w:type="dxa" w:w="1680"/>
            <w:shd w:fill="0F2240"/>
            <w:tcMar>
              <w:top w:w="70" w:type="dxa"/>
              <w:bottom w:w="70" w:type="dxa"/>
              <w:left w:w="70" w:type="dxa"/>
              <w:right w:w="70" w:type="dxa"/>
            </w:tcMar>
          </w:tcPr>
          <w:p>
            <w:r>
              <w:rPr>
                <w:rFonts w:ascii="Times New Roman" w:hAnsi="Times New Roman"/>
                <w:b/>
                <w:color w:val="FFFFFF"/>
                <w:sz w:val="16"/>
              </w:rPr>
              <w:t>Train Split</w:t>
            </w:r>
          </w:p>
        </w:tc>
        <w:tc>
          <w:tcPr>
            <w:tcW w:type="dxa" w:w="1680"/>
            <w:shd w:fill="0F2240"/>
            <w:tcMar>
              <w:top w:w="70" w:type="dxa"/>
              <w:bottom w:w="70" w:type="dxa"/>
              <w:left w:w="70" w:type="dxa"/>
              <w:right w:w="70" w:type="dxa"/>
            </w:tcMar>
          </w:tcPr>
          <w:p>
            <w:r>
              <w:rPr>
                <w:rFonts w:ascii="Times New Roman" w:hAnsi="Times New Roman"/>
                <w:b/>
                <w:color w:val="FFFFFF"/>
                <w:sz w:val="16"/>
              </w:rPr>
              <w:t>Validation Split</w:t>
            </w:r>
          </w:p>
        </w:tc>
        <w:tc>
          <w:tcPr>
            <w:tcW w:type="dxa" w:w="1680"/>
            <w:shd w:fill="0F2240"/>
            <w:tcMar>
              <w:top w:w="70" w:type="dxa"/>
              <w:bottom w:w="70" w:type="dxa"/>
              <w:left w:w="70" w:type="dxa"/>
              <w:right w:w="70" w:type="dxa"/>
            </w:tcMar>
          </w:tcPr>
          <w:p>
            <w:r>
              <w:rPr>
                <w:rFonts w:ascii="Times New Roman" w:hAnsi="Times New Roman"/>
                <w:b/>
                <w:color w:val="FFFFFF"/>
                <w:sz w:val="16"/>
              </w:rPr>
              <w:t>Calibration Split</w:t>
            </w:r>
          </w:p>
        </w:tc>
        <w:tc>
          <w:tcPr>
            <w:tcW w:type="dxa" w:w="1680"/>
            <w:shd w:fill="0F2240"/>
            <w:tcMar>
              <w:top w:w="70" w:type="dxa"/>
              <w:bottom w:w="70" w:type="dxa"/>
              <w:left w:w="70" w:type="dxa"/>
              <w:right w:w="70" w:type="dxa"/>
            </w:tcMar>
          </w:tcPr>
          <w:p>
            <w:r>
              <w:rPr>
                <w:rFonts w:ascii="Times New Roman" w:hAnsi="Times New Roman"/>
                <w:b/>
                <w:color w:val="FFFFFF"/>
                <w:sz w:val="16"/>
              </w:rPr>
              <w:t>Test Split</w:t>
            </w:r>
          </w:p>
        </w:tc>
        <w:tc>
          <w:tcPr>
            <w:tcW w:type="dxa" w:w="1680"/>
            <w:shd w:fill="0F2240"/>
            <w:tcMar>
              <w:top w:w="70" w:type="dxa"/>
              <w:bottom w:w="70" w:type="dxa"/>
              <w:left w:w="70" w:type="dxa"/>
              <w:right w:w="70" w:type="dxa"/>
            </w:tcMar>
          </w:tcPr>
          <w:p>
            <w:r>
              <w:rPr>
                <w:rFonts w:ascii="Times New Roman" w:hAnsi="Times New Roman"/>
                <w:b/>
                <w:color w:val="FFFFFF"/>
                <w:sz w:val="16"/>
              </w:rPr>
              <w:t>Overall Benchmark</w:t>
            </w:r>
          </w:p>
        </w:tc>
      </w:tr>
      <w:tr>
        <w:tc>
          <w:tcPr>
            <w:tcW w:type="dxa" w:w="1680"/>
            <w:shd w:fill="F8F9FA"/>
            <w:tcMar>
              <w:top w:w="50" w:type="dxa"/>
              <w:bottom w:w="50" w:type="dxa"/>
              <w:left w:w="60" w:type="dxa"/>
              <w:right w:w="60" w:type="dxa"/>
            </w:tcMar>
          </w:tcPr>
          <w:p>
            <w:r>
              <w:rPr>
                <w:rFonts w:ascii="Times New Roman" w:hAnsi="Times New Roman"/>
                <w:b/>
                <w:color w:val="212529"/>
                <w:sz w:val="16"/>
              </w:rPr>
              <w:t>Independent Drives</w:t>
            </w:r>
          </w:p>
        </w:tc>
        <w:tc>
          <w:tcPr>
            <w:tcW w:type="dxa" w:w="1680"/>
            <w:shd w:fill="F8F9FA"/>
            <w:tcMar>
              <w:top w:w="50" w:type="dxa"/>
              <w:bottom w:w="50" w:type="dxa"/>
              <w:left w:w="60" w:type="dxa"/>
              <w:right w:w="60" w:type="dxa"/>
            </w:tcMar>
          </w:tcPr>
          <w:p>
            <w:r>
              <w:rPr>
                <w:rFonts w:ascii="Times New Roman" w:hAnsi="Times New Roman"/>
                <w:color w:val="212529"/>
                <w:sz w:val="16"/>
              </w:rPr>
              <w:t>68 drives</w:t>
            </w:r>
          </w:p>
        </w:tc>
        <w:tc>
          <w:tcPr>
            <w:tcW w:type="dxa" w:w="1680"/>
            <w:shd w:fill="F8F9FA"/>
            <w:tcMar>
              <w:top w:w="50" w:type="dxa"/>
              <w:bottom w:w="50" w:type="dxa"/>
              <w:left w:w="60" w:type="dxa"/>
              <w:right w:w="60" w:type="dxa"/>
            </w:tcMar>
          </w:tcPr>
          <w:p>
            <w:r>
              <w:rPr>
                <w:rFonts w:ascii="Times New Roman" w:hAnsi="Times New Roman"/>
                <w:color w:val="212529"/>
                <w:sz w:val="16"/>
              </w:rPr>
              <w:t>19 drives</w:t>
            </w:r>
          </w:p>
        </w:tc>
        <w:tc>
          <w:tcPr>
            <w:tcW w:type="dxa" w:w="1680"/>
            <w:shd w:fill="F8F9FA"/>
            <w:tcMar>
              <w:top w:w="50" w:type="dxa"/>
              <w:bottom w:w="50" w:type="dxa"/>
              <w:left w:w="60" w:type="dxa"/>
              <w:right w:w="60" w:type="dxa"/>
            </w:tcMar>
          </w:tcPr>
          <w:p>
            <w:r>
              <w:rPr>
                <w:rFonts w:ascii="Times New Roman" w:hAnsi="Times New Roman"/>
                <w:color w:val="212529"/>
                <w:sz w:val="16"/>
              </w:rPr>
              <w:t>19 drives</w:t>
            </w:r>
          </w:p>
        </w:tc>
        <w:tc>
          <w:tcPr>
            <w:tcW w:type="dxa" w:w="1680"/>
            <w:shd w:fill="F8F9FA"/>
            <w:tcMar>
              <w:top w:w="50" w:type="dxa"/>
              <w:bottom w:w="50" w:type="dxa"/>
              <w:left w:w="60" w:type="dxa"/>
              <w:right w:w="60" w:type="dxa"/>
            </w:tcMar>
          </w:tcPr>
          <w:p>
            <w:r>
              <w:rPr>
                <w:rFonts w:ascii="Times New Roman" w:hAnsi="Times New Roman"/>
                <w:b/>
                <w:color w:val="0F2240"/>
                <w:sz w:val="16"/>
              </w:rPr>
              <w:t>18 drives</w:t>
            </w:r>
          </w:p>
        </w:tc>
        <w:tc>
          <w:tcPr>
            <w:tcW w:type="dxa" w:w="1680"/>
            <w:shd w:fill="F8F9FA"/>
            <w:tcMar>
              <w:top w:w="50" w:type="dxa"/>
              <w:bottom w:w="50" w:type="dxa"/>
              <w:left w:w="60" w:type="dxa"/>
              <w:right w:w="60" w:type="dxa"/>
            </w:tcMar>
          </w:tcPr>
          <w:p>
            <w:r>
              <w:rPr>
                <w:rFonts w:ascii="Times New Roman" w:hAnsi="Times New Roman"/>
                <w:color w:val="212529"/>
                <w:sz w:val="16"/>
              </w:rPr>
              <w:t>124 drives</w:t>
            </w:r>
          </w:p>
        </w:tc>
      </w:tr>
      <w:tr>
        <w:tc>
          <w:tcPr>
            <w:tcW w:type="dxa" w:w="1680"/>
            <w:shd w:fill="FFFFFF"/>
            <w:tcMar>
              <w:top w:w="50" w:type="dxa"/>
              <w:bottom w:w="50" w:type="dxa"/>
              <w:left w:w="60" w:type="dxa"/>
              <w:right w:w="60" w:type="dxa"/>
            </w:tcMar>
          </w:tcPr>
          <w:p>
            <w:r>
              <w:rPr>
                <w:rFonts w:ascii="Times New Roman" w:hAnsi="Times New Roman"/>
                <w:b/>
                <w:color w:val="212529"/>
                <w:sz w:val="16"/>
              </w:rPr>
              <w:t>Sequence Count</w:t>
            </w:r>
          </w:p>
        </w:tc>
        <w:tc>
          <w:tcPr>
            <w:tcW w:type="dxa" w:w="1680"/>
            <w:shd w:fill="FFFFFF"/>
            <w:tcMar>
              <w:top w:w="50" w:type="dxa"/>
              <w:bottom w:w="50" w:type="dxa"/>
              <w:left w:w="60" w:type="dxa"/>
              <w:right w:w="60" w:type="dxa"/>
            </w:tcMar>
          </w:tcPr>
          <w:p>
            <w:r>
              <w:rPr>
                <w:rFonts w:ascii="Times New Roman" w:hAnsi="Times New Roman"/>
                <w:color w:val="212529"/>
                <w:sz w:val="16"/>
              </w:rPr>
              <w:t>13,260</w:t>
            </w:r>
          </w:p>
        </w:tc>
        <w:tc>
          <w:tcPr>
            <w:tcW w:type="dxa" w:w="1680"/>
            <w:shd w:fill="FFFFFF"/>
            <w:tcMar>
              <w:top w:w="50" w:type="dxa"/>
              <w:bottom w:w="50" w:type="dxa"/>
              <w:left w:w="60" w:type="dxa"/>
              <w:right w:w="60" w:type="dxa"/>
            </w:tcMar>
          </w:tcPr>
          <w:p>
            <w:r>
              <w:rPr>
                <w:rFonts w:ascii="Times New Roman" w:hAnsi="Times New Roman"/>
                <w:color w:val="212529"/>
                <w:sz w:val="16"/>
              </w:rPr>
              <w:t>3,705</w:t>
            </w:r>
          </w:p>
        </w:tc>
        <w:tc>
          <w:tcPr>
            <w:tcW w:type="dxa" w:w="1680"/>
            <w:shd w:fill="FFFFFF"/>
            <w:tcMar>
              <w:top w:w="50" w:type="dxa"/>
              <w:bottom w:w="50" w:type="dxa"/>
              <w:left w:w="60" w:type="dxa"/>
              <w:right w:w="60" w:type="dxa"/>
            </w:tcMar>
          </w:tcPr>
          <w:p>
            <w:r>
              <w:rPr>
                <w:rFonts w:ascii="Times New Roman" w:hAnsi="Times New Roman"/>
                <w:color w:val="212529"/>
                <w:sz w:val="16"/>
              </w:rPr>
              <w:t>3,705</w:t>
            </w:r>
          </w:p>
        </w:tc>
        <w:tc>
          <w:tcPr>
            <w:tcW w:type="dxa" w:w="1680"/>
            <w:shd w:fill="FFFFFF"/>
            <w:tcMar>
              <w:top w:w="50" w:type="dxa"/>
              <w:bottom w:w="50" w:type="dxa"/>
              <w:left w:w="60" w:type="dxa"/>
              <w:right w:w="60" w:type="dxa"/>
            </w:tcMar>
          </w:tcPr>
          <w:p>
            <w:r>
              <w:rPr>
                <w:rFonts w:ascii="Times New Roman" w:hAnsi="Times New Roman"/>
                <w:b/>
                <w:color w:val="0F2240"/>
                <w:sz w:val="16"/>
              </w:rPr>
              <w:t>3,509</w:t>
            </w:r>
          </w:p>
        </w:tc>
        <w:tc>
          <w:tcPr>
            <w:tcW w:type="dxa" w:w="1680"/>
            <w:shd w:fill="FFFFFF"/>
            <w:tcMar>
              <w:top w:w="50" w:type="dxa"/>
              <w:bottom w:w="50" w:type="dxa"/>
              <w:left w:w="60" w:type="dxa"/>
              <w:right w:w="60" w:type="dxa"/>
            </w:tcMar>
          </w:tcPr>
          <w:p>
            <w:r>
              <w:rPr>
                <w:rFonts w:ascii="Times New Roman" w:hAnsi="Times New Roman"/>
                <w:color w:val="212529"/>
                <w:sz w:val="16"/>
              </w:rPr>
              <w:t>24,179</w:t>
            </w:r>
          </w:p>
        </w:tc>
      </w:tr>
      <w:tr>
        <w:tc>
          <w:tcPr>
            <w:tcW w:type="dxa" w:w="1680"/>
            <w:shd w:fill="F8F9FA"/>
            <w:tcMar>
              <w:top w:w="50" w:type="dxa"/>
              <w:bottom w:w="50" w:type="dxa"/>
              <w:left w:w="60" w:type="dxa"/>
              <w:right w:w="60" w:type="dxa"/>
            </w:tcMar>
          </w:tcPr>
          <w:p>
            <w:r>
              <w:rPr>
                <w:rFonts w:ascii="Times New Roman" w:hAnsi="Times New Roman"/>
                <w:b/>
                <w:color w:val="212529"/>
                <w:sz w:val="16"/>
              </w:rPr>
              <w:t>Top-1 Accuracy (%)</w:t>
            </w:r>
          </w:p>
        </w:tc>
        <w:tc>
          <w:tcPr>
            <w:tcW w:type="dxa" w:w="1680"/>
            <w:shd w:fill="F8F9FA"/>
            <w:tcMar>
              <w:top w:w="50" w:type="dxa"/>
              <w:bottom w:w="50" w:type="dxa"/>
              <w:left w:w="60" w:type="dxa"/>
              <w:right w:w="60" w:type="dxa"/>
            </w:tcMar>
          </w:tcPr>
          <w:p>
            <w:r>
              <w:rPr>
                <w:rFonts w:ascii="Times New Roman" w:hAnsi="Times New Roman"/>
                <w:color w:val="212529"/>
                <w:sz w:val="16"/>
              </w:rPr>
              <w:t>72.75%</w:t>
            </w:r>
          </w:p>
        </w:tc>
        <w:tc>
          <w:tcPr>
            <w:tcW w:type="dxa" w:w="1680"/>
            <w:shd w:fill="F8F9FA"/>
            <w:tcMar>
              <w:top w:w="50" w:type="dxa"/>
              <w:bottom w:w="50" w:type="dxa"/>
              <w:left w:w="60" w:type="dxa"/>
              <w:right w:w="60" w:type="dxa"/>
            </w:tcMar>
          </w:tcPr>
          <w:p>
            <w:r>
              <w:rPr>
                <w:rFonts w:ascii="Times New Roman" w:hAnsi="Times New Roman"/>
                <w:color w:val="212529"/>
                <w:sz w:val="16"/>
              </w:rPr>
              <w:t>15.65%</w:t>
            </w:r>
          </w:p>
        </w:tc>
        <w:tc>
          <w:tcPr>
            <w:tcW w:type="dxa" w:w="1680"/>
            <w:shd w:fill="F8F9FA"/>
            <w:tcMar>
              <w:top w:w="50" w:type="dxa"/>
              <w:bottom w:w="50" w:type="dxa"/>
              <w:left w:w="60" w:type="dxa"/>
              <w:right w:w="60" w:type="dxa"/>
            </w:tcMar>
          </w:tcPr>
          <w:p>
            <w:r>
              <w:rPr>
                <w:rFonts w:ascii="Times New Roman" w:hAnsi="Times New Roman"/>
                <w:color w:val="212529"/>
                <w:sz w:val="16"/>
              </w:rPr>
              <w:t>12.42%</w:t>
            </w:r>
          </w:p>
        </w:tc>
        <w:tc>
          <w:tcPr>
            <w:tcW w:type="dxa" w:w="1680"/>
            <w:shd w:fill="F8F9FA"/>
            <w:tcMar>
              <w:top w:w="50" w:type="dxa"/>
              <w:bottom w:w="50" w:type="dxa"/>
              <w:left w:w="60" w:type="dxa"/>
              <w:right w:w="60" w:type="dxa"/>
            </w:tcMar>
          </w:tcPr>
          <w:p>
            <w:r>
              <w:rPr>
                <w:rFonts w:ascii="Times New Roman" w:hAnsi="Times New Roman"/>
                <w:b/>
                <w:color w:val="0F2240"/>
                <w:sz w:val="16"/>
              </w:rPr>
              <w:t>1.65%</w:t>
            </w:r>
          </w:p>
        </w:tc>
        <w:tc>
          <w:tcPr>
            <w:tcW w:type="dxa" w:w="1680"/>
            <w:shd w:fill="F8F9FA"/>
            <w:tcMar>
              <w:top w:w="50" w:type="dxa"/>
              <w:bottom w:w="50" w:type="dxa"/>
              <w:left w:w="60" w:type="dxa"/>
              <w:right w:w="60" w:type="dxa"/>
            </w:tcMar>
          </w:tcPr>
          <w:p>
            <w:r>
              <w:rPr>
                <w:rFonts w:ascii="Times New Roman" w:hAnsi="Times New Roman"/>
                <w:color w:val="212529"/>
                <w:sz w:val="16"/>
              </w:rPr>
              <w:t>44.47%</w:t>
            </w:r>
          </w:p>
        </w:tc>
      </w:tr>
      <w:tr>
        <w:tc>
          <w:tcPr>
            <w:tcW w:type="dxa" w:w="1680"/>
            <w:shd w:fill="FFFFFF"/>
            <w:tcMar>
              <w:top w:w="50" w:type="dxa"/>
              <w:bottom w:w="50" w:type="dxa"/>
              <w:left w:w="60" w:type="dxa"/>
              <w:right w:w="60" w:type="dxa"/>
            </w:tcMar>
          </w:tcPr>
          <w:p>
            <w:r>
              <w:rPr>
                <w:rFonts w:ascii="Times New Roman" w:hAnsi="Times New Roman"/>
                <w:b/>
                <w:color w:val="212529"/>
                <w:sz w:val="16"/>
              </w:rPr>
              <w:t>Top-3 Accuracy (%)</w:t>
            </w:r>
          </w:p>
        </w:tc>
        <w:tc>
          <w:tcPr>
            <w:tcW w:type="dxa" w:w="1680"/>
            <w:shd w:fill="FFFFFF"/>
            <w:tcMar>
              <w:top w:w="50" w:type="dxa"/>
              <w:bottom w:w="50" w:type="dxa"/>
              <w:left w:w="60" w:type="dxa"/>
              <w:right w:w="60" w:type="dxa"/>
            </w:tcMar>
          </w:tcPr>
          <w:p>
            <w:r>
              <w:rPr>
                <w:rFonts w:ascii="Times New Roman" w:hAnsi="Times New Roman"/>
                <w:color w:val="212529"/>
                <w:sz w:val="16"/>
              </w:rPr>
              <w:t>88.14%</w:t>
            </w:r>
          </w:p>
        </w:tc>
        <w:tc>
          <w:tcPr>
            <w:tcW w:type="dxa" w:w="1680"/>
            <w:shd w:fill="FFFFFF"/>
            <w:tcMar>
              <w:top w:w="50" w:type="dxa"/>
              <w:bottom w:w="50" w:type="dxa"/>
              <w:left w:w="60" w:type="dxa"/>
              <w:right w:w="60" w:type="dxa"/>
            </w:tcMar>
          </w:tcPr>
          <w:p>
            <w:r>
              <w:rPr>
                <w:rFonts w:ascii="Times New Roman" w:hAnsi="Times New Roman"/>
                <w:color w:val="212529"/>
                <w:sz w:val="16"/>
              </w:rPr>
              <w:t>34.71%</w:t>
            </w:r>
          </w:p>
        </w:tc>
        <w:tc>
          <w:tcPr>
            <w:tcW w:type="dxa" w:w="1680"/>
            <w:shd w:fill="FFFFFF"/>
            <w:tcMar>
              <w:top w:w="50" w:type="dxa"/>
              <w:bottom w:w="50" w:type="dxa"/>
              <w:left w:w="60" w:type="dxa"/>
              <w:right w:w="60" w:type="dxa"/>
            </w:tcMar>
          </w:tcPr>
          <w:p>
            <w:r>
              <w:rPr>
                <w:rFonts w:ascii="Times New Roman" w:hAnsi="Times New Roman"/>
                <w:color w:val="212529"/>
                <w:sz w:val="16"/>
              </w:rPr>
              <w:t>31.07%</w:t>
            </w:r>
          </w:p>
        </w:tc>
        <w:tc>
          <w:tcPr>
            <w:tcW w:type="dxa" w:w="1680"/>
            <w:shd w:fill="FFFFFF"/>
            <w:tcMar>
              <w:top w:w="50" w:type="dxa"/>
              <w:bottom w:w="50" w:type="dxa"/>
              <w:left w:w="60" w:type="dxa"/>
              <w:right w:w="60" w:type="dxa"/>
            </w:tcMar>
          </w:tcPr>
          <w:p>
            <w:r>
              <w:rPr>
                <w:rFonts w:ascii="Times New Roman" w:hAnsi="Times New Roman"/>
                <w:b/>
                <w:color w:val="0F2240"/>
                <w:sz w:val="16"/>
              </w:rPr>
              <w:t>5.36%</w:t>
            </w:r>
          </w:p>
        </w:tc>
        <w:tc>
          <w:tcPr>
            <w:tcW w:type="dxa" w:w="1680"/>
            <w:shd w:fill="FFFFFF"/>
            <w:tcMar>
              <w:top w:w="50" w:type="dxa"/>
              <w:bottom w:w="50" w:type="dxa"/>
              <w:left w:w="60" w:type="dxa"/>
              <w:right w:w="60" w:type="dxa"/>
            </w:tcMar>
          </w:tcPr>
          <w:p>
            <w:r>
              <w:rPr>
                <w:rFonts w:ascii="Times New Roman" w:hAnsi="Times New Roman"/>
                <w:color w:val="212529"/>
                <w:sz w:val="16"/>
              </w:rPr>
              <w:t>59.20%</w:t>
            </w:r>
          </w:p>
        </w:tc>
      </w:tr>
      <w:tr>
        <w:tc>
          <w:tcPr>
            <w:tcW w:type="dxa" w:w="1680"/>
            <w:shd w:fill="F8F9FA"/>
            <w:tcMar>
              <w:top w:w="50" w:type="dxa"/>
              <w:bottom w:w="50" w:type="dxa"/>
              <w:left w:w="60" w:type="dxa"/>
              <w:right w:w="60" w:type="dxa"/>
            </w:tcMar>
          </w:tcPr>
          <w:p>
            <w:r>
              <w:rPr>
                <w:rFonts w:ascii="Times New Roman" w:hAnsi="Times New Roman"/>
                <w:b/>
                <w:color w:val="212529"/>
                <w:sz w:val="16"/>
              </w:rPr>
              <w:t>Top-5 Accuracy (%)</w:t>
            </w:r>
          </w:p>
        </w:tc>
        <w:tc>
          <w:tcPr>
            <w:tcW w:type="dxa" w:w="1680"/>
            <w:shd w:fill="F8F9FA"/>
            <w:tcMar>
              <w:top w:w="50" w:type="dxa"/>
              <w:bottom w:w="50" w:type="dxa"/>
              <w:left w:w="60" w:type="dxa"/>
              <w:right w:w="60" w:type="dxa"/>
            </w:tcMar>
          </w:tcPr>
          <w:p>
            <w:r>
              <w:rPr>
                <w:rFonts w:ascii="Times New Roman" w:hAnsi="Times New Roman"/>
                <w:color w:val="212529"/>
                <w:sz w:val="16"/>
              </w:rPr>
              <w:t>93.20%</w:t>
            </w:r>
          </w:p>
        </w:tc>
        <w:tc>
          <w:tcPr>
            <w:tcW w:type="dxa" w:w="1680"/>
            <w:shd w:fill="F8F9FA"/>
            <w:tcMar>
              <w:top w:w="50" w:type="dxa"/>
              <w:bottom w:w="50" w:type="dxa"/>
              <w:left w:w="60" w:type="dxa"/>
              <w:right w:w="60" w:type="dxa"/>
            </w:tcMar>
          </w:tcPr>
          <w:p>
            <w:r>
              <w:rPr>
                <w:rFonts w:ascii="Times New Roman" w:hAnsi="Times New Roman"/>
                <w:color w:val="212529"/>
                <w:sz w:val="16"/>
              </w:rPr>
              <w:t>45.78%</w:t>
            </w:r>
          </w:p>
        </w:tc>
        <w:tc>
          <w:tcPr>
            <w:tcW w:type="dxa" w:w="1680"/>
            <w:shd w:fill="F8F9FA"/>
            <w:tcMar>
              <w:top w:w="50" w:type="dxa"/>
              <w:bottom w:w="50" w:type="dxa"/>
              <w:left w:w="60" w:type="dxa"/>
              <w:right w:w="60" w:type="dxa"/>
            </w:tcMar>
          </w:tcPr>
          <w:p>
            <w:r>
              <w:rPr>
                <w:rFonts w:ascii="Times New Roman" w:hAnsi="Times New Roman"/>
                <w:color w:val="212529"/>
                <w:sz w:val="16"/>
              </w:rPr>
              <w:t>41.89%</w:t>
            </w:r>
          </w:p>
        </w:tc>
        <w:tc>
          <w:tcPr>
            <w:tcW w:type="dxa" w:w="1680"/>
            <w:shd w:fill="F8F9FA"/>
            <w:tcMar>
              <w:top w:w="50" w:type="dxa"/>
              <w:bottom w:w="50" w:type="dxa"/>
              <w:left w:w="60" w:type="dxa"/>
              <w:right w:w="60" w:type="dxa"/>
            </w:tcMar>
          </w:tcPr>
          <w:p>
            <w:r>
              <w:rPr>
                <w:rFonts w:ascii="Times New Roman" w:hAnsi="Times New Roman"/>
                <w:b/>
                <w:color w:val="0F2240"/>
                <w:sz w:val="16"/>
              </w:rPr>
              <w:t>11.43%</w:t>
            </w:r>
          </w:p>
        </w:tc>
        <w:tc>
          <w:tcPr>
            <w:tcW w:type="dxa" w:w="1680"/>
            <w:shd w:fill="F8F9FA"/>
            <w:tcMar>
              <w:top w:w="50" w:type="dxa"/>
              <w:bottom w:w="50" w:type="dxa"/>
              <w:left w:w="60" w:type="dxa"/>
              <w:right w:w="60" w:type="dxa"/>
            </w:tcMar>
          </w:tcPr>
          <w:p>
            <w:r>
              <w:rPr>
                <w:rFonts w:ascii="Times New Roman" w:hAnsi="Times New Roman"/>
                <w:color w:val="212529"/>
                <w:sz w:val="16"/>
              </w:rPr>
              <w:t>66.19%</w:t>
            </w:r>
          </w:p>
        </w:tc>
      </w:tr>
      <w:tr>
        <w:tc>
          <w:tcPr>
            <w:tcW w:type="dxa" w:w="1680"/>
            <w:shd w:fill="FFFFFF"/>
            <w:tcMar>
              <w:top w:w="50" w:type="dxa"/>
              <w:bottom w:w="50" w:type="dxa"/>
              <w:left w:w="60" w:type="dxa"/>
              <w:right w:w="60" w:type="dxa"/>
            </w:tcMar>
          </w:tcPr>
          <w:p>
            <w:r>
              <w:rPr>
                <w:rFonts w:ascii="Times New Roman" w:hAnsi="Times New Roman"/>
                <w:b/>
                <w:color w:val="212529"/>
                <w:sz w:val="16"/>
              </w:rPr>
              <w:t>Top-13 Accuracy (%)</w:t>
            </w:r>
          </w:p>
        </w:tc>
        <w:tc>
          <w:tcPr>
            <w:tcW w:type="dxa" w:w="1680"/>
            <w:shd w:fill="FFFFFF"/>
            <w:tcMar>
              <w:top w:w="50" w:type="dxa"/>
              <w:bottom w:w="50" w:type="dxa"/>
              <w:left w:w="60" w:type="dxa"/>
              <w:right w:w="60" w:type="dxa"/>
            </w:tcMar>
          </w:tcPr>
          <w:p>
            <w:r>
              <w:rPr>
                <w:rFonts w:ascii="Times New Roman" w:hAnsi="Times New Roman"/>
                <w:color w:val="212529"/>
                <w:sz w:val="16"/>
              </w:rPr>
              <w:t>97.85%</w:t>
            </w:r>
          </w:p>
        </w:tc>
        <w:tc>
          <w:tcPr>
            <w:tcW w:type="dxa" w:w="1680"/>
            <w:shd w:fill="FFFFFF"/>
            <w:tcMar>
              <w:top w:w="50" w:type="dxa"/>
              <w:bottom w:w="50" w:type="dxa"/>
              <w:left w:w="60" w:type="dxa"/>
              <w:right w:w="60" w:type="dxa"/>
            </w:tcMar>
          </w:tcPr>
          <w:p>
            <w:r>
              <w:rPr>
                <w:rFonts w:ascii="Times New Roman" w:hAnsi="Times New Roman"/>
                <w:color w:val="212529"/>
                <w:sz w:val="16"/>
              </w:rPr>
              <w:t>60.13%</w:t>
            </w:r>
          </w:p>
        </w:tc>
        <w:tc>
          <w:tcPr>
            <w:tcW w:type="dxa" w:w="1680"/>
            <w:shd w:fill="FFFFFF"/>
            <w:tcMar>
              <w:top w:w="50" w:type="dxa"/>
              <w:bottom w:w="50" w:type="dxa"/>
              <w:left w:w="60" w:type="dxa"/>
              <w:right w:w="60" w:type="dxa"/>
            </w:tcMar>
          </w:tcPr>
          <w:p>
            <w:r>
              <w:rPr>
                <w:rFonts w:ascii="Times New Roman" w:hAnsi="Times New Roman"/>
                <w:color w:val="212529"/>
                <w:sz w:val="16"/>
              </w:rPr>
              <w:t>58.22%</w:t>
            </w:r>
          </w:p>
        </w:tc>
        <w:tc>
          <w:tcPr>
            <w:tcW w:type="dxa" w:w="1680"/>
            <w:shd w:fill="FFFFFF"/>
            <w:tcMar>
              <w:top w:w="50" w:type="dxa"/>
              <w:bottom w:w="50" w:type="dxa"/>
              <w:left w:w="60" w:type="dxa"/>
              <w:right w:w="60" w:type="dxa"/>
            </w:tcMar>
          </w:tcPr>
          <w:p>
            <w:r>
              <w:rPr>
                <w:rFonts w:ascii="Times New Roman" w:hAnsi="Times New Roman"/>
                <w:b/>
                <w:color w:val="0F2240"/>
                <w:sz w:val="16"/>
              </w:rPr>
              <w:t>40.55%</w:t>
            </w:r>
          </w:p>
        </w:tc>
        <w:tc>
          <w:tcPr>
            <w:tcW w:type="dxa" w:w="1680"/>
            <w:shd w:fill="FFFFFF"/>
            <w:tcMar>
              <w:top w:w="50" w:type="dxa"/>
              <w:bottom w:w="50" w:type="dxa"/>
              <w:left w:w="60" w:type="dxa"/>
              <w:right w:w="60" w:type="dxa"/>
            </w:tcMar>
          </w:tcPr>
          <w:p>
            <w:r>
              <w:rPr>
                <w:rFonts w:ascii="Times New Roman" w:hAnsi="Times New Roman"/>
                <w:color w:val="212529"/>
                <w:sz w:val="16"/>
              </w:rPr>
              <w:t>77.71%</w:t>
            </w:r>
          </w:p>
        </w:tc>
      </w:tr>
      <w:tr>
        <w:tc>
          <w:tcPr>
            <w:tcW w:type="dxa" w:w="1680"/>
            <w:shd w:fill="F8F9FA"/>
            <w:tcMar>
              <w:top w:w="50" w:type="dxa"/>
              <w:bottom w:w="50" w:type="dxa"/>
              <w:left w:w="60" w:type="dxa"/>
              <w:right w:w="60" w:type="dxa"/>
            </w:tcMar>
          </w:tcPr>
          <w:p>
            <w:r>
              <w:rPr>
                <w:rFonts w:ascii="Times New Roman" w:hAnsi="Times New Roman"/>
                <w:b/>
                <w:color w:val="212529"/>
                <w:sz w:val="16"/>
              </w:rPr>
              <w:t>Mean Power Loss (APL)</w:t>
            </w:r>
          </w:p>
        </w:tc>
        <w:tc>
          <w:tcPr>
            <w:tcW w:type="dxa" w:w="1680"/>
            <w:shd w:fill="F8F9FA"/>
            <w:tcMar>
              <w:top w:w="50" w:type="dxa"/>
              <w:bottom w:w="50" w:type="dxa"/>
              <w:left w:w="60" w:type="dxa"/>
              <w:right w:w="60" w:type="dxa"/>
            </w:tcMar>
          </w:tcPr>
          <w:p>
            <w:r>
              <w:rPr>
                <w:rFonts w:ascii="Times New Roman" w:hAnsi="Times New Roman"/>
                <w:color w:val="212529"/>
                <w:sz w:val="16"/>
              </w:rPr>
              <w:t>1.84 dB</w:t>
            </w:r>
          </w:p>
        </w:tc>
        <w:tc>
          <w:tcPr>
            <w:tcW w:type="dxa" w:w="1680"/>
            <w:shd w:fill="F8F9FA"/>
            <w:tcMar>
              <w:top w:w="50" w:type="dxa"/>
              <w:bottom w:w="50" w:type="dxa"/>
              <w:left w:w="60" w:type="dxa"/>
              <w:right w:w="60" w:type="dxa"/>
            </w:tcMar>
          </w:tcPr>
          <w:p>
            <w:r>
              <w:rPr>
                <w:rFonts w:ascii="Times New Roman" w:hAnsi="Times New Roman"/>
                <w:color w:val="212529"/>
                <w:sz w:val="16"/>
              </w:rPr>
              <w:t>10.67 dB</w:t>
            </w:r>
          </w:p>
        </w:tc>
        <w:tc>
          <w:tcPr>
            <w:tcW w:type="dxa" w:w="1680"/>
            <w:shd w:fill="F8F9FA"/>
            <w:tcMar>
              <w:top w:w="50" w:type="dxa"/>
              <w:bottom w:w="50" w:type="dxa"/>
              <w:left w:w="60" w:type="dxa"/>
              <w:right w:w="60" w:type="dxa"/>
            </w:tcMar>
          </w:tcPr>
          <w:p>
            <w:r>
              <w:rPr>
                <w:rFonts w:ascii="Times New Roman" w:hAnsi="Times New Roman"/>
                <w:color w:val="212529"/>
                <w:sz w:val="16"/>
              </w:rPr>
              <w:t>11.08 dB</w:t>
            </w:r>
          </w:p>
        </w:tc>
        <w:tc>
          <w:tcPr>
            <w:tcW w:type="dxa" w:w="1680"/>
            <w:shd w:fill="F8F9FA"/>
            <w:tcMar>
              <w:top w:w="50" w:type="dxa"/>
              <w:bottom w:w="50" w:type="dxa"/>
              <w:left w:w="60" w:type="dxa"/>
              <w:right w:w="60" w:type="dxa"/>
            </w:tcMar>
          </w:tcPr>
          <w:p>
            <w:r>
              <w:rPr>
                <w:rFonts w:ascii="Times New Roman" w:hAnsi="Times New Roman"/>
                <w:b/>
                <w:color w:val="0F2240"/>
                <w:sz w:val="16"/>
              </w:rPr>
              <w:t>16.83 dB</w:t>
            </w:r>
          </w:p>
        </w:tc>
        <w:tc>
          <w:tcPr>
            <w:tcW w:type="dxa" w:w="1680"/>
            <w:shd w:fill="F8F9FA"/>
            <w:tcMar>
              <w:top w:w="50" w:type="dxa"/>
              <w:bottom w:w="50" w:type="dxa"/>
              <w:left w:w="60" w:type="dxa"/>
              <w:right w:w="60" w:type="dxa"/>
            </w:tcMar>
          </w:tcPr>
          <w:p>
            <w:r>
              <w:rPr>
                <w:rFonts w:ascii="Times New Roman" w:hAnsi="Times New Roman"/>
                <w:color w:val="212529"/>
                <w:sz w:val="16"/>
              </w:rPr>
              <w:t>6.77 dB</w:t>
            </w:r>
          </w:p>
        </w:tc>
      </w:tr>
      <w:tr>
        <w:tc>
          <w:tcPr>
            <w:tcW w:type="dxa" w:w="1680"/>
            <w:shd w:fill="FFFFFF"/>
            <w:tcMar>
              <w:top w:w="50" w:type="dxa"/>
              <w:bottom w:w="50" w:type="dxa"/>
              <w:left w:w="60" w:type="dxa"/>
              <w:right w:w="60" w:type="dxa"/>
            </w:tcMar>
          </w:tcPr>
          <w:p>
            <w:r>
              <w:rPr>
                <w:rFonts w:ascii="Times New Roman" w:hAnsi="Times New Roman"/>
                <w:b/>
                <w:color w:val="212529"/>
                <w:sz w:val="16"/>
              </w:rPr>
              <w:t>Median Power Loss</w:t>
            </w:r>
          </w:p>
        </w:tc>
        <w:tc>
          <w:tcPr>
            <w:tcW w:type="dxa" w:w="1680"/>
            <w:shd w:fill="FFFFFF"/>
            <w:tcMar>
              <w:top w:w="50" w:type="dxa"/>
              <w:bottom w:w="50" w:type="dxa"/>
              <w:left w:w="60" w:type="dxa"/>
              <w:right w:w="60" w:type="dxa"/>
            </w:tcMar>
          </w:tcPr>
          <w:p>
            <w:r>
              <w:rPr>
                <w:rFonts w:ascii="Times New Roman" w:hAnsi="Times New Roman"/>
                <w:color w:val="212529"/>
                <w:sz w:val="16"/>
              </w:rPr>
              <w:t>0.00 dB</w:t>
            </w:r>
          </w:p>
        </w:tc>
        <w:tc>
          <w:tcPr>
            <w:tcW w:type="dxa" w:w="1680"/>
            <w:shd w:fill="FFFFFF"/>
            <w:tcMar>
              <w:top w:w="50" w:type="dxa"/>
              <w:bottom w:w="50" w:type="dxa"/>
              <w:left w:w="60" w:type="dxa"/>
              <w:right w:w="60" w:type="dxa"/>
            </w:tcMar>
          </w:tcPr>
          <w:p>
            <w:r>
              <w:rPr>
                <w:rFonts w:ascii="Times New Roman" w:hAnsi="Times New Roman"/>
                <w:color w:val="212529"/>
                <w:sz w:val="16"/>
              </w:rPr>
              <w:t>8.42 dB</w:t>
            </w:r>
          </w:p>
        </w:tc>
        <w:tc>
          <w:tcPr>
            <w:tcW w:type="dxa" w:w="1680"/>
            <w:shd w:fill="FFFFFF"/>
            <w:tcMar>
              <w:top w:w="50" w:type="dxa"/>
              <w:bottom w:w="50" w:type="dxa"/>
              <w:left w:w="60" w:type="dxa"/>
              <w:right w:w="60" w:type="dxa"/>
            </w:tcMar>
          </w:tcPr>
          <w:p>
            <w:r>
              <w:rPr>
                <w:rFonts w:ascii="Times New Roman" w:hAnsi="Times New Roman"/>
                <w:color w:val="212529"/>
                <w:sz w:val="16"/>
              </w:rPr>
              <w:t>9.11 dB</w:t>
            </w:r>
          </w:p>
        </w:tc>
        <w:tc>
          <w:tcPr>
            <w:tcW w:type="dxa" w:w="1680"/>
            <w:shd w:fill="FFFFFF"/>
            <w:tcMar>
              <w:top w:w="50" w:type="dxa"/>
              <w:bottom w:w="50" w:type="dxa"/>
              <w:left w:w="60" w:type="dxa"/>
              <w:right w:w="60" w:type="dxa"/>
            </w:tcMar>
          </w:tcPr>
          <w:p>
            <w:r>
              <w:rPr>
                <w:rFonts w:ascii="Times New Roman" w:hAnsi="Times New Roman"/>
                <w:b/>
                <w:color w:val="0F2240"/>
                <w:sz w:val="16"/>
              </w:rPr>
              <w:t>17.20 dB</w:t>
            </w:r>
          </w:p>
        </w:tc>
        <w:tc>
          <w:tcPr>
            <w:tcW w:type="dxa" w:w="1680"/>
            <w:shd w:fill="FFFFFF"/>
            <w:tcMar>
              <w:top w:w="50" w:type="dxa"/>
              <w:bottom w:w="50" w:type="dxa"/>
              <w:left w:w="60" w:type="dxa"/>
              <w:right w:w="60" w:type="dxa"/>
            </w:tcMar>
          </w:tcPr>
          <w:p>
            <w:r>
              <w:rPr>
                <w:rFonts w:ascii="Times New Roman" w:hAnsi="Times New Roman"/>
                <w:color w:val="212529"/>
                <w:sz w:val="16"/>
              </w:rPr>
              <w:t>2.15 dB</w:t>
            </w:r>
          </w:p>
        </w:tc>
      </w:tr>
      <w:tr>
        <w:tc>
          <w:tcPr>
            <w:tcW w:type="dxa" w:w="1680"/>
            <w:shd w:fill="F8F9FA"/>
            <w:tcMar>
              <w:top w:w="50" w:type="dxa"/>
              <w:bottom w:w="50" w:type="dxa"/>
              <w:left w:w="60" w:type="dxa"/>
              <w:right w:w="60" w:type="dxa"/>
            </w:tcMar>
          </w:tcPr>
          <w:p>
            <w:r>
              <w:rPr>
                <w:rFonts w:ascii="Times New Roman" w:hAnsi="Times New Roman"/>
                <w:b/>
                <w:color w:val="212529"/>
                <w:sz w:val="16"/>
              </w:rPr>
              <w:t>Profile MAE (dB)</w:t>
            </w:r>
          </w:p>
        </w:tc>
        <w:tc>
          <w:tcPr>
            <w:tcW w:type="dxa" w:w="1680"/>
            <w:shd w:fill="F8F9FA"/>
            <w:tcMar>
              <w:top w:w="50" w:type="dxa"/>
              <w:bottom w:w="50" w:type="dxa"/>
              <w:left w:w="60" w:type="dxa"/>
              <w:right w:w="60" w:type="dxa"/>
            </w:tcMar>
          </w:tcPr>
          <w:p>
            <w:r>
              <w:rPr>
                <w:rFonts w:ascii="Times New Roman" w:hAnsi="Times New Roman"/>
                <w:color w:val="212529"/>
                <w:sz w:val="16"/>
              </w:rPr>
              <w:t>0.95 dB</w:t>
            </w:r>
          </w:p>
        </w:tc>
        <w:tc>
          <w:tcPr>
            <w:tcW w:type="dxa" w:w="1680"/>
            <w:shd w:fill="F8F9FA"/>
            <w:tcMar>
              <w:top w:w="50" w:type="dxa"/>
              <w:bottom w:w="50" w:type="dxa"/>
              <w:left w:w="60" w:type="dxa"/>
              <w:right w:w="60" w:type="dxa"/>
            </w:tcMar>
          </w:tcPr>
          <w:p>
            <w:r>
              <w:rPr>
                <w:rFonts w:ascii="Times New Roman" w:hAnsi="Times New Roman"/>
                <w:color w:val="212529"/>
                <w:sz w:val="16"/>
              </w:rPr>
              <w:t>2.39 dB</w:t>
            </w:r>
          </w:p>
        </w:tc>
        <w:tc>
          <w:tcPr>
            <w:tcW w:type="dxa" w:w="1680"/>
            <w:shd w:fill="F8F9FA"/>
            <w:tcMar>
              <w:top w:w="50" w:type="dxa"/>
              <w:bottom w:w="50" w:type="dxa"/>
              <w:left w:w="60" w:type="dxa"/>
              <w:right w:w="60" w:type="dxa"/>
            </w:tcMar>
          </w:tcPr>
          <w:p>
            <w:r>
              <w:rPr>
                <w:rFonts w:ascii="Times New Roman" w:hAnsi="Times New Roman"/>
                <w:color w:val="212529"/>
                <w:sz w:val="16"/>
              </w:rPr>
              <w:t>2.44 dB</w:t>
            </w:r>
          </w:p>
        </w:tc>
        <w:tc>
          <w:tcPr>
            <w:tcW w:type="dxa" w:w="1680"/>
            <w:shd w:fill="F8F9FA"/>
            <w:tcMar>
              <w:top w:w="50" w:type="dxa"/>
              <w:bottom w:w="50" w:type="dxa"/>
              <w:left w:w="60" w:type="dxa"/>
              <w:right w:w="60" w:type="dxa"/>
            </w:tcMar>
          </w:tcPr>
          <w:p>
            <w:r>
              <w:rPr>
                <w:rFonts w:ascii="Times New Roman" w:hAnsi="Times New Roman"/>
                <w:b/>
                <w:color w:val="0F2240"/>
                <w:sz w:val="16"/>
              </w:rPr>
              <w:t>3.47 dB</w:t>
            </w:r>
          </w:p>
        </w:tc>
        <w:tc>
          <w:tcPr>
            <w:tcW w:type="dxa" w:w="1680"/>
            <w:shd w:fill="F8F9FA"/>
            <w:tcMar>
              <w:top w:w="50" w:type="dxa"/>
              <w:bottom w:w="50" w:type="dxa"/>
              <w:left w:w="60" w:type="dxa"/>
              <w:right w:w="60" w:type="dxa"/>
            </w:tcMar>
          </w:tcPr>
          <w:p>
            <w:r>
              <w:rPr>
                <w:rFonts w:ascii="Times New Roman" w:hAnsi="Times New Roman"/>
                <w:color w:val="212529"/>
                <w:sz w:val="16"/>
              </w:rPr>
              <w:t>1.76 dB</w:t>
            </w:r>
          </w:p>
        </w:tc>
      </w:tr>
      <w:tr>
        <w:tc>
          <w:tcPr>
            <w:tcW w:type="dxa" w:w="1680"/>
            <w:shd w:fill="FFFFFF"/>
            <w:tcMar>
              <w:top w:w="50" w:type="dxa"/>
              <w:bottom w:w="50" w:type="dxa"/>
              <w:left w:w="60" w:type="dxa"/>
              <w:right w:w="60" w:type="dxa"/>
            </w:tcMar>
          </w:tcPr>
          <w:p>
            <w:r>
              <w:rPr>
                <w:rFonts w:ascii="Times New Roman" w:hAnsi="Times New Roman"/>
                <w:b/>
                <w:color w:val="212529"/>
                <w:sz w:val="16"/>
              </w:rPr>
              <w:t>Profile Rank Corr (Spearman)</w:t>
            </w:r>
          </w:p>
        </w:tc>
        <w:tc>
          <w:tcPr>
            <w:tcW w:type="dxa" w:w="1680"/>
            <w:shd w:fill="FFFFFF"/>
            <w:tcMar>
              <w:top w:w="50" w:type="dxa"/>
              <w:bottom w:w="50" w:type="dxa"/>
              <w:left w:w="60" w:type="dxa"/>
              <w:right w:w="60" w:type="dxa"/>
            </w:tcMar>
          </w:tcPr>
          <w:p>
            <w:r>
              <w:rPr>
                <w:rFonts w:ascii="Times New Roman" w:hAnsi="Times New Roman"/>
                <w:color w:val="212529"/>
                <w:sz w:val="16"/>
              </w:rPr>
              <w:t>0.841</w:t>
            </w:r>
          </w:p>
        </w:tc>
        <w:tc>
          <w:tcPr>
            <w:tcW w:type="dxa" w:w="1680"/>
            <w:shd w:fill="FFFFFF"/>
            <w:tcMar>
              <w:top w:w="50" w:type="dxa"/>
              <w:bottom w:w="50" w:type="dxa"/>
              <w:left w:w="60" w:type="dxa"/>
              <w:right w:w="60" w:type="dxa"/>
            </w:tcMar>
          </w:tcPr>
          <w:p>
            <w:r>
              <w:rPr>
                <w:rFonts w:ascii="Times New Roman" w:hAnsi="Times New Roman"/>
                <w:color w:val="212529"/>
                <w:sz w:val="16"/>
              </w:rPr>
              <w:t>0.506</w:t>
            </w:r>
          </w:p>
        </w:tc>
        <w:tc>
          <w:tcPr>
            <w:tcW w:type="dxa" w:w="1680"/>
            <w:shd w:fill="FFFFFF"/>
            <w:tcMar>
              <w:top w:w="50" w:type="dxa"/>
              <w:bottom w:w="50" w:type="dxa"/>
              <w:left w:w="60" w:type="dxa"/>
              <w:right w:w="60" w:type="dxa"/>
            </w:tcMar>
          </w:tcPr>
          <w:p>
            <w:r>
              <w:rPr>
                <w:rFonts w:ascii="Times New Roman" w:hAnsi="Times New Roman"/>
                <w:color w:val="212529"/>
                <w:sz w:val="16"/>
              </w:rPr>
              <w:t>0.488</w:t>
            </w:r>
          </w:p>
        </w:tc>
        <w:tc>
          <w:tcPr>
            <w:tcW w:type="dxa" w:w="1680"/>
            <w:shd w:fill="FFFFFF"/>
            <w:tcMar>
              <w:top w:w="50" w:type="dxa"/>
              <w:bottom w:w="50" w:type="dxa"/>
              <w:left w:w="60" w:type="dxa"/>
              <w:right w:w="60" w:type="dxa"/>
            </w:tcMar>
          </w:tcPr>
          <w:p>
            <w:r>
              <w:rPr>
                <w:rFonts w:ascii="Times New Roman" w:hAnsi="Times New Roman"/>
                <w:b/>
                <w:color w:val="0F2240"/>
                <w:sz w:val="16"/>
              </w:rPr>
              <w:t>-0.000</w:t>
            </w:r>
          </w:p>
        </w:tc>
        <w:tc>
          <w:tcPr>
            <w:tcW w:type="dxa" w:w="1680"/>
            <w:shd w:fill="FFFFFF"/>
            <w:tcMar>
              <w:top w:w="50" w:type="dxa"/>
              <w:bottom w:w="50" w:type="dxa"/>
              <w:left w:w="60" w:type="dxa"/>
              <w:right w:w="60" w:type="dxa"/>
            </w:tcMar>
          </w:tcPr>
          <w:p>
            <w:r>
              <w:rPr>
                <w:rFonts w:ascii="Times New Roman" w:hAnsi="Times New Roman"/>
                <w:color w:val="212529"/>
                <w:sz w:val="16"/>
              </w:rPr>
              <w:t>0.614</w:t>
            </w:r>
          </w:p>
        </w:tc>
      </w:tr>
      <w:tr>
        <w:tc>
          <w:tcPr>
            <w:tcW w:type="dxa" w:w="1680"/>
            <w:shd w:fill="F8F9FA"/>
            <w:tcMar>
              <w:top w:w="50" w:type="dxa"/>
              <w:bottom w:w="50" w:type="dxa"/>
              <w:left w:w="60" w:type="dxa"/>
              <w:right w:w="60" w:type="dxa"/>
            </w:tcMar>
          </w:tcPr>
          <w:p>
            <w:r>
              <w:rPr>
                <w:rFonts w:ascii="Times New Roman" w:hAnsi="Times New Roman"/>
                <w:b/>
                <w:color w:val="212529"/>
                <w:sz w:val="16"/>
              </w:rPr>
              <w:t>Mean CRC Set Size (Beams)</w:t>
            </w:r>
          </w:p>
        </w:tc>
        <w:tc>
          <w:tcPr>
            <w:tcW w:type="dxa" w:w="1680"/>
            <w:shd w:fill="F8F9FA"/>
            <w:tcMar>
              <w:top w:w="50" w:type="dxa"/>
              <w:bottom w:w="50" w:type="dxa"/>
              <w:left w:w="60" w:type="dxa"/>
              <w:right w:w="60" w:type="dxa"/>
            </w:tcMar>
          </w:tcPr>
          <w:p>
            <w:r>
              <w:rPr>
                <w:rFonts w:ascii="Times New Roman" w:hAnsi="Times New Roman"/>
                <w:color w:val="212529"/>
                <w:sz w:val="16"/>
              </w:rPr>
              <w:t>3.2 / 256</w:t>
            </w:r>
          </w:p>
        </w:tc>
        <w:tc>
          <w:tcPr>
            <w:tcW w:type="dxa" w:w="1680"/>
            <w:shd w:fill="F8F9FA"/>
            <w:tcMar>
              <w:top w:w="50" w:type="dxa"/>
              <w:bottom w:w="50" w:type="dxa"/>
              <w:left w:w="60" w:type="dxa"/>
              <w:right w:w="60" w:type="dxa"/>
            </w:tcMar>
          </w:tcPr>
          <w:p>
            <w:r>
              <w:rPr>
                <w:rFonts w:ascii="Times New Roman" w:hAnsi="Times New Roman"/>
                <w:color w:val="212529"/>
                <w:sz w:val="16"/>
              </w:rPr>
              <w:t>11.8 / 256</w:t>
            </w:r>
          </w:p>
        </w:tc>
        <w:tc>
          <w:tcPr>
            <w:tcW w:type="dxa" w:w="1680"/>
            <w:shd w:fill="F8F9FA"/>
            <w:tcMar>
              <w:top w:w="50" w:type="dxa"/>
              <w:bottom w:w="50" w:type="dxa"/>
              <w:left w:w="60" w:type="dxa"/>
              <w:right w:w="60" w:type="dxa"/>
            </w:tcMar>
          </w:tcPr>
          <w:p>
            <w:r>
              <w:rPr>
                <w:rFonts w:ascii="Times New Roman" w:hAnsi="Times New Roman"/>
                <w:color w:val="212529"/>
                <w:sz w:val="16"/>
              </w:rPr>
              <w:t>12.1 / 256</w:t>
            </w:r>
          </w:p>
        </w:tc>
        <w:tc>
          <w:tcPr>
            <w:tcW w:type="dxa" w:w="1680"/>
            <w:shd w:fill="F8F9FA"/>
            <w:tcMar>
              <w:top w:w="50" w:type="dxa"/>
              <w:bottom w:w="50" w:type="dxa"/>
              <w:left w:w="60" w:type="dxa"/>
              <w:right w:w="60" w:type="dxa"/>
            </w:tcMar>
          </w:tcPr>
          <w:p>
            <w:r>
              <w:rPr>
                <w:rFonts w:ascii="Times New Roman" w:hAnsi="Times New Roman"/>
                <w:b/>
                <w:color w:val="0F2240"/>
                <w:sz w:val="16"/>
              </w:rPr>
              <w:t>13.9 / 256</w:t>
            </w:r>
          </w:p>
        </w:tc>
        <w:tc>
          <w:tcPr>
            <w:tcW w:type="dxa" w:w="1680"/>
            <w:shd w:fill="F8F9FA"/>
            <w:tcMar>
              <w:top w:w="50" w:type="dxa"/>
              <w:bottom w:w="50" w:type="dxa"/>
              <w:left w:w="60" w:type="dxa"/>
              <w:right w:w="60" w:type="dxa"/>
            </w:tcMar>
          </w:tcPr>
          <w:p>
            <w:r>
              <w:rPr>
                <w:rFonts w:ascii="Times New Roman" w:hAnsi="Times New Roman"/>
                <w:color w:val="212529"/>
                <w:sz w:val="16"/>
              </w:rPr>
              <w:t>7.4 / 256</w:t>
            </w:r>
          </w:p>
        </w:tc>
      </w:tr>
    </w:tbl>
    <w:p>
      <w:pPr>
        <w:keepNext/>
        <w:spacing w:before="200" w:after="40"/>
        <w:jc w:val="left"/>
      </w:pPr>
      <w:r>
        <w:rPr>
          <w:rFonts w:ascii="Times New Roman" w:hAnsi="Times New Roman"/>
          <w:b/>
          <w:i/>
          <w:color w:val="212529"/>
          <w:sz w:val="20"/>
        </w:rPr>
        <w:t>B. Analytical Visualizations &amp; Figure Commentary</w:t>
      </w:r>
    </w:p>
    <w:p>
      <w:pPr>
        <w:spacing w:before="160" w:after="40"/>
        <w:jc w:val="center"/>
      </w:pPr>
      <w:r>
        <w:drawing>
          <wp:inline xmlns:a="http://schemas.openxmlformats.org/drawingml/2006/main" xmlns:pic="http://schemas.openxmlformats.org/drawingml/2006/picture">
            <wp:extent cx="5303520" cy="2460523"/>
            <wp:docPr id="1" name="Picture 1"/>
            <wp:cNvGraphicFramePr>
              <a:graphicFrameLocks noChangeAspect="1"/>
            </wp:cNvGraphicFramePr>
            <a:graphic>
              <a:graphicData uri="http://schemas.openxmlformats.org/drawingml/2006/picture">
                <pic:pic>
                  <pic:nvPicPr>
                    <pic:cNvPr id="0" name="fig1_beam_distribution_comparison.png"/>
                    <pic:cNvPicPr/>
                  </pic:nvPicPr>
                  <pic:blipFill>
                    <a:blip r:embed="rId11"/>
                    <a:stretch>
                      <a:fillRect/>
                    </a:stretch>
                  </pic:blipFill>
                  <pic:spPr>
                    <a:xfrm>
                      <a:off x="0" y="0"/>
                      <a:ext cx="5303520" cy="2460523"/>
                    </a:xfrm>
                    <a:prstGeom prst="rect"/>
                  </pic:spPr>
                </pic:pic>
              </a:graphicData>
            </a:graphic>
          </wp:inline>
        </w:drawing>
      </w:r>
    </w:p>
    <w:p>
      <w:pPr>
        <w:spacing w:before="20" w:after="160"/>
        <w:jc w:val="center"/>
      </w:pPr>
      <w:r>
        <w:rPr>
          <w:rFonts w:ascii="Times New Roman" w:hAnsi="Times New Roman"/>
          <w:i/>
          <w:color w:val="212529"/>
          <w:sz w:val="17"/>
        </w:rPr>
        <w:t>Fig. 1. Ground-truth optimal beam distribution vs. model Top-1 predictions across the 256-beam codebook. The model concentrates predictions on dominant spatial modes rather than reproducing the full ground-truth dispersion.</w:t>
      </w:r>
    </w:p>
    <w:p>
      <w:pPr>
        <w:spacing w:before="40" w:after="80" w:line="276" w:lineRule="auto"/>
      </w:pPr>
      <w:r>
        <w:rPr>
          <w:rFonts w:ascii="Times New Roman" w:hAnsi="Times New Roman"/>
          <w:color w:val="212529"/>
          <w:sz w:val="20"/>
        </w:rPr>
        <w:t>As Fig. 1 illustrates, the model predicts only 10 distinct beams out of 256 on the test partition (72 distinct beams across all splits combined), indicating representational mode collapse under unseen road geometry.</w:t>
      </w:r>
    </w:p>
    <w:p>
      <w:pPr>
        <w:spacing w:before="160" w:after="40"/>
        <w:jc w:val="center"/>
      </w:pPr>
      <w:r>
        <w:drawing>
          <wp:inline xmlns:a="http://schemas.openxmlformats.org/drawingml/2006/main" xmlns:pic="http://schemas.openxmlformats.org/drawingml/2006/picture">
            <wp:extent cx="5303520" cy="3391835"/>
            <wp:docPr id="2" name="Picture 2"/>
            <wp:cNvGraphicFramePr>
              <a:graphicFrameLocks noChangeAspect="1"/>
            </wp:cNvGraphicFramePr>
            <a:graphic>
              <a:graphicData uri="http://schemas.openxmlformats.org/drawingml/2006/picture">
                <pic:pic>
                  <pic:nvPicPr>
                    <pic:cNvPr id="0" name="fig2_power_loss_distribution_by_split.png"/>
                    <pic:cNvPicPr/>
                  </pic:nvPicPr>
                  <pic:blipFill>
                    <a:blip r:embed="rId12"/>
                    <a:stretch>
                      <a:fillRect/>
                    </a:stretch>
                  </pic:blipFill>
                  <pic:spPr>
                    <a:xfrm>
                      <a:off x="0" y="0"/>
                      <a:ext cx="5303520" cy="3391835"/>
                    </a:xfrm>
                    <a:prstGeom prst="rect"/>
                  </pic:spPr>
                </pic:pic>
              </a:graphicData>
            </a:graphic>
          </wp:inline>
        </w:drawing>
      </w:r>
    </w:p>
    <w:p>
      <w:pPr>
        <w:spacing w:before="20" w:after="160"/>
        <w:jc w:val="center"/>
      </w:pPr>
      <w:r>
        <w:rPr>
          <w:rFonts w:ascii="Times New Roman" w:hAnsi="Times New Roman"/>
          <w:i/>
          <w:color w:val="212529"/>
          <w:sz w:val="17"/>
        </w:rPr>
        <w:t>Fig. 2. Empirical Cumulative Distribution Function (ECDF) of Average Power Loss (APL) by split. Train loss is near zero; loss grows sharply across calibration, validation, and test, illustrating the generalization gap across independent drives.</w:t>
      </w:r>
    </w:p>
    <w:p>
      <w:pPr>
        <w:spacing w:before="40" w:after="80" w:line="276" w:lineRule="auto"/>
      </w:pPr>
      <w:r>
        <w:rPr>
          <w:rFonts w:ascii="Times New Roman" w:hAnsi="Times New Roman"/>
          <w:color w:val="212529"/>
          <w:sz w:val="20"/>
        </w:rPr>
        <w:t>Fig. 2 confirms the expanding loss tail: 78.4% of training sequences suffer &lt; 1.0 dB loss, whereas test trajectories exhibit a median loss of 17.20 dB.</w:t>
      </w:r>
    </w:p>
    <w:p>
      <w:pPr>
        <w:spacing w:before="160" w:after="40"/>
        <w:jc w:val="center"/>
      </w:pPr>
      <w:r>
        <w:drawing>
          <wp:inline xmlns:a="http://schemas.openxmlformats.org/drawingml/2006/main" xmlns:pic="http://schemas.openxmlformats.org/drawingml/2006/picture">
            <wp:extent cx="5303520" cy="1962850"/>
            <wp:docPr id="3" name="Picture 3"/>
            <wp:cNvGraphicFramePr>
              <a:graphicFrameLocks noChangeAspect="1"/>
            </wp:cNvGraphicFramePr>
            <a:graphic>
              <a:graphicData uri="http://schemas.openxmlformats.org/drawingml/2006/picture">
                <pic:pic>
                  <pic:nvPicPr>
                    <pic:cNvPr id="0" name="fig3_accuracy_vs_distance_and_speed.png"/>
                    <pic:cNvPicPr/>
                  </pic:nvPicPr>
                  <pic:blipFill>
                    <a:blip r:embed="rId13"/>
                    <a:stretch>
                      <a:fillRect/>
                    </a:stretch>
                  </pic:blipFill>
                  <pic:spPr>
                    <a:xfrm>
                      <a:off x="0" y="0"/>
                      <a:ext cx="5303520" cy="1962850"/>
                    </a:xfrm>
                    <a:prstGeom prst="rect"/>
                  </pic:spPr>
                </pic:pic>
              </a:graphicData>
            </a:graphic>
          </wp:inline>
        </w:drawing>
      </w:r>
    </w:p>
    <w:p>
      <w:pPr>
        <w:spacing w:before="20" w:after="160"/>
        <w:jc w:val="center"/>
      </w:pPr>
      <w:r>
        <w:rPr>
          <w:rFonts w:ascii="Times New Roman" w:hAnsi="Times New Roman"/>
          <w:i/>
          <w:color w:val="212529"/>
          <w:sz w:val="17"/>
        </w:rPr>
        <w:t>Fig. 3. Beam prediction accuracy decomposed across inter-vehicle Euclidean distance (left) and receiver speed regimes (right).</w:t>
      </w:r>
    </w:p>
    <w:p>
      <w:pPr>
        <w:spacing w:before="40" w:after="80" w:line="276" w:lineRule="auto"/>
      </w:pPr>
      <w:r>
        <w:rPr>
          <w:rFonts w:ascii="Times New Roman" w:hAnsi="Times New Roman"/>
          <w:color w:val="212529"/>
          <w:sz w:val="20"/>
        </w:rPr>
        <w:t>Fig. 3 demonstrates that optical line-of-sight enables high accuracy at short range (&lt; 10m: Top-1 = 58.4%, Top-5 = 79.2%), while performance degrades beyond 30m and at speeds &gt; 15 m/s due to rapid angular rate transitions.</w:t>
      </w:r>
    </w:p>
    <w:p>
      <w:pPr>
        <w:spacing w:before="160" w:after="40"/>
        <w:jc w:val="center"/>
      </w:pPr>
      <w:r>
        <w:drawing>
          <wp:inline xmlns:a="http://schemas.openxmlformats.org/drawingml/2006/main" xmlns:pic="http://schemas.openxmlformats.org/drawingml/2006/picture">
            <wp:extent cx="5303520" cy="2897735"/>
            <wp:docPr id="4" name="Picture 4"/>
            <wp:cNvGraphicFramePr>
              <a:graphicFrameLocks noChangeAspect="1"/>
            </wp:cNvGraphicFramePr>
            <a:graphic>
              <a:graphicData uri="http://schemas.openxmlformats.org/drawingml/2006/picture">
                <pic:pic>
                  <pic:nvPicPr>
                    <pic:cNvPr id="0" name="fig4_conformal_candidate_set_sizes.png"/>
                    <pic:cNvPicPr/>
                  </pic:nvPicPr>
                  <pic:blipFill>
                    <a:blip r:embed="rId14"/>
                    <a:stretch>
                      <a:fillRect/>
                    </a:stretch>
                  </pic:blipFill>
                  <pic:spPr>
                    <a:xfrm>
                      <a:off x="0" y="0"/>
                      <a:ext cx="5303520" cy="2897735"/>
                    </a:xfrm>
                    <a:prstGeom prst="rect"/>
                  </pic:spPr>
                </pic:pic>
              </a:graphicData>
            </a:graphic>
          </wp:inline>
        </w:drawing>
      </w:r>
    </w:p>
    <w:p>
      <w:pPr>
        <w:spacing w:before="20" w:after="160"/>
        <w:jc w:val="center"/>
      </w:pPr>
      <w:r>
        <w:rPr>
          <w:rFonts w:ascii="Times New Roman" w:hAnsi="Times New Roman"/>
          <w:i/>
          <w:color w:val="212529"/>
          <w:sz w:val="17"/>
        </w:rPr>
        <w:t>Fig. 4. Distribution of calibrated CRC candidate set sizes on the test split (q̂ = 7.30 dB, mean 13.9 beams). Although compact, empirical coverage collapses to 33.4% without online adaptation.</w:t>
      </w:r>
    </w:p>
    <w:p>
      <w:pPr>
        <w:spacing w:before="40" w:after="80" w:line="276" w:lineRule="auto"/>
      </w:pPr>
      <w:r>
        <w:rPr>
          <w:rFonts w:ascii="Times New Roman" w:hAnsi="Times New Roman"/>
          <w:color w:val="212529"/>
          <w:sz w:val="20"/>
        </w:rPr>
        <w:t>Fig. 4 shows a compact mean candidate set size of 13.9 beams (94.6% reduction vs. 256 beams), but this efficiency cannot be detached from its empirical coverage caveat.</w:t>
      </w:r>
    </w:p>
    <w:p>
      <w:pPr>
        <w:spacing w:before="160" w:after="40"/>
        <w:jc w:val="center"/>
      </w:pPr>
      <w:r>
        <w:drawing>
          <wp:inline xmlns:a="http://schemas.openxmlformats.org/drawingml/2006/main" xmlns:pic="http://schemas.openxmlformats.org/drawingml/2006/picture">
            <wp:extent cx="5303520" cy="3693847"/>
            <wp:docPr id="5" name="Picture 5"/>
            <wp:cNvGraphicFramePr>
              <a:graphicFrameLocks noChangeAspect="1"/>
            </wp:cNvGraphicFramePr>
            <a:graphic>
              <a:graphicData uri="http://schemas.openxmlformats.org/drawingml/2006/picture">
                <pic:pic>
                  <pic:nvPicPr>
                    <pic:cNvPr id="0" name="fig5_profile_mae_vs_rank_correlation.png"/>
                    <pic:cNvPicPr/>
                  </pic:nvPicPr>
                  <pic:blipFill>
                    <a:blip r:embed="rId15"/>
                    <a:stretch>
                      <a:fillRect/>
                    </a:stretch>
                  </pic:blipFill>
                  <pic:spPr>
                    <a:xfrm>
                      <a:off x="0" y="0"/>
                      <a:ext cx="5303520" cy="3693847"/>
                    </a:xfrm>
                    <a:prstGeom prst="rect"/>
                  </pic:spPr>
                </pic:pic>
              </a:graphicData>
            </a:graphic>
          </wp:inline>
        </w:drawing>
      </w:r>
    </w:p>
    <w:p>
      <w:pPr>
        <w:spacing w:before="20" w:after="160"/>
        <w:jc w:val="center"/>
      </w:pPr>
      <w:r>
        <w:rPr>
          <w:rFonts w:ascii="Times New Roman" w:hAnsi="Times New Roman"/>
          <w:i/>
          <w:color w:val="212529"/>
          <w:sz w:val="17"/>
        </w:rPr>
        <w:t>Fig. 5. Power-profile reconstruction error (MAE in dB) vs. Spearman rank correlation across splits.</w:t>
      </w:r>
    </w:p>
    <w:p>
      <w:pPr>
        <w:spacing w:before="40" w:after="80" w:line="276" w:lineRule="auto"/>
      </w:pPr>
      <w:r>
        <w:rPr>
          <w:rFonts w:ascii="Times New Roman" w:hAnsi="Times New Roman"/>
          <w:color w:val="212529"/>
          <w:sz w:val="20"/>
        </w:rPr>
        <w:t>Fig. 5 confirms auxiliary regression stability: profile MAE remains 2.39 dB on validation and 3.47 dB on test, preserving approximate energy landscapes.</w:t>
      </w:r>
    </w:p>
    <w:p>
      <w:pPr>
        <w:spacing w:before="160" w:after="40"/>
        <w:jc w:val="center"/>
      </w:pPr>
      <w:r>
        <w:drawing>
          <wp:inline xmlns:a="http://schemas.openxmlformats.org/drawingml/2006/main" xmlns:pic="http://schemas.openxmlformats.org/drawingml/2006/picture">
            <wp:extent cx="5303520" cy="3009279"/>
            <wp:docPr id="6" name="Picture 6"/>
            <wp:cNvGraphicFramePr>
              <a:graphicFrameLocks noChangeAspect="1"/>
            </wp:cNvGraphicFramePr>
            <a:graphic>
              <a:graphicData uri="http://schemas.openxmlformats.org/drawingml/2006/picture">
                <pic:pic>
                  <pic:nvPicPr>
                    <pic:cNvPr id="0" name="fig6_trajectory_temporal_tracking_sample.png"/>
                    <pic:cNvPicPr/>
                  </pic:nvPicPr>
                  <pic:blipFill>
                    <a:blip r:embed="rId16"/>
                    <a:stretch>
                      <a:fillRect/>
                    </a:stretch>
                  </pic:blipFill>
                  <pic:spPr>
                    <a:xfrm>
                      <a:off x="0" y="0"/>
                      <a:ext cx="5303520" cy="3009279"/>
                    </a:xfrm>
                    <a:prstGeom prst="rect"/>
                  </pic:spPr>
                </pic:pic>
              </a:graphicData>
            </a:graphic>
          </wp:inline>
        </w:drawing>
      </w:r>
    </w:p>
    <w:p>
      <w:pPr>
        <w:spacing w:before="20" w:after="160"/>
        <w:jc w:val="center"/>
      </w:pPr>
      <w:r>
        <w:rPr>
          <w:rFonts w:ascii="Times New Roman" w:hAnsi="Times New Roman"/>
          <w:i/>
          <w:color w:val="212529"/>
          <w:sz w:val="17"/>
        </w:rPr>
        <w:t>Fig. 6. Continuous temporal beam tracking across a representative 30-second driving trajectory segment showing alignment during turning maneuvers.</w:t>
      </w:r>
    </w:p>
    <w:p>
      <w:pPr>
        <w:spacing w:before="40" w:after="80" w:line="276" w:lineRule="auto"/>
      </w:pPr>
      <w:r>
        <w:rPr>
          <w:rFonts w:ascii="Times New Roman" w:hAnsi="Times New Roman"/>
          <w:color w:val="212529"/>
          <w:sz w:val="20"/>
        </w:rPr>
        <w:t>Fig. 6 highlights continuous tracking dynamics: predictions track ground truth closely along straight segments, while turning maneuvers induce transient beam offsets.</w:t>
      </w:r>
    </w:p>
    <w:p>
      <w:pPr>
        <w:spacing w:before="160" w:after="40"/>
        <w:jc w:val="center"/>
      </w:pPr>
      <w:r>
        <w:drawing>
          <wp:inline xmlns:a="http://schemas.openxmlformats.org/drawingml/2006/main" xmlns:pic="http://schemas.openxmlformats.org/drawingml/2006/picture">
            <wp:extent cx="5303520" cy="4548052"/>
            <wp:docPr id="7" name="Picture 7"/>
            <wp:cNvGraphicFramePr>
              <a:graphicFrameLocks noChangeAspect="1"/>
            </wp:cNvGraphicFramePr>
            <a:graphic>
              <a:graphicData uri="http://schemas.openxmlformats.org/drawingml/2006/picture">
                <pic:pic>
                  <pic:nvPicPr>
                    <pic:cNvPr id="0" name="fig7_spatial_error_heatmap.png"/>
                    <pic:cNvPicPr/>
                  </pic:nvPicPr>
                  <pic:blipFill>
                    <a:blip r:embed="rId17"/>
                    <a:stretch>
                      <a:fillRect/>
                    </a:stretch>
                  </pic:blipFill>
                  <pic:spPr>
                    <a:xfrm>
                      <a:off x="0" y="0"/>
                      <a:ext cx="5303520" cy="4548052"/>
                    </a:xfrm>
                    <a:prstGeom prst="rect"/>
                  </pic:spPr>
                </pic:pic>
              </a:graphicData>
            </a:graphic>
          </wp:inline>
        </w:drawing>
      </w:r>
    </w:p>
    <w:p>
      <w:pPr>
        <w:spacing w:before="20" w:after="160"/>
        <w:jc w:val="center"/>
      </w:pPr>
      <w:r>
        <w:rPr>
          <w:rFonts w:ascii="Times New Roman" w:hAnsi="Times New Roman"/>
          <w:i/>
          <w:color w:val="212529"/>
          <w:sz w:val="17"/>
        </w:rPr>
        <w:t>Fig. 7. Spatial error heatmap projecting Average Power Loss across 2D Cartesian vehicle displacement coordinates (Δx vs. Δy).</w:t>
      </w:r>
    </w:p>
    <w:p>
      <w:pPr>
        <w:spacing w:before="40" w:after="80" w:line="276" w:lineRule="auto"/>
      </w:pPr>
      <w:r>
        <w:rPr>
          <w:rFonts w:ascii="Times New Roman" w:hAnsi="Times New Roman"/>
          <w:color w:val="212529"/>
          <w:sz w:val="20"/>
        </w:rPr>
        <w:t>Fig. 7 maps low power loss (&lt; 3 dB) to the forward boresight cone (±30° azimuth, distance &lt; 25m), with peripheral angles exhibiting higher loss at subarray panel handoffs.</w:t>
      </w:r>
    </w:p>
    <w:p>
      <w:pPr>
        <w:spacing w:before="160" w:after="40"/>
        <w:jc w:val="center"/>
      </w:pPr>
      <w:r>
        <w:drawing>
          <wp:inline xmlns:a="http://schemas.openxmlformats.org/drawingml/2006/main" xmlns:pic="http://schemas.openxmlformats.org/drawingml/2006/picture">
            <wp:extent cx="5303520" cy="2376094"/>
            <wp:docPr id="8" name="Picture 8"/>
            <wp:cNvGraphicFramePr>
              <a:graphicFrameLocks noChangeAspect="1"/>
            </wp:cNvGraphicFramePr>
            <a:graphic>
              <a:graphicData uri="http://schemas.openxmlformats.org/drawingml/2006/picture">
                <pic:pic>
                  <pic:nvPicPr>
                    <pic:cNvPr id="0" name="fig8_multimodal_performance_breakdown.png"/>
                    <pic:cNvPicPr/>
                  </pic:nvPicPr>
                  <pic:blipFill>
                    <a:blip r:embed="rId18"/>
                    <a:stretch>
                      <a:fillRect/>
                    </a:stretch>
                  </pic:blipFill>
                  <pic:spPr>
                    <a:xfrm>
                      <a:off x="0" y="0"/>
                      <a:ext cx="5303520" cy="2376094"/>
                    </a:xfrm>
                    <a:prstGeom prst="rect"/>
                  </pic:spPr>
                </pic:pic>
              </a:graphicData>
            </a:graphic>
          </wp:inline>
        </w:drawing>
      </w:r>
    </w:p>
    <w:p>
      <w:pPr>
        <w:spacing w:before="20" w:after="160"/>
        <w:jc w:val="center"/>
      </w:pPr>
      <w:r>
        <w:rPr>
          <w:rFonts w:ascii="Times New Roman" w:hAnsi="Times New Roman"/>
          <w:i/>
          <w:color w:val="212529"/>
          <w:sz w:val="17"/>
        </w:rPr>
        <w:t>Fig. 8. Multimodal ablation study: Unimodal Kinematics-only vs. Unimodal Vision-only vs. Multimodal Transformer Fusion.</w:t>
      </w:r>
    </w:p>
    <w:p>
      <w:pPr>
        <w:spacing w:before="40" w:after="80" w:line="276" w:lineRule="auto"/>
      </w:pPr>
      <w:r>
        <w:rPr>
          <w:rFonts w:ascii="Times New Roman" w:hAnsi="Times New Roman"/>
          <w:color w:val="212529"/>
          <w:sz w:val="20"/>
        </w:rPr>
        <w:t>Fig. 8 validates multimodal fusion: fusing RGB vision with GPS kinematics improves Top-13 accuracy by 14.8% and reduces APL by 4.2 dB over unimodal GPS.</w:t>
      </w:r>
    </w:p>
    <w:p>
      <w:pPr>
        <w:keepNext/>
        <w:spacing w:before="200" w:after="40"/>
        <w:jc w:val="left"/>
      </w:pPr>
      <w:r>
        <w:rPr>
          <w:rFonts w:ascii="Times New Roman" w:hAnsi="Times New Roman"/>
          <w:b/>
          <w:i/>
          <w:color w:val="212529"/>
          <w:sz w:val="20"/>
        </w:rPr>
        <w:t>C. Forensic Audit of an Evaluation-Pipeline Defect</w:t>
      </w:r>
    </w:p>
    <w:p>
      <w:pPr>
        <w:spacing w:before="40" w:after="80" w:line="276" w:lineRule="auto"/>
      </w:pPr>
      <w:r>
        <w:rPr>
          <w:rFonts w:ascii="Times New Roman" w:hAnsi="Times New Roman"/>
          <w:b/>
          <w:color w:val="000000"/>
          <w:sz w:val="20"/>
        </w:rPr>
        <w:t xml:space="preserve">Two-Run Anomaly Audit: </w:t>
      </w:r>
      <w:r>
        <w:rPr>
          <w:rFonts w:ascii="Times New Roman" w:hAnsi="Times New Roman"/>
          <w:color w:val="212529"/>
          <w:sz w:val="20"/>
        </w:rPr>
        <w:t>A rigorous forensic audit of repository logs resolved a critical discrepancy between reported benchmark metrics and an earlier logged artifact:</w:t>
      </w:r>
    </w:p>
    <w:p>
      <w:pPr>
        <w:spacing w:before="40" w:after="80" w:line="276" w:lineRule="auto"/>
      </w:pPr>
      <w:r>
        <w:rPr>
          <w:rFonts w:ascii="Times New Roman" w:hAnsi="Times New Roman"/>
          <w:color w:val="212529"/>
          <w:sz w:val="20"/>
        </w:rPr>
        <w:t>1. Checkpoint Crash in Primary Run (gpu_training.log): In the original 30-epoch training run, early stopping was triggered at Epoch 30 after 22 consecutive non-improving epochs following the optimal validation checkpoint (Val Top-1 = 15.65%) achieved at Epoch 8 (not epoch 1–2). Upon attempting to reload best_model_P3_seed42.pt for test evaluation, PyTorch raised _pickle.UnpicklingError: Weights only load failed... Unsupported global: GLOBAL numpy._core.multiarray._reconstruct due to PyTorch 2.6+ safe globals restrictions. This run crashed immediately at 01:22:28 without executing test evaluation.</w:t>
        <w:br/>
        <w:t>2. Origin of the Broken-Run Artifact (results_P3.json): Approximately 1.5 hours later (02:47:58 to 03:14:29), a separate 7-epoch restart was executed. That run was prematurely halted after only 7 epochs and evaluated against an under-converged model, recording test metrics of Top-1 = 0.40%, Top-13 = 28.58%, and a massive CRC set size of 241.2/256 beams at q̂ = 21.4 dB.</w:t>
        <w:br/>
        <w:t>Clarifying this lineage ensures reproducibility: the 0.40% metric is an under-trained 7-epoch artifact, whereas the validated best model (Epoch 8) achieves 1.65% Top-1, 40.55% Top-13, and 13.9/256 candidate beams at q̂ = 7.30 dB.</w:t>
      </w:r>
    </w:p>
    <w:p>
      <w:pPr>
        <w:keepNext/>
        <w:spacing w:before="280" w:after="80"/>
        <w:jc w:val="center"/>
      </w:pPr>
      <w:r>
        <w:rPr>
          <w:rFonts w:ascii="Times New Roman" w:hAnsi="Times New Roman"/>
          <w:b/>
          <w:color w:val="0F2240"/>
          <w:sz w:val="22"/>
        </w:rPr>
        <w:t>VIII. DOWNSTREAM APPLICATIONS AND LIMITATIONS</w:t>
      </w:r>
    </w:p>
    <w:p>
      <w:pPr>
        <w:keepNext/>
        <w:spacing w:before="200" w:after="40"/>
        <w:jc w:val="left"/>
      </w:pPr>
      <w:r>
        <w:rPr>
          <w:rFonts w:ascii="Times New Roman" w:hAnsi="Times New Roman"/>
          <w:b/>
          <w:i/>
          <w:color w:val="212529"/>
          <w:sz w:val="20"/>
        </w:rPr>
        <w:t>A. Downstream Autonomous Vehicle Applications</w:t>
      </w:r>
    </w:p>
    <w:p>
      <w:pPr>
        <w:spacing w:before="40" w:after="80" w:line="276" w:lineRule="auto"/>
      </w:pPr>
      <w:r>
        <w:rPr>
          <w:rFonts w:ascii="Times New Roman" w:hAnsi="Times New Roman"/>
          <w:color w:val="212529"/>
          <w:sz w:val="20"/>
        </w:rPr>
        <w:t>By reducing beam alignment overhead from 100 ms down to a compact candidate set of 13.9 beams (94.6% reduction), this framework enables three key cooperative autonomy applications:</w:t>
        <w:br/>
        <w:t>1. Heavy Truck Platooning: Commercial freight vehicles cruising with aerodynamic 2-meter bumper gaps at 65 mph can maintain millisecond telemetry handshakes for synchronized emergency braking, cutting fleet fuel consumption by 15%.</w:t>
        <w:br/>
        <w:t>2. Cooperative 'See-Through' Perception: Leading trucks stream real-time 4K camera and LiDAR point clouds to trailing passenger vehicles, eliminating blind spots when overtaking.</w:t>
        <w:br/>
        <w:t>3. Decentralized Intersection Arbitration: Connected CAVs negotiate conflict-free right-of-way through peer-to-peer V2V coordination without reliance on physical traffic lights or centralized cellular towers.</w:t>
      </w:r>
    </w:p>
    <w:p>
      <w:pPr>
        <w:keepNext/>
        <w:spacing w:before="200" w:after="40"/>
        <w:jc w:val="left"/>
      </w:pPr>
      <w:r>
        <w:rPr>
          <w:rFonts w:ascii="Times New Roman" w:hAnsi="Times New Roman"/>
          <w:b/>
          <w:i/>
          <w:color w:val="212529"/>
          <w:sz w:val="20"/>
        </w:rPr>
        <w:t>B. Methodological Limitations &amp; Future Roadmap</w:t>
      </w:r>
    </w:p>
    <w:p>
      <w:pPr>
        <w:spacing w:before="40" w:after="80" w:line="276" w:lineRule="auto"/>
      </w:pPr>
      <w:r>
        <w:rPr>
          <w:rFonts w:ascii="Times New Roman" w:hAnsi="Times New Roman"/>
          <w:color w:val="212529"/>
          <w:sz w:val="20"/>
        </w:rPr>
        <w:t>Three limitations must be reported transparently: (i) Point prediction accuracy (1.65% Top-1) remains too modest for stand-alone beam pointing without in-band candidate refinement; (ii) Static conformal coverage collapses under trajectory shift (33.4% on test), mandating streaming ACI/PID adaptation; and (iii) Environmental sensitivity: 60 GHz mmWave suffers severe rain fade (up to 20 dB/km), while cameras fail in thick fog, requiring future fusion with 77 GHz radar.</w:t>
      </w:r>
    </w:p>
    <w:p>
      <w:pPr>
        <w:keepNext/>
        <w:spacing w:before="280" w:after="80"/>
        <w:jc w:val="center"/>
      </w:pPr>
      <w:r>
        <w:rPr>
          <w:rFonts w:ascii="Times New Roman" w:hAnsi="Times New Roman"/>
          <w:b/>
          <w:color w:val="0F2240"/>
          <w:sz w:val="22"/>
        </w:rPr>
        <w:t>IX. CONCLUSION</w:t>
      </w:r>
    </w:p>
    <w:p>
      <w:pPr>
        <w:spacing w:before="40" w:after="80" w:line="276" w:lineRule="auto"/>
      </w:pPr>
      <w:r>
        <w:rPr>
          <w:rFonts w:ascii="Times New Roman" w:hAnsi="Times New Roman"/>
          <w:color w:val="212529"/>
          <w:sz w:val="20"/>
        </w:rPr>
        <w:t>This paper presented an authenticated zero-leakage evaluation of a multimodal RGB+GPS beam tracking architecture (P3_MultiTaskProfile, ≈15.15M parameters) on DeepSense 6G Scenario 36. While multimodal fusion significantly regularizes beam tracking (reaching 40.55% Top-13 accuracy, a 24.5× improvement over Top-1), our primary empirical contribution is demonstrating that static Conformal Risk Control violates exchangeability under vehicular trajectory drift, collapsing from 90.2% calibration coverage down to 33.4% on unseen test drives. By identifying this failure mode and formulating an online Conformal PID feedback controller, this work establishes the essential statistical safeguards required for real-world 6G V2V beam tracking.</w:t>
      </w:r>
    </w:p>
    <w:p>
      <w:pPr>
        <w:keepNext/>
        <w:spacing w:before="280" w:after="80"/>
        <w:jc w:val="center"/>
      </w:pPr>
      <w:r>
        <w:rPr>
          <w:rFonts w:ascii="Times New Roman" w:hAnsi="Times New Roman"/>
          <w:b/>
          <w:color w:val="0F2240"/>
          <w:sz w:val="22"/>
        </w:rPr>
        <w:t>REFERENCES</w:t>
      </w:r>
    </w:p>
    <w:p>
      <w:pPr>
        <w:spacing w:before="40" w:after="40" w:line="264" w:lineRule="auto"/>
      </w:pPr>
      <w:r>
        <w:rPr>
          <w:rFonts w:ascii="Times New Roman" w:hAnsi="Times New Roman"/>
          <w:color w:val="212529"/>
          <w:sz w:val="17"/>
        </w:rPr>
        <w:t>[1] A. Alkhateeb, S. Charan, M. Alrabeiah, T. Osman, and N. Valliappan, "DeepSense 6G: A Large-Scale Real-World Multi-Modal Sensing and Communication Dataset," IEEE Communications Magazine, vol. 61, no. 9, pp. 122–128, Sep. 2023. DOI: 10.1109/MCOM.001.2200742.</w:t>
      </w:r>
    </w:p>
    <w:p>
      <w:pPr>
        <w:spacing w:before="40" w:after="40" w:line="264" w:lineRule="auto"/>
      </w:pPr>
      <w:r>
        <w:rPr>
          <w:rFonts w:ascii="Times New Roman" w:hAnsi="Times New Roman"/>
          <w:color w:val="212529"/>
          <w:sz w:val="17"/>
        </w:rPr>
        <w:t>[2] M. Alrabeiah and A. Alkhateeb, "Deep Learning for TDD and FDD Massive MIMO: Mapping Channels in Space and Frequency," IEEE Transactions on Wireless Communications, vol. 19, no. 5, pp. 3122–3136, May 2020. DOI: 10.1109/TWC.2020.2971515.</w:t>
      </w:r>
    </w:p>
    <w:p>
      <w:pPr>
        <w:spacing w:before="40" w:after="40" w:line="264" w:lineRule="auto"/>
      </w:pPr>
      <w:r>
        <w:rPr>
          <w:rFonts w:ascii="Times New Roman" w:hAnsi="Times New Roman"/>
          <w:color w:val="212529"/>
          <w:sz w:val="17"/>
        </w:rPr>
        <w:t>[3] A. N. Angelopoulos and S. Bates, "A Gentle Introduction to Conformal Prediction and Distribution-Free Uncertainty Quantification," arXiv:2107.07511, 2021.</w:t>
      </w:r>
    </w:p>
    <w:p>
      <w:pPr>
        <w:spacing w:before="40" w:after="40" w:line="264" w:lineRule="auto"/>
      </w:pPr>
      <w:r>
        <w:rPr>
          <w:rFonts w:ascii="Times New Roman" w:hAnsi="Times New Roman"/>
          <w:color w:val="212529"/>
          <w:sz w:val="17"/>
        </w:rPr>
        <w:t>[4] A. N. Angelopoulos, S. Bates, M. Jordan, and J. Malik, "Uncertainty Sets for Image Classifiers Using Conformal Prediction," in International Conference on Learning Representations (ICLR), 2021.</w:t>
      </w:r>
    </w:p>
    <w:p>
      <w:pPr>
        <w:spacing w:before="40" w:after="40" w:line="264" w:lineRule="auto"/>
      </w:pPr>
      <w:r>
        <w:rPr>
          <w:rFonts w:ascii="Times New Roman" w:hAnsi="Times New Roman"/>
          <w:color w:val="212529"/>
          <w:sz w:val="17"/>
        </w:rPr>
        <w:t>[5] I. Gibbs and E. Candès, "Adaptive Conformal Inference Under Distribution Shift," in Advances in Neural Information Processing Systems (NeurIPS), vol. 34, pp. 1660–1672, 2021.</w:t>
      </w:r>
    </w:p>
    <w:p>
      <w:pPr>
        <w:spacing w:before="40" w:after="40" w:line="264" w:lineRule="auto"/>
      </w:pPr>
      <w:r>
        <w:rPr>
          <w:rFonts w:ascii="Times New Roman" w:hAnsi="Times New Roman"/>
          <w:color w:val="212529"/>
          <w:sz w:val="17"/>
        </w:rPr>
        <w:t>[6] K. He, X. Zhang, S. Ren, and J. Sun, "Deep Residual Learning for Image Recognition," in IEEE Conference on Computer Vision and Pattern Recognition (CVPR), pp. 770–778, 2016. DOI: 10.1109/CVPR.2016.90.</w:t>
      </w:r>
    </w:p>
    <w:p>
      <w:pPr>
        <w:spacing w:before="40" w:after="40" w:line="264" w:lineRule="auto"/>
      </w:pPr>
      <w:r>
        <w:rPr>
          <w:rFonts w:ascii="Times New Roman" w:hAnsi="Times New Roman"/>
          <w:color w:val="212529"/>
          <w:sz w:val="17"/>
        </w:rPr>
        <w:t>[7] A. Vaswani, N. Shazeer, N. Parmar, J. Uszkoreit, L. Jones, A. N. Gomez, Ł. Kaiser, and I. Polosukhin, "Attention Is All You Need," in Advances in Neural Information Processing Systems (NeurIPS), pp. 5998–6008, 2017.</w:t>
      </w:r>
    </w:p>
    <w:p>
      <w:pPr>
        <w:spacing w:before="40" w:after="40" w:line="264" w:lineRule="auto"/>
      </w:pPr>
      <w:r>
        <w:rPr>
          <w:rFonts w:ascii="Times New Roman" w:hAnsi="Times New Roman"/>
          <w:color w:val="212529"/>
          <w:sz w:val="17"/>
        </w:rPr>
        <w:t>[8] K. Cho, B. van Merriënboer, Ç. Gülçehre, D. Bahdanau, F. Bougares, H. Schwenk, and Y. Bengio, "Learning Phrase Representations using RNN Encoder-Decoder for Statistical Machine Translation," in Conference on Empirical Methods in Natural Language Processing (EMNLP), pp. 1724–1734, 2014.</w:t>
      </w:r>
    </w:p>
    <w:p>
      <w:pPr>
        <w:spacing w:before="40" w:after="40" w:line="264" w:lineRule="auto"/>
      </w:pPr>
      <w:r>
        <w:rPr>
          <w:rFonts w:ascii="Times New Roman" w:hAnsi="Times New Roman"/>
          <w:color w:val="212529"/>
          <w:sz w:val="17"/>
        </w:rPr>
        <w:t>[9] D. S. Brilhante, M. Alrabeiah, and A. Alkhateeb, "Multimodal Transformers for Wireless Communications: A Case Study in Beam Prediction," IEEE Access, vol. 11, pp. 128509–128522, 2023. DOI: 10.1109/ACCESS.2023.3332822.</w:t>
      </w:r>
    </w:p>
    <w:p>
      <w:pPr>
        <w:spacing w:before="40" w:after="40" w:line="264" w:lineRule="auto"/>
      </w:pPr>
      <w:r>
        <w:rPr>
          <w:rFonts w:ascii="Times New Roman" w:hAnsi="Times New Roman"/>
          <w:color w:val="212529"/>
          <w:sz w:val="17"/>
        </w:rPr>
        <w:t>[10] W. Deng, B. Shi, M. Li, and O. Simeone, "SCAN-BEST: Sub-6GHz-Aided Near-Field Beam Selection With Formal Reliability Guarantees," IEEE Transactions on Cognitive Communications and Networking, vol. 12, pp. 5506–5521, 2026. DOI: 10.1109/TCCN.2026.3657091.</w:t>
      </w:r>
    </w:p>
    <w:p>
      <w:pPr>
        <w:spacing w:before="40" w:after="40" w:line="264" w:lineRule="auto"/>
      </w:pPr>
      <w:r>
        <w:rPr>
          <w:rFonts w:ascii="Times New Roman" w:hAnsi="Times New Roman"/>
          <w:color w:val="212529"/>
          <w:sz w:val="17"/>
        </w:rPr>
        <w:t>[11] X. Gao, X. Xie, X. Liu, Z. Peng, X. Tao, X. Tong, C. Zhang, Z. Gong, J. Chen, S. Chen, and K. Li, "CLBP: A Cross-Modal Loss-Tolerant Beam Prediction Framework for V2V mmWave Communications," IEEE Transactions on Mobile Computing, 2026. DOI: 10.1109/TMC.2026.3674213.</w:t>
      </w:r>
    </w:p>
    <w:p>
      <w:pPr>
        <w:spacing w:before="40" w:after="40" w:line="264" w:lineRule="auto"/>
      </w:pPr>
      <w:r>
        <w:rPr>
          <w:rFonts w:ascii="Times New Roman" w:hAnsi="Times New Roman"/>
          <w:color w:val="212529"/>
          <w:sz w:val="17"/>
        </w:rPr>
        <w:t>[12] L. Yao, K. Ma, P. Wang, Y. Sang, and Z. Wang, "Robust Multimodal Beam Prediction With Missing Modality," IEEE Wireless Communications Letters, vol. 14, 2025. DOI: 10.1109/LWC.2025.3591611.</w:t>
      </w:r>
    </w:p>
    <w:p>
      <w:pPr>
        <w:spacing w:before="40" w:after="40" w:line="264" w:lineRule="auto"/>
      </w:pPr>
      <w:r>
        <w:rPr>
          <w:rFonts w:ascii="Times New Roman" w:hAnsi="Times New Roman"/>
          <w:color w:val="212529"/>
          <w:sz w:val="17"/>
        </w:rPr>
        <w:t>[13] A. Orimogunje, V. Ninkovic, O. Kundacina, H. Park, S. Kim, D. Vukobratovic, E. Twahirwa, and G. Gashema, "Sensing-Assisted Adaptive Beam Probing With Calibrated Multimodal Priors and Uncertainty-Aware Scheduling," IEEE Wireless Communications Letters, 2026. DOI: 10.1109/LWC.2026.3679539.</w:t>
      </w:r>
    </w:p>
    <w:p>
      <w:pPr>
        <w:spacing w:before="40" w:after="40" w:line="264" w:lineRule="auto"/>
      </w:pPr>
      <w:r>
        <w:rPr>
          <w:rFonts w:ascii="Times New Roman" w:hAnsi="Times New Roman"/>
          <w:color w:val="212529"/>
          <w:sz w:val="17"/>
        </w:rPr>
        <w:t>[14] M. Q. Khan, A. Gaber, M. Parvini, P. Schulz, and G. Fettweis, "Multi-Task Learning for mmWave Transceiver Beam Prediction," IEEE Open Journal of the Communications Society, vol. 6, pp. 1205–1218, 2025. DOI: 10.1109/OJCOMS.2025.3583074.</w:t>
      </w:r>
    </w:p>
    <w:p>
      <w:pPr>
        <w:keepNext/>
        <w:spacing w:before="280" w:after="80"/>
        <w:jc w:val="center"/>
      </w:pPr>
      <w:r>
        <w:rPr>
          <w:rFonts w:ascii="Times New Roman" w:hAnsi="Times New Roman"/>
          <w:b/>
          <w:color w:val="0F2240"/>
          <w:sz w:val="22"/>
        </w:rPr>
        <w:t>APPENDIX: KEY TRAINING HYPERPARAMETERS</w:t>
      </w:r>
    </w:p>
    <w:p>
      <w:pPr>
        <w:jc w:val="center"/>
      </w:pPr>
      <w:r>
        <w:rPr>
          <w:rFonts w:ascii="Times New Roman" w:hAnsi="Times New Roman"/>
          <w:b/>
          <w:sz w:val="17"/>
        </w:rPr>
        <w:t>TABLE IV: DETAILED MODEL &amp; OPTIMIZATION HYPERPARAMETERS</w:t>
      </w:r>
    </w:p>
    <w:tbl>
      <w:tblPr>
        <w:tblW w:type="auto" w:w="0"/>
        <w:jc w:val="center"/>
        <w:tblLook w:firstColumn="1" w:firstRow="1" w:lastColumn="0" w:lastRow="0" w:noHBand="0" w:noVBand="1" w:val="04A0"/>
      </w:tblPr>
      <w:tblGrid>
        <w:gridCol w:w="5040"/>
        <w:gridCol w:w="5040"/>
      </w:tblGrid>
      <w:tr>
        <w:tc>
          <w:tcPr>
            <w:tcW w:type="dxa" w:w="5040"/>
            <w:shd w:fill="0F2240"/>
            <w:tcMar>
              <w:top w:w="70" w:type="dxa"/>
              <w:bottom w:w="70" w:type="dxa"/>
              <w:left w:w="90" w:type="dxa"/>
              <w:right w:w="90" w:type="dxa"/>
            </w:tcMar>
          </w:tcPr>
          <w:p>
            <w:r>
              <w:rPr>
                <w:rFonts w:ascii="Times New Roman" w:hAnsi="Times New Roman"/>
                <w:b/>
                <w:color w:val="FFFFFF"/>
                <w:sz w:val="16"/>
              </w:rPr>
              <w:t>Hyperparameter Parameter</w:t>
            </w:r>
          </w:p>
        </w:tc>
        <w:tc>
          <w:tcPr>
            <w:tcW w:type="dxa" w:w="5040"/>
            <w:shd w:fill="0F2240"/>
            <w:tcMar>
              <w:top w:w="70" w:type="dxa"/>
              <w:bottom w:w="70" w:type="dxa"/>
              <w:left w:w="90" w:type="dxa"/>
              <w:right w:w="90" w:type="dxa"/>
            </w:tcMar>
          </w:tcPr>
          <w:p>
            <w:r>
              <w:rPr>
                <w:rFonts w:ascii="Times New Roman" w:hAnsi="Times New Roman"/>
                <w:b/>
                <w:color w:val="FFFFFF"/>
                <w:sz w:val="16"/>
              </w:rPr>
              <w:t>Assigned Specification</w:t>
            </w:r>
          </w:p>
        </w:tc>
      </w:tr>
      <w:tr>
        <w:tc>
          <w:tcPr>
            <w:tcW w:type="dxa" w:w="5040"/>
            <w:shd w:fill="F8F9FA"/>
            <w:tcMar>
              <w:top w:w="50" w:type="dxa"/>
              <w:bottom w:w="50" w:type="dxa"/>
              <w:left w:w="80" w:type="dxa"/>
              <w:right w:w="80" w:type="dxa"/>
            </w:tcMar>
          </w:tcPr>
          <w:p>
            <w:r>
              <w:rPr>
                <w:rFonts w:ascii="Times New Roman" w:hAnsi="Times New Roman"/>
                <w:b/>
                <w:color w:val="212529"/>
                <w:sz w:val="16"/>
              </w:rPr>
              <w:t>Optimizer</w:t>
            </w:r>
          </w:p>
        </w:tc>
        <w:tc>
          <w:tcPr>
            <w:tcW w:type="dxa" w:w="5040"/>
            <w:shd w:fill="F8F9FA"/>
            <w:tcMar>
              <w:top w:w="50" w:type="dxa"/>
              <w:bottom w:w="50" w:type="dxa"/>
              <w:left w:w="80" w:type="dxa"/>
              <w:right w:w="80" w:type="dxa"/>
            </w:tcMar>
          </w:tcPr>
          <w:p>
            <w:r>
              <w:rPr>
                <w:rFonts w:ascii="Times New Roman" w:hAnsi="Times New Roman"/>
                <w:color w:val="212529"/>
                <w:sz w:val="16"/>
              </w:rPr>
              <w:t>AdamW (β₁ = 0.9, β₂ = 0.999)</w:t>
            </w:r>
          </w:p>
        </w:tc>
      </w:tr>
      <w:tr>
        <w:tc>
          <w:tcPr>
            <w:tcW w:type="dxa" w:w="5040"/>
            <w:shd w:fill="FFFFFF"/>
            <w:tcMar>
              <w:top w:w="50" w:type="dxa"/>
              <w:bottom w:w="50" w:type="dxa"/>
              <w:left w:w="80" w:type="dxa"/>
              <w:right w:w="80" w:type="dxa"/>
            </w:tcMar>
          </w:tcPr>
          <w:p>
            <w:r>
              <w:rPr>
                <w:rFonts w:ascii="Times New Roman" w:hAnsi="Times New Roman"/>
                <w:b/>
                <w:color w:val="212529"/>
                <w:sz w:val="16"/>
              </w:rPr>
              <w:t>Weight decay</w:t>
            </w:r>
          </w:p>
        </w:tc>
        <w:tc>
          <w:tcPr>
            <w:tcW w:type="dxa" w:w="5040"/>
            <w:shd w:fill="FFFFFF"/>
            <w:tcMar>
              <w:top w:w="50" w:type="dxa"/>
              <w:bottom w:w="50" w:type="dxa"/>
              <w:left w:w="80" w:type="dxa"/>
              <w:right w:w="80" w:type="dxa"/>
            </w:tcMar>
          </w:tcPr>
          <w:p>
            <w:r>
              <w:rPr>
                <w:rFonts w:ascii="Times New Roman" w:hAnsi="Times New Roman"/>
                <w:color w:val="212529"/>
                <w:sz w:val="16"/>
              </w:rPr>
              <w:t>1 × 10⁻⁴</w:t>
            </w:r>
          </w:p>
        </w:tc>
      </w:tr>
      <w:tr>
        <w:tc>
          <w:tcPr>
            <w:tcW w:type="dxa" w:w="5040"/>
            <w:shd w:fill="F8F9FA"/>
            <w:tcMar>
              <w:top w:w="50" w:type="dxa"/>
              <w:bottom w:w="50" w:type="dxa"/>
              <w:left w:w="80" w:type="dxa"/>
              <w:right w:w="80" w:type="dxa"/>
            </w:tcMar>
          </w:tcPr>
          <w:p>
            <w:r>
              <w:rPr>
                <w:rFonts w:ascii="Times New Roman" w:hAnsi="Times New Roman"/>
                <w:b/>
                <w:color w:val="212529"/>
                <w:sz w:val="16"/>
              </w:rPr>
              <w:t>LR schedule</w:t>
            </w:r>
          </w:p>
        </w:tc>
        <w:tc>
          <w:tcPr>
            <w:tcW w:type="dxa" w:w="5040"/>
            <w:shd w:fill="F8F9FA"/>
            <w:tcMar>
              <w:top w:w="50" w:type="dxa"/>
              <w:bottom w:w="50" w:type="dxa"/>
              <w:left w:w="80" w:type="dxa"/>
              <w:right w:w="80" w:type="dxa"/>
            </w:tcMar>
          </w:tcPr>
          <w:p>
            <w:r>
              <w:rPr>
                <w:rFonts w:ascii="Times New Roman" w:hAnsi="Times New Roman"/>
                <w:color w:val="212529"/>
                <w:sz w:val="16"/>
              </w:rPr>
              <w:t>OneCycleLR, cosine annealing, max 3 × 10⁻⁴</w:t>
            </w:r>
          </w:p>
        </w:tc>
      </w:tr>
      <w:tr>
        <w:tc>
          <w:tcPr>
            <w:tcW w:type="dxa" w:w="5040"/>
            <w:shd w:fill="FFFFFF"/>
            <w:tcMar>
              <w:top w:w="50" w:type="dxa"/>
              <w:bottom w:w="50" w:type="dxa"/>
              <w:left w:w="80" w:type="dxa"/>
              <w:right w:w="80" w:type="dxa"/>
            </w:tcMar>
          </w:tcPr>
          <w:p>
            <w:r>
              <w:rPr>
                <w:rFonts w:ascii="Times New Roman" w:hAnsi="Times New Roman"/>
                <w:b/>
                <w:color w:val="212529"/>
                <w:sz w:val="16"/>
              </w:rPr>
              <w:t>Warmup</w:t>
            </w:r>
          </w:p>
        </w:tc>
        <w:tc>
          <w:tcPr>
            <w:tcW w:type="dxa" w:w="5040"/>
            <w:shd w:fill="FFFFFF"/>
            <w:tcMar>
              <w:top w:w="50" w:type="dxa"/>
              <w:bottom w:w="50" w:type="dxa"/>
              <w:left w:w="80" w:type="dxa"/>
              <w:right w:w="80" w:type="dxa"/>
            </w:tcMar>
          </w:tcPr>
          <w:p>
            <w:r>
              <w:rPr>
                <w:rFonts w:ascii="Times New Roman" w:hAnsi="Times New Roman"/>
                <w:color w:val="212529"/>
                <w:sz w:val="16"/>
              </w:rPr>
              <w:t>30% of total schedule</w:t>
            </w:r>
          </w:p>
        </w:tc>
      </w:tr>
      <w:tr>
        <w:tc>
          <w:tcPr>
            <w:tcW w:type="dxa" w:w="5040"/>
            <w:shd w:fill="F8F9FA"/>
            <w:tcMar>
              <w:top w:w="50" w:type="dxa"/>
              <w:bottom w:w="50" w:type="dxa"/>
              <w:left w:w="80" w:type="dxa"/>
              <w:right w:w="80" w:type="dxa"/>
            </w:tcMar>
          </w:tcPr>
          <w:p>
            <w:r>
              <w:rPr>
                <w:rFonts w:ascii="Times New Roman" w:hAnsi="Times New Roman"/>
                <w:b/>
                <w:color w:val="212529"/>
                <w:sz w:val="16"/>
              </w:rPr>
              <w:t>Early stopping</w:t>
            </w:r>
          </w:p>
        </w:tc>
        <w:tc>
          <w:tcPr>
            <w:tcW w:type="dxa" w:w="5040"/>
            <w:shd w:fill="F8F9FA"/>
            <w:tcMar>
              <w:top w:w="50" w:type="dxa"/>
              <w:bottom w:w="50" w:type="dxa"/>
              <w:left w:w="80" w:type="dxa"/>
              <w:right w:w="80" w:type="dxa"/>
            </w:tcMar>
          </w:tcPr>
          <w:p>
            <w:r>
              <w:rPr>
                <w:rFonts w:ascii="Times New Roman" w:hAnsi="Times New Roman"/>
                <w:color w:val="212529"/>
                <w:sz w:val="16"/>
              </w:rPr>
              <w:t>min_epochs = 30, patience = 12</w:t>
            </w:r>
          </w:p>
        </w:tc>
      </w:tr>
      <w:tr>
        <w:tc>
          <w:tcPr>
            <w:tcW w:type="dxa" w:w="5040"/>
            <w:shd w:fill="FFFFFF"/>
            <w:tcMar>
              <w:top w:w="50" w:type="dxa"/>
              <w:bottom w:w="50" w:type="dxa"/>
              <w:left w:w="80" w:type="dxa"/>
              <w:right w:w="80" w:type="dxa"/>
            </w:tcMar>
          </w:tcPr>
          <w:p>
            <w:r>
              <w:rPr>
                <w:rFonts w:ascii="Times New Roman" w:hAnsi="Times New Roman"/>
                <w:b/>
                <w:color w:val="212529"/>
                <w:sz w:val="16"/>
              </w:rPr>
              <w:t>d_model (fusion latent dim)</w:t>
            </w:r>
          </w:p>
        </w:tc>
        <w:tc>
          <w:tcPr>
            <w:tcW w:type="dxa" w:w="5040"/>
            <w:shd w:fill="FFFFFF"/>
            <w:tcMar>
              <w:top w:w="50" w:type="dxa"/>
              <w:bottom w:w="50" w:type="dxa"/>
              <w:left w:w="80" w:type="dxa"/>
              <w:right w:w="80" w:type="dxa"/>
            </w:tcMar>
          </w:tcPr>
          <w:p>
            <w:r>
              <w:rPr>
                <w:rFonts w:ascii="Times New Roman" w:hAnsi="Times New Roman"/>
                <w:color w:val="212529"/>
                <w:sz w:val="16"/>
              </w:rPr>
              <w:t>192</w:t>
            </w:r>
          </w:p>
        </w:tc>
      </w:tr>
      <w:tr>
        <w:tc>
          <w:tcPr>
            <w:tcW w:type="dxa" w:w="5040"/>
            <w:shd w:fill="F8F9FA"/>
            <w:tcMar>
              <w:top w:w="50" w:type="dxa"/>
              <w:bottom w:w="50" w:type="dxa"/>
              <w:left w:w="80" w:type="dxa"/>
              <w:right w:w="80" w:type="dxa"/>
            </w:tcMar>
          </w:tcPr>
          <w:p>
            <w:r>
              <w:rPr>
                <w:rFonts w:ascii="Times New Roman" w:hAnsi="Times New Roman"/>
                <w:b/>
                <w:color w:val="212529"/>
                <w:sz w:val="16"/>
              </w:rPr>
              <w:t>Transformer heads / layers</w:t>
            </w:r>
          </w:p>
        </w:tc>
        <w:tc>
          <w:tcPr>
            <w:tcW w:type="dxa" w:w="5040"/>
            <w:shd w:fill="F8F9FA"/>
            <w:tcMar>
              <w:top w:w="50" w:type="dxa"/>
              <w:bottom w:w="50" w:type="dxa"/>
              <w:left w:w="80" w:type="dxa"/>
              <w:right w:w="80" w:type="dxa"/>
            </w:tcMar>
          </w:tcPr>
          <w:p>
            <w:r>
              <w:rPr>
                <w:rFonts w:ascii="Times New Roman" w:hAnsi="Times New Roman"/>
                <w:color w:val="212529"/>
                <w:sz w:val="16"/>
              </w:rPr>
              <w:t>4 heads / 2 Pre-LayerNorm layers</w:t>
            </w:r>
          </w:p>
        </w:tc>
      </w:tr>
      <w:tr>
        <w:tc>
          <w:tcPr>
            <w:tcW w:type="dxa" w:w="5040"/>
            <w:shd w:fill="FFFFFF"/>
            <w:tcMar>
              <w:top w:w="50" w:type="dxa"/>
              <w:bottom w:w="50" w:type="dxa"/>
              <w:left w:w="80" w:type="dxa"/>
              <w:right w:w="80" w:type="dxa"/>
            </w:tcMar>
          </w:tcPr>
          <w:p>
            <w:r>
              <w:rPr>
                <w:rFonts w:ascii="Times New Roman" w:hAnsi="Times New Roman"/>
                <w:b/>
                <w:color w:val="212529"/>
                <w:sz w:val="16"/>
              </w:rPr>
              <w:t>Feed-forward dimension (d_ff)</w:t>
            </w:r>
          </w:p>
        </w:tc>
        <w:tc>
          <w:tcPr>
            <w:tcW w:type="dxa" w:w="5040"/>
            <w:shd w:fill="FFFFFF"/>
            <w:tcMar>
              <w:top w:w="50" w:type="dxa"/>
              <w:bottom w:w="50" w:type="dxa"/>
              <w:left w:w="80" w:type="dxa"/>
              <w:right w:w="80" w:type="dxa"/>
            </w:tcMar>
          </w:tcPr>
          <w:p>
            <w:r>
              <w:rPr>
                <w:rFonts w:ascii="Times New Roman" w:hAnsi="Times New Roman"/>
                <w:color w:val="212529"/>
                <w:sz w:val="16"/>
              </w:rPr>
              <w:t>768</w:t>
            </w:r>
          </w:p>
        </w:tc>
      </w:tr>
      <w:tr>
        <w:tc>
          <w:tcPr>
            <w:tcW w:type="dxa" w:w="5040"/>
            <w:shd w:fill="F8F9FA"/>
            <w:tcMar>
              <w:top w:w="50" w:type="dxa"/>
              <w:bottom w:w="50" w:type="dxa"/>
              <w:left w:w="80" w:type="dxa"/>
              <w:right w:w="80" w:type="dxa"/>
            </w:tcMar>
          </w:tcPr>
          <w:p>
            <w:r>
              <w:rPr>
                <w:rFonts w:ascii="Times New Roman" w:hAnsi="Times New Roman"/>
                <w:b/>
                <w:color w:val="212529"/>
                <w:sz w:val="16"/>
              </w:rPr>
              <w:t>GRU layers (kinematics)</w:t>
            </w:r>
          </w:p>
        </w:tc>
        <w:tc>
          <w:tcPr>
            <w:tcW w:type="dxa" w:w="5040"/>
            <w:shd w:fill="F8F9FA"/>
            <w:tcMar>
              <w:top w:w="50" w:type="dxa"/>
              <w:bottom w:w="50" w:type="dxa"/>
              <w:left w:w="80" w:type="dxa"/>
              <w:right w:w="80" w:type="dxa"/>
            </w:tcMar>
          </w:tcPr>
          <w:p>
            <w:r>
              <w:rPr>
                <w:rFonts w:ascii="Times New Roman" w:hAnsi="Times New Roman"/>
                <w:color w:val="212529"/>
                <w:sz w:val="16"/>
              </w:rPr>
              <w:t>2-layer Bidirectional GRU (hidden_dim = 192)</w:t>
            </w:r>
          </w:p>
        </w:tc>
      </w:tr>
      <w:tr>
        <w:tc>
          <w:tcPr>
            <w:tcW w:type="dxa" w:w="5040"/>
            <w:shd w:fill="FFFFFF"/>
            <w:tcMar>
              <w:top w:w="50" w:type="dxa"/>
              <w:bottom w:w="50" w:type="dxa"/>
              <w:left w:w="80" w:type="dxa"/>
              <w:right w:w="80" w:type="dxa"/>
            </w:tcMar>
          </w:tcPr>
          <w:p>
            <w:r>
              <w:rPr>
                <w:rFonts w:ascii="Times New Roman" w:hAnsi="Times New Roman"/>
                <w:b/>
                <w:color w:val="212529"/>
                <w:sz w:val="16"/>
              </w:rPr>
              <w:t>Vision backbone</w:t>
            </w:r>
          </w:p>
        </w:tc>
        <w:tc>
          <w:tcPr>
            <w:tcW w:type="dxa" w:w="5040"/>
            <w:shd w:fill="FFFFFF"/>
            <w:tcMar>
              <w:top w:w="50" w:type="dxa"/>
              <w:bottom w:w="50" w:type="dxa"/>
              <w:left w:w="80" w:type="dxa"/>
              <w:right w:w="80" w:type="dxa"/>
            </w:tcMar>
          </w:tcPr>
          <w:p>
            <w:r>
              <w:rPr>
                <w:rFonts w:ascii="Times New Roman" w:hAnsi="Times New Roman"/>
                <w:color w:val="212529"/>
                <w:sz w:val="16"/>
              </w:rPr>
              <w:t>ResNet-18 (layers 3–4 fine-tuned, stem &amp; L1–2 frozen)</w:t>
            </w:r>
          </w:p>
        </w:tc>
      </w:tr>
      <w:tr>
        <w:tc>
          <w:tcPr>
            <w:tcW w:type="dxa" w:w="5040"/>
            <w:shd w:fill="F8F9FA"/>
            <w:tcMar>
              <w:top w:w="50" w:type="dxa"/>
              <w:bottom w:w="50" w:type="dxa"/>
              <w:left w:w="80" w:type="dxa"/>
              <w:right w:w="80" w:type="dxa"/>
            </w:tcMar>
          </w:tcPr>
          <w:p>
            <w:r>
              <w:rPr>
                <w:rFonts w:ascii="Times New Roman" w:hAnsi="Times New Roman"/>
                <w:b/>
                <w:color w:val="212529"/>
                <w:sz w:val="16"/>
              </w:rPr>
              <w:t>Label smoothing (ε)</w:t>
            </w:r>
          </w:p>
        </w:tc>
        <w:tc>
          <w:tcPr>
            <w:tcW w:type="dxa" w:w="5040"/>
            <w:shd w:fill="F8F9FA"/>
            <w:tcMar>
              <w:top w:w="50" w:type="dxa"/>
              <w:bottom w:w="50" w:type="dxa"/>
              <w:left w:w="80" w:type="dxa"/>
              <w:right w:w="80" w:type="dxa"/>
            </w:tcMar>
          </w:tcPr>
          <w:p>
            <w:r>
              <w:rPr>
                <w:rFonts w:ascii="Times New Roman" w:hAnsi="Times New Roman"/>
                <w:color w:val="212529"/>
                <w:sz w:val="16"/>
              </w:rPr>
              <w:t>0.05</w:t>
            </w:r>
          </w:p>
        </w:tc>
      </w:tr>
      <w:tr>
        <w:tc>
          <w:tcPr>
            <w:tcW w:type="dxa" w:w="5040"/>
            <w:shd w:fill="FFFFFF"/>
            <w:tcMar>
              <w:top w:w="50" w:type="dxa"/>
              <w:bottom w:w="50" w:type="dxa"/>
              <w:left w:w="80" w:type="dxa"/>
              <w:right w:w="80" w:type="dxa"/>
            </w:tcMar>
          </w:tcPr>
          <w:p>
            <w:r>
              <w:rPr>
                <w:rFonts w:ascii="Times New Roman" w:hAnsi="Times New Roman"/>
                <w:b/>
                <w:color w:val="212529"/>
                <w:sz w:val="16"/>
              </w:rPr>
              <w:t>Loss weight α_loss (CE vs. MSE)</w:t>
            </w:r>
          </w:p>
        </w:tc>
        <w:tc>
          <w:tcPr>
            <w:tcW w:type="dxa" w:w="5040"/>
            <w:shd w:fill="FFFFFF"/>
            <w:tcMar>
              <w:top w:w="50" w:type="dxa"/>
              <w:bottom w:w="50" w:type="dxa"/>
              <w:left w:w="80" w:type="dxa"/>
              <w:right w:w="80" w:type="dxa"/>
            </w:tcMar>
          </w:tcPr>
          <w:p>
            <w:r>
              <w:rPr>
                <w:rFonts w:ascii="Times New Roman" w:hAnsi="Times New Roman"/>
                <w:color w:val="212529"/>
                <w:sz w:val="16"/>
              </w:rPr>
              <w:t>0.5</w:t>
            </w:r>
          </w:p>
        </w:tc>
      </w:tr>
      <w:tr>
        <w:tc>
          <w:tcPr>
            <w:tcW w:type="dxa" w:w="5040"/>
            <w:shd w:fill="F8F9FA"/>
            <w:tcMar>
              <w:top w:w="50" w:type="dxa"/>
              <w:bottom w:w="50" w:type="dxa"/>
              <w:left w:w="80" w:type="dxa"/>
              <w:right w:w="80" w:type="dxa"/>
            </w:tcMar>
          </w:tcPr>
          <w:p>
            <w:r>
              <w:rPr>
                <w:rFonts w:ascii="Times New Roman" w:hAnsi="Times New Roman"/>
                <w:b/>
                <w:color w:val="212529"/>
                <w:sz w:val="16"/>
              </w:rPr>
              <w:t>CRC target risk α</w:t>
            </w:r>
          </w:p>
        </w:tc>
        <w:tc>
          <w:tcPr>
            <w:tcW w:type="dxa" w:w="5040"/>
            <w:shd w:fill="F8F9FA"/>
            <w:tcMar>
              <w:top w:w="50" w:type="dxa"/>
              <w:bottom w:w="50" w:type="dxa"/>
              <w:left w:w="80" w:type="dxa"/>
              <w:right w:w="80" w:type="dxa"/>
            </w:tcMar>
          </w:tcPr>
          <w:p>
            <w:r>
              <w:rPr>
                <w:rFonts w:ascii="Times New Roman" w:hAnsi="Times New Roman"/>
                <w:color w:val="212529"/>
                <w:sz w:val="16"/>
              </w:rPr>
              <w:t>0.10 (90% nominal coverage guarantee)</w:t>
            </w:r>
          </w:p>
        </w:tc>
      </w:tr>
      <w:tr>
        <w:tc>
          <w:tcPr>
            <w:tcW w:type="dxa" w:w="5040"/>
            <w:shd w:fill="FFFFFF"/>
            <w:tcMar>
              <w:top w:w="50" w:type="dxa"/>
              <w:bottom w:w="50" w:type="dxa"/>
              <w:left w:w="80" w:type="dxa"/>
              <w:right w:w="80" w:type="dxa"/>
            </w:tcMar>
          </w:tcPr>
          <w:p>
            <w:r>
              <w:rPr>
                <w:rFonts w:ascii="Times New Roman" w:hAnsi="Times New Roman"/>
                <w:b/>
                <w:color w:val="212529"/>
                <w:sz w:val="16"/>
              </w:rPr>
              <w:t>ACI step size η</w:t>
            </w:r>
          </w:p>
        </w:tc>
        <w:tc>
          <w:tcPr>
            <w:tcW w:type="dxa" w:w="5040"/>
            <w:shd w:fill="FFFFFF"/>
            <w:tcMar>
              <w:top w:w="50" w:type="dxa"/>
              <w:bottom w:w="50" w:type="dxa"/>
              <w:left w:w="80" w:type="dxa"/>
              <w:right w:w="80" w:type="dxa"/>
            </w:tcMar>
          </w:tcPr>
          <w:p>
            <w:r>
              <w:rPr>
                <w:rFonts w:ascii="Times New Roman" w:hAnsi="Times New Roman"/>
                <w:color w:val="212529"/>
                <w:sz w:val="16"/>
              </w:rPr>
              <w:t>0.1</w:t>
            </w:r>
          </w:p>
        </w:tc>
      </w:tr>
      <w:tr>
        <w:tc>
          <w:tcPr>
            <w:tcW w:type="dxa" w:w="5040"/>
            <w:shd w:fill="F8F9FA"/>
            <w:tcMar>
              <w:top w:w="50" w:type="dxa"/>
              <w:bottom w:w="50" w:type="dxa"/>
              <w:left w:w="80" w:type="dxa"/>
              <w:right w:w="80" w:type="dxa"/>
            </w:tcMar>
          </w:tcPr>
          <w:p>
            <w:r>
              <w:rPr>
                <w:rFonts w:ascii="Times New Roman" w:hAnsi="Times New Roman"/>
                <w:b/>
                <w:color w:val="212529"/>
                <w:sz w:val="16"/>
              </w:rPr>
              <w:t>Miss-tolerance Δ_dB</w:t>
            </w:r>
          </w:p>
        </w:tc>
        <w:tc>
          <w:tcPr>
            <w:tcW w:type="dxa" w:w="5040"/>
            <w:shd w:fill="F8F9FA"/>
            <w:tcMar>
              <w:top w:w="50" w:type="dxa"/>
              <w:bottom w:w="50" w:type="dxa"/>
              <w:left w:w="80" w:type="dxa"/>
              <w:right w:w="80" w:type="dxa"/>
            </w:tcMar>
          </w:tcPr>
          <w:p>
            <w:r>
              <w:rPr>
                <w:rFonts w:ascii="Times New Roman" w:hAnsi="Times New Roman"/>
                <w:color w:val="212529"/>
                <w:sz w:val="16"/>
              </w:rPr>
              <w:t>3.0 dB</w:t>
            </w:r>
          </w:p>
        </w:tc>
      </w:tr>
    </w:tbl>
    <w:p>
      <w:pPr>
        <w:keepNext/>
        <w:spacing w:before="200" w:after="40"/>
        <w:jc w:val="left"/>
      </w:pPr>
      <w:r>
        <w:rPr>
          <w:rFonts w:ascii="Times New Roman" w:hAnsi="Times New Roman"/>
          <w:b/>
          <w:i/>
          <w:color w:val="212529"/>
          <w:sz w:val="20"/>
        </w:rPr>
        <w:t>ACKNOWLEDGMENT</w:t>
      </w:r>
    </w:p>
    <w:p>
      <w:pPr>
        <w:spacing w:before="40" w:after="80" w:line="276" w:lineRule="auto"/>
      </w:pPr>
      <w:r>
        <w:rPr>
          <w:rFonts w:ascii="Times New Roman" w:hAnsi="Times New Roman"/>
          <w:color w:val="212529"/>
          <w:sz w:val="20"/>
        </w:rPr>
        <w:t>The author thanks the course faculty and academic committee of CSE 424 for guidance, and the DeepSense 6G project team for the public release of the Scenario 36 dataset used throughout this study.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C757D"/>
        <w:sz w:val="16"/>
      </w:rPr>
      <w:t>Course CSE 424: Pattern Recognition &amp; Machine Learning | Final Capstone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C757D"/>
        <w:sz w:val="16"/>
      </w:rPr>
      <w:t>IEEE Transactions on Vehicular Technology (Student Paper Format) — Summer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